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07/09/2026 à 09:24</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46 ACHAT  |  1 NEUTRE  |  0 VENTE  (sur 47 sociétés)</w:t>
      </w:r>
    </w:p>
    <w:p>
      <w:pPr>
        <w:spacing w:before="20" w:after="20"/>
        <w:ind w:left="360" w:right="360"/>
        <w:shd w:val="clear" w:color="auto" w:fill="EBF5FB"/>
      </w:pPr>
      <w:r>
        <w:rPr>
          <w:b/>
          <w:sz w:val="19"/>
        </w:rPr>
        <w:t xml:space="preserve">Top opportunité :  </w:t>
      </w:r>
      <w:r>
        <w:rPr>
          <w:color w:val="008000"/>
          <w:sz w:val="19"/>
        </w:rPr>
        <w:t>SIVC  (score 79/100)</w:t>
      </w:r>
    </w:p>
    <w:p>
      <w:pPr>
        <w:spacing w:before="20" w:after="20"/>
        <w:ind w:left="360" w:right="360"/>
        <w:shd w:val="clear" w:color="auto" w:fill="EBF5FB"/>
      </w:pPr>
      <w:r>
        <w:rPr>
          <w:b/>
          <w:sz w:val="19"/>
        </w:rPr>
        <w:t xml:space="preserve">Secteur surperformant :  </w:t>
      </w:r>
      <w:r>
        <w:rPr>
          <w:color w:val="008000"/>
          <w:sz w:val="19"/>
        </w:rPr>
        <w:t>SERVICES PUBLICS  (+98.0%)</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15 sociétés — vérifier avant d'investir</w:t>
      </w:r>
    </w:p>
    <w:p>
      <w:pPr>
        <w:spacing w:before="20" w:after="20"/>
        <w:ind w:left="360" w:right="360"/>
        <w:shd w:val="clear" w:color="auto" w:fill="EBF5FB"/>
      </w:pPr>
      <w:r>
        <w:rPr>
          <w:b/>
          <w:sz w:val="19"/>
        </w:rPr>
        <w:t xml:space="preserve">⚠️ Liquidité réduite :  </w:t>
      </w:r>
      <w:r>
        <w:rPr>
          <w:color w:val="C00000"/>
          <w:sz w:val="19"/>
        </w:rPr>
        <w:t>8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548.60 points </w:t>
      </w:r>
      <w:r>
        <w:rPr>
          <w:color w:val="008000"/>
        </w:rPr>
        <w:t>(+0.45%)</w:t>
      </w:r>
      <w:r>
        <w:t xml:space="preserve"> sur la séance. </w:t>
      </w:r>
      <w:r>
        <w:t>La capitalisation globale du marché atteint 2 115,475 milliards FCFA.</w:t>
      </w:r>
    </w:p>
    <w:p/>
    <w:p>
      <w:pPr>
        <w:pStyle w:val="Heading3"/>
      </w:pPr>
      <w:r>
        <w:t>📊 Évolution de l'indice BRVM Composite (100 derniers jours)</w:t>
      </w:r>
    </w:p>
    <w:p>
      <w:r>
        <w:rPr>
          <w:b/>
        </w:rPr>
        <w:t xml:space="preserve">BRVM Composite — </w:t>
      </w:r>
      <w:r>
        <w:t xml:space="preserve">Sur les 100 derniers jours de cotation (2026-04-10 au 2026-09-04), l'indice BRVM Composite a évolué de </w:t>
      </w:r>
      <w:r>
        <w:rPr>
          <w:b/>
          <w:color w:val="008000"/>
        </w:rPr>
        <w:t>+35.00%</w:t>
      </w:r>
      <w:r>
        <w:t>, passant de 406.38 pts à 548.60 pts. Le plus haut atteint est 548.60 pts et le plus bas 397.33 pts. Sur l'ensemble de la période, la moyenne de l'indice s'établit à 454.23 pts, la médiane à 445.94 pts et le mode à 397.33 pts</w:t>
      </w:r>
      <w:r>
        <w:t xml:space="preserve"> (asymétrie positive — plus de jours sous la moyenne). </w:t>
      </w:r>
      <w:r>
        <w:t xml:space="preserve">L'écart-type de 42.37 pts (CV=9.3%) traduit une modérée dispersion des cotations. Le kurtosis de -0.85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-86.50%</w:t>
      </w:r>
      <w:r>
        <w:t xml:space="preserve"> sur la période, passant de 15 668,243 Mds FCFA à 2 115,475 Mds FCFA. Le pic de capitalisation observé est de 19 886,911 Mds FCFA et le plancher de 2 003,618 Mds FCFA. La moyenne de la capitalisation sur la période s'établit à 15 471,736 Mds FCFA, la médiane à 16 816,942 Mds FCFA et le mode à 2 003,618 Mds FCFA</w:t>
      </w:r>
      <w:r>
        <w:t xml:space="preserve"> (asymétrie négative). </w:t>
      </w:r>
      <w:r>
        <w:t>L'écart-type de 4 895,846 Mds FCFA (CV=31.6%) reflète une forte variabilité de la valorisation du marché. Le kurtosis de 3.40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SOGC - SOGC - Société des caoutchoucs de Grand-Béréby</w:t>
      </w:r>
      <w:r>
        <w:t xml:space="preserve"> | Prix: 8800 FCFA | </w:t>
      </w:r>
      <w:r>
        <w:rPr>
          <w:b/>
          <w:color w:val="008000"/>
        </w:rPr>
        <w:t>ACHAT FORT</w:t>
      </w:r>
      <w:r>
        <w:t xml:space="preserve"> | Confiance: Faible | Risque: Faible</w:t>
      </w:r>
    </w:p>
    <w:p>
      <w:pPr>
        <w:pStyle w:val="ListNumber"/>
      </w:pPr>
      <w:r>
        <w:rPr>
          <w:b/>
        </w:rPr>
        <w:t>UNLC - UNLC - UNILEVER COTE D'IVOIRE</w:t>
      </w:r>
      <w:r>
        <w:t xml:space="preserve"> | Prix: 54350 FCFA | </w:t>
      </w:r>
      <w:r>
        <w:rPr>
          <w:b/>
          <w:color w:val="008000"/>
        </w:rPr>
        <w:t>ACHAT FORT</w:t>
      </w:r>
      <w:r>
        <w:t xml:space="preserve"> | Confiance: Élevée | Risque: Moyen</w:t>
      </w:r>
    </w:p>
    <w:p>
      <w:pPr>
        <w:pStyle w:val="ListNumber"/>
      </w:pPr>
      <w:r>
        <w:rPr>
          <w:b/>
        </w:rPr>
        <w:t>ABJC - ABJC - SERVAIR ABIDJAN CI</w:t>
      </w:r>
      <w:r>
        <w:t xml:space="preserve"> | Prix: 3900 FCFA | </w:t>
      </w:r>
      <w:r>
        <w:rPr>
          <w:b/>
          <w:color w:val="008000"/>
        </w:rPr>
        <w:t>ACHAT</w:t>
      </w:r>
      <w:r>
        <w:t xml:space="preserve"> | Confiance: Moyen | Risque: Moyen</w:t>
      </w:r>
    </w:p>
    <w:p>
      <w:pPr>
        <w:pStyle w:val="ListNumber"/>
      </w:pPr>
      <w:r>
        <w:rPr>
          <w:b/>
        </w:rPr>
        <w:t>BICB - BIIC BN - Banque internationale pour le commerce du benin</w:t>
      </w:r>
      <w:r>
        <w:t xml:space="preserve"> | Prix: 10400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33005 FCFA | </w:t>
      </w:r>
      <w:r>
        <w:rPr>
          <w:b/>
          <w:color w:val="008000"/>
        </w:rPr>
        <w:t>ACHAT</w:t>
      </w:r>
      <w:r>
        <w:t xml:space="preserve"> | Confiance: Faible | Risque: Moyen</w:t>
      </w:r>
    </w:p>
    <w:p>
      <w:pPr>
        <w:pStyle w:val="ListNumber"/>
      </w:pPr>
      <w:r>
        <w:rPr>
          <w:b/>
        </w:rPr>
        <w:t>BNBC - BNBC - BERNABE CI</w:t>
      </w:r>
      <w:r>
        <w:t xml:space="preserve"> | Prix: 2175 FCFA | </w:t>
      </w:r>
      <w:r>
        <w:rPr>
          <w:b/>
          <w:color w:val="008000"/>
        </w:rPr>
        <w:t>ACHAT</w:t>
      </w:r>
      <w:r>
        <w:t xml:space="preserve"> | Confiance: Élevée | Risque: Faible</w:t>
      </w:r>
    </w:p>
    <w:p>
      <w:pPr>
        <w:pStyle w:val="ListNumber"/>
      </w:pPr>
      <w:r>
        <w:rPr>
          <w:b/>
        </w:rPr>
        <w:t>BOAB - BANK OF AFRICA BENIN</w:t>
      </w:r>
      <w:r>
        <w:t xml:space="preserve"> | Prix: 10300 FCFA | </w:t>
      </w:r>
      <w:r>
        <w:rPr>
          <w:b/>
          <w:color w:val="008000"/>
        </w:rPr>
        <w:t>ACHAT</w:t>
      </w:r>
      <w:r>
        <w:t xml:space="preserve"> | Confiance: Moyen | Risque: Moyen</w:t>
      </w:r>
    </w:p>
    <w:p>
      <w:pPr>
        <w:pStyle w:val="ListNumber"/>
      </w:pPr>
      <w:r>
        <w:rPr>
          <w:b/>
        </w:rPr>
        <w:t>BOABF - BANK OF AFRICA BURKINA FASO</w:t>
      </w:r>
      <w:r>
        <w:t xml:space="preserve"> | Prix: 8880 FCFA | </w:t>
      </w:r>
      <w:r>
        <w:rPr>
          <w:b/>
          <w:color w:val="008000"/>
        </w:rPr>
        <w:t>ACHAT</w:t>
      </w:r>
      <w:r>
        <w:t xml:space="preserve"> | Confiance: Moyen | Risque: Moyen</w:t>
      </w:r>
    </w:p>
    <w:p>
      <w:pPr>
        <w:pStyle w:val="ListNumber"/>
      </w:pPr>
      <w:r>
        <w:rPr>
          <w:b/>
        </w:rPr>
        <w:t>BOAC - BANK OF AFRICA COTE D'IVOIRE</w:t>
      </w:r>
      <w:r>
        <w:t xml:space="preserve"> | Prix: 12500 FCFA | </w:t>
      </w:r>
      <w:r>
        <w:rPr>
          <w:b/>
          <w:color w:val="008000"/>
        </w:rPr>
        <w:t>ACHAT</w:t>
      </w:r>
      <w:r>
        <w:t xml:space="preserve"> | Confiance: Élevée | Risque: Moyen</w:t>
      </w:r>
    </w:p>
    <w:p>
      <w:pPr>
        <w:pStyle w:val="ListNumber"/>
      </w:pPr>
      <w:r>
        <w:rPr>
          <w:b/>
        </w:rPr>
        <w:t>BOAM - BANK OF AFRICA MALI</w:t>
      </w:r>
      <w:r>
        <w:t xml:space="preserve"> | Prix: 6400 FCFA | </w:t>
      </w:r>
      <w:r>
        <w:rPr>
          <w:b/>
          <w:color w:val="008000"/>
        </w:rPr>
        <w:t>ACHAT</w:t>
      </w:r>
      <w:r>
        <w:t xml:space="preserve"> | Confiance: Moyen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CIEC - CIEC - Compagnie Ivoirienne d'Electricité</w:t>
      </w:r>
      <w:r>
        <w:t xml:space="preserve"> | Prix: 6700 FCFA | </w:t>
      </w:r>
      <w:r>
        <w:rPr>
          <w:b/>
          <w:color w:val="C00000"/>
        </w:rPr>
        <w:t>CONSERVER ⚠️</w:t>
      </w:r>
      <w:r>
        <w:t xml:space="preserve"> | Confiance: Moyen | Risque: Moyen</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97.95%</w:t>
      </w:r>
      <w:r>
        <w:t xml:space="preserve">  |  </w:t>
      </w:r>
      <w:r>
        <w:rPr>
          <w:b/>
        </w:rPr>
        <w:t xml:space="preserve">vs BRVM Composite: </w:t>
      </w:r>
      <w:r>
        <w:rPr>
          <w:b/>
          <w:color w:val="008000"/>
        </w:rPr>
        <w:t>+62.96%  🟢 Surperformance</w:t>
      </w:r>
      <w:r>
        <w:br/>
      </w:r>
      <w:r>
        <w:rPr>
          <w:b/>
        </w:rPr>
        <w:t xml:space="preserve">Sentiment général: </w:t>
      </w:r>
      <w:r>
        <w:t xml:space="preserve">CONSERVER ⚠️  |  </w:t>
      </w:r>
      <w:r>
        <w:rPr>
          <w:b/>
        </w:rPr>
        <w:t xml:space="preserve">Risque moyen: </w:t>
      </w:r>
      <w:r>
        <w:t xml:space="preserve">Moyen  |  </w:t>
      </w:r>
      <w:r>
        <w:rPr>
          <w:b/>
        </w:rPr>
        <w:t xml:space="preserve">Prix moyen: </w:t>
      </w:r>
      <w:r>
        <w:t>10100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47.18%</w:t>
      </w:r>
      <w:r>
        <w:t xml:space="preserve">  |  </w:t>
      </w:r>
      <w:r>
        <w:rPr>
          <w:b/>
        </w:rPr>
        <w:t xml:space="preserve">vs BRVM Composite: </w:t>
      </w:r>
      <w:r>
        <w:rPr>
          <w:b/>
          <w:color w:val="008000"/>
        </w:rPr>
        <w:t>+12.18%  🟢 Surperformance</w:t>
      </w:r>
      <w:r>
        <w:br/>
      </w:r>
      <w:r>
        <w:rPr>
          <w:b/>
        </w:rPr>
        <w:t xml:space="preserve">Sentiment général: </w:t>
      </w:r>
      <w:r>
        <w:t xml:space="preserve">ACHAT  |  </w:t>
      </w:r>
      <w:r>
        <w:rPr>
          <w:b/>
        </w:rPr>
        <w:t xml:space="preserve">Risque moyen: </w:t>
      </w:r>
      <w:r>
        <w:t xml:space="preserve">Moyen  |  </w:t>
      </w:r>
      <w:r>
        <w:rPr>
          <w:b/>
        </w:rPr>
        <w:t xml:space="preserve">Prix moyen: </w:t>
      </w:r>
      <w:r>
        <w:t>14167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29.00%</w:t>
      </w:r>
      <w:r>
        <w:t xml:space="preserve">  |  </w:t>
      </w:r>
      <w:r>
        <w:rPr>
          <w:b/>
        </w:rPr>
        <w:t xml:space="preserve">vs BRVM Composite: </w:t>
      </w:r>
      <w:r>
        <w:rPr>
          <w:b/>
          <w:color w:val="C00000"/>
        </w:rPr>
        <w:t>-5.99%  🔴 Sous-performance</w:t>
      </w:r>
      <w:r>
        <w:br/>
      </w:r>
      <w:r>
        <w:rPr>
          <w:b/>
        </w:rPr>
        <w:t xml:space="preserve">Sentiment général: </w:t>
      </w:r>
      <w:r>
        <w:t xml:space="preserve">ACHAT  |  </w:t>
      </w:r>
      <w:r>
        <w:rPr>
          <w:b/>
        </w:rPr>
        <w:t xml:space="preserve">Risque moyen: </w:t>
      </w:r>
      <w:r>
        <w:t xml:space="preserve">Moyen  |  </w:t>
      </w:r>
      <w:r>
        <w:rPr>
          <w:b/>
        </w:rPr>
        <w:t xml:space="preserve">Prix moyen: </w:t>
      </w:r>
      <w:r>
        <w:t>18929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26.89%</w:t>
      </w:r>
      <w:r>
        <w:t xml:space="preserve">  |  </w:t>
      </w:r>
      <w:r>
        <w:rPr>
          <w:b/>
        </w:rPr>
        <w:t xml:space="preserve">vs BRVM Composite: </w:t>
      </w:r>
      <w:r>
        <w:rPr>
          <w:b/>
          <w:color w:val="C00000"/>
        </w:rPr>
        <w:t>-8.10%  🔴 Sous-performance</w:t>
      </w:r>
      <w:r>
        <w:br/>
      </w:r>
      <w:r>
        <w:rPr>
          <w:b/>
        </w:rPr>
        <w:t xml:space="preserve">Sentiment général: </w:t>
      </w:r>
      <w:r>
        <w:t xml:space="preserve">ACHAT  |  </w:t>
      </w:r>
      <w:r>
        <w:rPr>
          <w:b/>
        </w:rPr>
        <w:t xml:space="preserve">Risque moyen: </w:t>
      </w:r>
      <w:r>
        <w:t xml:space="preserve">Moyen  |  </w:t>
      </w:r>
      <w:r>
        <w:rPr>
          <w:b/>
        </w:rPr>
        <w:t xml:space="preserve">Prix moyen: </w:t>
      </w:r>
      <w:r>
        <w:t>3089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26.12%</w:t>
      </w:r>
      <w:r>
        <w:t xml:space="preserve">  |  </w:t>
      </w:r>
      <w:r>
        <w:rPr>
          <w:b/>
        </w:rPr>
        <w:t xml:space="preserve">vs BRVM Composite: </w:t>
      </w:r>
      <w:r>
        <w:rPr>
          <w:b/>
          <w:color w:val="C00000"/>
        </w:rPr>
        <w:t>-8.88%  🔴 Sous-performance</w:t>
      </w:r>
      <w:r>
        <w:br/>
      </w:r>
      <w:r>
        <w:rPr>
          <w:b/>
        </w:rPr>
        <w:t xml:space="preserve">Sentiment général: </w:t>
      </w:r>
      <w:r>
        <w:t xml:space="preserve">ACHAT  |  </w:t>
      </w:r>
      <w:r>
        <w:rPr>
          <w:b/>
        </w:rPr>
        <w:t xml:space="preserve">Risque moyen: </w:t>
      </w:r>
      <w:r>
        <w:t xml:space="preserve">Moyen  |  </w:t>
      </w:r>
      <w:r>
        <w:rPr>
          <w:b/>
        </w:rPr>
        <w:t xml:space="preserve">Prix moyen: </w:t>
      </w:r>
      <w:r>
        <w:t>20810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25.63%</w:t>
      </w:r>
      <w:r>
        <w:t xml:space="preserve">  |  </w:t>
      </w:r>
      <w:r>
        <w:rPr>
          <w:b/>
        </w:rPr>
        <w:t xml:space="preserve">vs BRVM Composite: </w:t>
      </w:r>
      <w:r>
        <w:rPr>
          <w:b/>
          <w:color w:val="C00000"/>
        </w:rPr>
        <w:t>-9.37%  🔴 Sous-performance</w:t>
      </w:r>
      <w:r>
        <w:br/>
      </w:r>
      <w:r>
        <w:rPr>
          <w:b/>
        </w:rPr>
        <w:t xml:space="preserve">Sentiment général: </w:t>
      </w:r>
      <w:r>
        <w:t xml:space="preserve">ACHAT  |  </w:t>
      </w:r>
      <w:r>
        <w:rPr>
          <w:b/>
        </w:rPr>
        <w:t xml:space="preserve">Risque moyen: </w:t>
      </w:r>
      <w:r>
        <w:t xml:space="preserve">Moyen  |  </w:t>
      </w:r>
      <w:r>
        <w:rPr>
          <w:b/>
        </w:rPr>
        <w:t xml:space="preserve">Prix moyen: </w:t>
      </w:r>
      <w:r>
        <w:t>6778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INDUSTRIELS</w:t>
      </w:r>
    </w:p>
    <w:p>
      <w:r>
        <w:rPr>
          <w:b/>
        </w:rPr>
        <w:t xml:space="preserve">Nombre de sociétés: </w:t>
      </w:r>
      <w:r>
        <w:t xml:space="preserve">6  |  </w:t>
      </w:r>
      <w:r>
        <w:rPr>
          <w:b/>
        </w:rPr>
        <w:t xml:space="preserve">Performance moyenne (100j): </w:t>
      </w:r>
      <w:r>
        <w:rPr>
          <w:color w:val="C00000"/>
        </w:rPr>
        <w:t>-3.72%</w:t>
      </w:r>
      <w:r>
        <w:t xml:space="preserve">  |  </w:t>
      </w:r>
      <w:r>
        <w:rPr>
          <w:b/>
        </w:rPr>
        <w:t xml:space="preserve">vs BRVM Composite: </w:t>
      </w:r>
      <w:r>
        <w:rPr>
          <w:b/>
          <w:color w:val="C00000"/>
        </w:rPr>
        <w:t>-38.71%  🔴 Sous-performance</w:t>
      </w:r>
      <w:r>
        <w:br/>
      </w:r>
      <w:r>
        <w:rPr>
          <w:b/>
        </w:rPr>
        <w:t xml:space="preserve">Sentiment général: </w:t>
      </w:r>
      <w:r>
        <w:t xml:space="preserve">ACHAT  |  </w:t>
      </w:r>
      <w:r>
        <w:rPr>
          <w:b/>
        </w:rPr>
        <w:t xml:space="preserve">Risque moyen: </w:t>
      </w:r>
      <w:r>
        <w:t xml:space="preserve">Moyen  |  </w:t>
      </w:r>
      <w:r>
        <w:rPr>
          <w:b/>
        </w:rPr>
        <w:t xml:space="preserve">Prix moyen: </w:t>
      </w:r>
      <w:r>
        <w:t>2568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BNBC, BOAC, BOAS, CFAC, PALC, SEMC, SICC, SIVC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BOAB, BOABF, BOAM, BOAN, CABC, FTSC, NEIC, NTLC, ORAC, SAFC, SCRC, SDCC, SDSC, SGBC, SIBC, SLBC, SMBC, SNTS, SPHC, STAC, TTLC, TTLS, UNLC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BICC, CBIBF, ECOC, ETIT, LNBB, NSBC, ONTBF, ORGT, PRSC, SHEC, SOGC, STBC, UNXC</w:t>
            </w:r>
          </w:p>
        </w:tc>
        <w:tc>
          <w:tcPr>
            <w:tcW w:type="dxa" w:w="2160"/>
            <w:shd w:fill="FFC7CE" w:val="clear"/>
          </w:tcPr>
          <w:p>
            <w:pPr>
              <w:spacing w:before="40" w:after="40"/>
            </w:pPr>
            <w:r/>
            <w:r>
              <w:rPr>
                <w:b w:val="0"/>
                <w:sz w:val="16"/>
              </w:rPr>
              <w:t>CIEC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1459388</w:t>
            </w:r>
          </w:p>
        </w:tc>
        <w:tc>
          <w:tcPr>
            <w:tcW w:type="dxa" w:w="1728"/>
          </w:tcPr>
          <w:p>
            <w:r>
              <w:t>96904076 FCFA</w:t>
            </w:r>
          </w:p>
        </w:tc>
        <w:tc>
          <w:tcPr>
            <w:tcW w:type="dxa" w:w="1728"/>
          </w:tcPr>
          <w:p>
            <w:r>
              <w:t>108.82%</w:t>
            </w:r>
          </w:p>
        </w:tc>
        <w:tc>
          <w:tcPr>
            <w:tcW w:type="dxa" w:w="1728"/>
          </w:tcPr>
          <w:p>
            <w:r>
              <w:t>ACHAT</w:t>
            </w:r>
          </w:p>
        </w:tc>
      </w:tr>
      <w:tr>
        <w:tc>
          <w:tcPr>
            <w:tcW w:type="dxa" w:w="1728"/>
          </w:tcPr>
          <w:p>
            <w:r>
              <w:t>BICB (BIIC BN - Banque internationale pour le commerce du benin)</w:t>
            </w:r>
          </w:p>
        </w:tc>
        <w:tc>
          <w:tcPr>
            <w:tcW w:type="dxa" w:w="1728"/>
          </w:tcPr>
          <w:p>
            <w:r>
              <w:t>20868</w:t>
            </w:r>
          </w:p>
        </w:tc>
        <w:tc>
          <w:tcPr>
            <w:tcW w:type="dxa" w:w="1728"/>
          </w:tcPr>
          <w:p>
            <w:r>
              <w:t>173903836 FCFA</w:t>
            </w:r>
          </w:p>
        </w:tc>
        <w:tc>
          <w:tcPr>
            <w:tcW w:type="dxa" w:w="1728"/>
          </w:tcPr>
          <w:p>
            <w:r>
              <w:t>101.94%</w:t>
            </w:r>
          </w:p>
        </w:tc>
        <w:tc>
          <w:tcPr>
            <w:tcW w:type="dxa" w:w="1728"/>
          </w:tcPr>
          <w:p>
            <w:r>
              <w:t>ACHAT</w:t>
            </w:r>
          </w:p>
        </w:tc>
      </w:tr>
      <w:tr>
        <w:tc>
          <w:tcPr>
            <w:tcW w:type="dxa" w:w="1728"/>
          </w:tcPr>
          <w:p>
            <w:r>
              <w:t>SDSC (SDSC - AFRICA GLOBAL LOGISTICS CI)</w:t>
            </w:r>
          </w:p>
        </w:tc>
        <w:tc>
          <w:tcPr>
            <w:tcW w:type="dxa" w:w="1728"/>
          </w:tcPr>
          <w:p>
            <w:r>
              <w:t>19353</w:t>
            </w:r>
          </w:p>
        </w:tc>
        <w:tc>
          <w:tcPr>
            <w:tcW w:type="dxa" w:w="1728"/>
          </w:tcPr>
          <w:p>
            <w:r>
              <w:t>53049452 FCFA</w:t>
            </w:r>
          </w:p>
        </w:tc>
        <w:tc>
          <w:tcPr>
            <w:tcW w:type="dxa" w:w="1728"/>
          </w:tcPr>
          <w:p>
            <w:r>
              <w:t>69.13%</w:t>
            </w:r>
          </w:p>
        </w:tc>
        <w:tc>
          <w:tcPr>
            <w:tcW w:type="dxa" w:w="1728"/>
          </w:tcPr>
          <w:p>
            <w:r>
              <w:t>ACHAT</w:t>
            </w:r>
          </w:p>
        </w:tc>
      </w:tr>
      <w:tr>
        <w:tc>
          <w:tcPr>
            <w:tcW w:type="dxa" w:w="1728"/>
          </w:tcPr>
          <w:p>
            <w:r>
              <w:t>UNXC (UNXC - UNIWAX COTE D'IVOIRE)</w:t>
            </w:r>
          </w:p>
        </w:tc>
        <w:tc>
          <w:tcPr>
            <w:tcW w:type="dxa" w:w="1728"/>
          </w:tcPr>
          <w:p>
            <w:r>
              <w:t>16181</w:t>
            </w:r>
          </w:p>
        </w:tc>
        <w:tc>
          <w:tcPr>
            <w:tcW w:type="dxa" w:w="1728"/>
          </w:tcPr>
          <w:p>
            <w:r>
              <w:t>37223429 FCFA</w:t>
            </w:r>
          </w:p>
        </w:tc>
        <w:tc>
          <w:tcPr>
            <w:tcW w:type="dxa" w:w="1728"/>
          </w:tcPr>
          <w:p>
            <w:r>
              <w:t>22.70%</w:t>
            </w:r>
          </w:p>
        </w:tc>
        <w:tc>
          <w:tcPr>
            <w:tcW w:type="dxa" w:w="1728"/>
          </w:tcPr>
          <w:p>
            <w:r>
              <w:t>ACHAT</w:t>
            </w:r>
          </w:p>
        </w:tc>
      </w:tr>
      <w:tr>
        <w:tc>
          <w:tcPr>
            <w:tcW w:type="dxa" w:w="1728"/>
          </w:tcPr>
          <w:p>
            <w:r>
              <w:t>BOAS (BANK OF AFRICA SENEGAL)</w:t>
            </w:r>
          </w:p>
        </w:tc>
        <w:tc>
          <w:tcPr>
            <w:tcW w:type="dxa" w:w="1728"/>
          </w:tcPr>
          <w:p>
            <w:r>
              <w:t>15516</w:t>
            </w:r>
          </w:p>
        </w:tc>
        <w:tc>
          <w:tcPr>
            <w:tcW w:type="dxa" w:w="1728"/>
          </w:tcPr>
          <w:p>
            <w:r>
              <w:t>123967257 FCFA</w:t>
            </w:r>
          </w:p>
        </w:tc>
        <w:tc>
          <w:tcPr>
            <w:tcW w:type="dxa" w:w="1728"/>
          </w:tcPr>
          <w:p>
            <w:r>
              <w:t>23.17%</w:t>
            </w:r>
          </w:p>
        </w:tc>
        <w:tc>
          <w:tcPr>
            <w:tcW w:type="dxa" w:w="1728"/>
          </w:tcPr>
          <w:p>
            <w:r>
              <w:t>ACHAT</w:t>
            </w:r>
          </w:p>
        </w:tc>
      </w:tr>
      <w:tr>
        <w:tc>
          <w:tcPr>
            <w:tcW w:type="dxa" w:w="1728"/>
          </w:tcPr>
          <w:p>
            <w:r>
              <w:t>SIBC (SIBC - SOCIETE IVOIRIENNE DE BANQUE)</w:t>
            </w:r>
          </w:p>
        </w:tc>
        <w:tc>
          <w:tcPr>
            <w:tcW w:type="dxa" w:w="1728"/>
          </w:tcPr>
          <w:p>
            <w:r>
              <w:t>14916</w:t>
            </w:r>
          </w:p>
        </w:tc>
        <w:tc>
          <w:tcPr>
            <w:tcW w:type="dxa" w:w="1728"/>
          </w:tcPr>
          <w:p>
            <w:r>
              <w:t>136280282 FCFA</w:t>
            </w:r>
          </w:p>
        </w:tc>
        <w:tc>
          <w:tcPr>
            <w:tcW w:type="dxa" w:w="1728"/>
          </w:tcPr>
          <w:p>
            <w:r>
              <w:t>29.67%</w:t>
            </w:r>
          </w:p>
        </w:tc>
        <w:tc>
          <w:tcPr>
            <w:tcW w:type="dxa" w:w="1728"/>
          </w:tcPr>
          <w:p>
            <w:r>
              <w:t>ACHAT</w:t>
            </w:r>
          </w:p>
        </w:tc>
      </w:tr>
      <w:tr>
        <w:tc>
          <w:tcPr>
            <w:tcW w:type="dxa" w:w="1728"/>
          </w:tcPr>
          <w:p>
            <w:r>
              <w:t>SOGC (SOGC - Société des caoutchoucs de Grand-Béréby)</w:t>
            </w:r>
          </w:p>
        </w:tc>
        <w:tc>
          <w:tcPr>
            <w:tcW w:type="dxa" w:w="1728"/>
          </w:tcPr>
          <w:p>
            <w:r>
              <w:t>11974</w:t>
            </w:r>
          </w:p>
        </w:tc>
        <w:tc>
          <w:tcPr>
            <w:tcW w:type="dxa" w:w="1728"/>
          </w:tcPr>
          <w:p>
            <w:r>
              <w:t>91076941 FCFA</w:t>
            </w:r>
          </w:p>
        </w:tc>
        <w:tc>
          <w:tcPr>
            <w:tcW w:type="dxa" w:w="1728"/>
          </w:tcPr>
          <w:p>
            <w:r>
              <w:t>10.41%</w:t>
            </w:r>
          </w:p>
        </w:tc>
        <w:tc>
          <w:tcPr>
            <w:tcW w:type="dxa" w:w="1728"/>
          </w:tcPr>
          <w:p>
            <w:r>
              <w:t>ACHAT FORT</w:t>
            </w:r>
          </w:p>
        </w:tc>
      </w:tr>
      <w:tr>
        <w:tc>
          <w:tcPr>
            <w:tcW w:type="dxa" w:w="1728"/>
          </w:tcPr>
          <w:p>
            <w:r>
              <w:t>SNTS (SNTS - SONATEL SN)</w:t>
            </w:r>
          </w:p>
        </w:tc>
        <w:tc>
          <w:tcPr>
            <w:tcW w:type="dxa" w:w="1728"/>
          </w:tcPr>
          <w:p>
            <w:r>
              <w:t>11058</w:t>
            </w:r>
          </w:p>
        </w:tc>
        <w:tc>
          <w:tcPr>
            <w:tcW w:type="dxa" w:w="1728"/>
          </w:tcPr>
          <w:p>
            <w:r>
              <w:t>383247054 FCFA</w:t>
            </w:r>
          </w:p>
        </w:tc>
        <w:tc>
          <w:tcPr>
            <w:tcW w:type="dxa" w:w="1728"/>
          </w:tcPr>
          <w:p>
            <w:r>
              <w:t>33.68%</w:t>
            </w:r>
          </w:p>
        </w:tc>
        <w:tc>
          <w:tcPr>
            <w:tcW w:type="dxa" w:w="1728"/>
          </w:tcPr>
          <w:p>
            <w:r>
              <w:t>ACHAT</w:t>
            </w:r>
          </w:p>
        </w:tc>
      </w:tr>
      <w:tr>
        <w:tc>
          <w:tcPr>
            <w:tcW w:type="dxa" w:w="1728"/>
          </w:tcPr>
          <w:p>
            <w:r>
              <w:t>BOAC (BANK OF AFRICA COTE D'IVOIRE)</w:t>
            </w:r>
          </w:p>
        </w:tc>
        <w:tc>
          <w:tcPr>
            <w:tcW w:type="dxa" w:w="1728"/>
          </w:tcPr>
          <w:p>
            <w:r>
              <w:t>10510</w:t>
            </w:r>
          </w:p>
        </w:tc>
        <w:tc>
          <w:tcPr>
            <w:tcW w:type="dxa" w:w="1728"/>
          </w:tcPr>
          <w:p>
            <w:r>
              <w:t>133148861 FCFA</w:t>
            </w:r>
          </w:p>
        </w:tc>
        <w:tc>
          <w:tcPr>
            <w:tcW w:type="dxa" w:w="1728"/>
          </w:tcPr>
          <w:p>
            <w:r>
              <w:t>47.32%</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STBC (STBC - SITAB COTE D'IVOIRE)</w:t>
            </w:r>
          </w:p>
        </w:tc>
        <w:tc>
          <w:tcPr>
            <w:tcW w:type="dxa" w:w="1728"/>
          </w:tcPr>
          <w:p>
            <w:r>
              <w:t>3935</w:t>
            </w:r>
          </w:p>
        </w:tc>
        <w:tc>
          <w:tcPr>
            <w:tcW w:type="dxa" w:w="1728"/>
          </w:tcPr>
          <w:p>
            <w:r>
              <w:t>90074910 FCFA</w:t>
            </w:r>
          </w:p>
        </w:tc>
        <w:tc>
          <w:tcPr>
            <w:tcW w:type="dxa" w:w="1728"/>
          </w:tcPr>
          <w:p>
            <w:r>
              <w:t>4.12%</w:t>
            </w:r>
          </w:p>
        </w:tc>
        <w:tc>
          <w:tcPr>
            <w:tcW w:type="dxa" w:w="1728"/>
          </w:tcPr>
          <w:p>
            <w:r>
              <w:t>ACHAT</w:t>
            </w:r>
          </w:p>
        </w:tc>
      </w:tr>
      <w:tr>
        <w:tc>
          <w:tcPr>
            <w:tcW w:type="dxa" w:w="1728"/>
          </w:tcPr>
          <w:p>
            <w:r>
              <w:t>ORGT (ORGT - ORAGROUP TOGO)</w:t>
            </w:r>
          </w:p>
        </w:tc>
        <w:tc>
          <w:tcPr>
            <w:tcW w:type="dxa" w:w="1728"/>
          </w:tcPr>
          <w:p>
            <w:r>
              <w:t>3744</w:t>
            </w:r>
          </w:p>
        </w:tc>
        <w:tc>
          <w:tcPr>
            <w:tcW w:type="dxa" w:w="1728"/>
          </w:tcPr>
          <w:p>
            <w:r>
              <w:t>11773972 FCFA</w:t>
            </w:r>
          </w:p>
        </w:tc>
        <w:tc>
          <w:tcPr>
            <w:tcW w:type="dxa" w:w="1728"/>
          </w:tcPr>
          <w:p>
            <w:r>
              <w:t>-8.63%</w:t>
            </w:r>
          </w:p>
        </w:tc>
        <w:tc>
          <w:tcPr>
            <w:tcW w:type="dxa" w:w="1728"/>
          </w:tcPr>
          <w:p>
            <w:r>
              <w:t>ACHAT</w:t>
            </w:r>
          </w:p>
        </w:tc>
      </w:tr>
      <w:tr>
        <w:tc>
          <w:tcPr>
            <w:tcW w:type="dxa" w:w="1728"/>
          </w:tcPr>
          <w:p>
            <w:r>
              <w:t>ABJC (ABJC - SERVAIR ABIDJAN CI)</w:t>
            </w:r>
          </w:p>
        </w:tc>
        <w:tc>
          <w:tcPr>
            <w:tcW w:type="dxa" w:w="1728"/>
          </w:tcPr>
          <w:p>
            <w:r>
              <w:t>3728</w:t>
            </w:r>
          </w:p>
        </w:tc>
        <w:tc>
          <w:tcPr>
            <w:tcW w:type="dxa" w:w="1728"/>
          </w:tcPr>
          <w:p>
            <w:r>
              <w:t>13168921 FCFA</w:t>
            </w:r>
          </w:p>
        </w:tc>
        <w:tc>
          <w:tcPr>
            <w:tcW w:type="dxa" w:w="1728"/>
          </w:tcPr>
          <w:p>
            <w:r>
              <w:t>12.39%</w:t>
            </w:r>
          </w:p>
        </w:tc>
        <w:tc>
          <w:tcPr>
            <w:tcW w:type="dxa" w:w="1728"/>
          </w:tcPr>
          <w:p>
            <w:r>
              <w:t>ACHAT</w:t>
            </w:r>
          </w:p>
        </w:tc>
      </w:tr>
      <w:tr>
        <w:tc>
          <w:tcPr>
            <w:tcW w:type="dxa" w:w="1728"/>
          </w:tcPr>
          <w:p>
            <w:r>
              <w:t>CFAC (CFAC - CFAO MOTORS CI)</w:t>
            </w:r>
          </w:p>
        </w:tc>
        <w:tc>
          <w:tcPr>
            <w:tcW w:type="dxa" w:w="1728"/>
          </w:tcPr>
          <w:p>
            <w:r>
              <w:t>3672</w:t>
            </w:r>
          </w:p>
        </w:tc>
        <w:tc>
          <w:tcPr>
            <w:tcW w:type="dxa" w:w="1728"/>
          </w:tcPr>
          <w:p>
            <w:r>
              <w:t>6241754 FCFA</w:t>
            </w:r>
          </w:p>
        </w:tc>
        <w:tc>
          <w:tcPr>
            <w:tcW w:type="dxa" w:w="1728"/>
          </w:tcPr>
          <w:p>
            <w:r>
              <w:t>6.40%</w:t>
            </w:r>
          </w:p>
        </w:tc>
        <w:tc>
          <w:tcPr>
            <w:tcW w:type="dxa" w:w="1728"/>
          </w:tcPr>
          <w:p>
            <w:r>
              <w:t>ACHAT</w:t>
            </w:r>
          </w:p>
        </w:tc>
      </w:tr>
      <w:tr>
        <w:tc>
          <w:tcPr>
            <w:tcW w:type="dxa" w:w="1728"/>
          </w:tcPr>
          <w:p>
            <w:r>
              <w:t>FTSC (FTSC - FILTISAC COTE D'IVOIRE)</w:t>
            </w:r>
          </w:p>
        </w:tc>
        <w:tc>
          <w:tcPr>
            <w:tcW w:type="dxa" w:w="1728"/>
          </w:tcPr>
          <w:p>
            <w:r>
              <w:t>3431</w:t>
            </w:r>
          </w:p>
        </w:tc>
        <w:tc>
          <w:tcPr>
            <w:tcW w:type="dxa" w:w="1728"/>
          </w:tcPr>
          <w:p>
            <w:r>
              <w:t>7404791 FCFA</w:t>
            </w:r>
          </w:p>
        </w:tc>
        <w:tc>
          <w:tcPr>
            <w:tcW w:type="dxa" w:w="1728"/>
          </w:tcPr>
          <w:p>
            <w:r>
              <w:t>-6.72%</w:t>
            </w:r>
          </w:p>
        </w:tc>
        <w:tc>
          <w:tcPr>
            <w:tcW w:type="dxa" w:w="1728"/>
          </w:tcPr>
          <w:p>
            <w:r>
              <w:t>ACHAT</w:t>
            </w:r>
          </w:p>
        </w:tc>
      </w:tr>
      <w:tr>
        <w:tc>
          <w:tcPr>
            <w:tcW w:type="dxa" w:w="1728"/>
          </w:tcPr>
          <w:p>
            <w:r>
              <w:t>ORAC (ORAC - ORANGE COTE D'IVOIRE)</w:t>
            </w:r>
          </w:p>
        </w:tc>
        <w:tc>
          <w:tcPr>
            <w:tcW w:type="dxa" w:w="1728"/>
          </w:tcPr>
          <w:p>
            <w:r>
              <w:t>2956</w:t>
            </w:r>
          </w:p>
        </w:tc>
        <w:tc>
          <w:tcPr>
            <w:tcW w:type="dxa" w:w="1728"/>
          </w:tcPr>
          <w:p>
            <w:r>
              <w:t>59714368 FCFA</w:t>
            </w:r>
          </w:p>
        </w:tc>
        <w:tc>
          <w:tcPr>
            <w:tcW w:type="dxa" w:w="1728"/>
          </w:tcPr>
          <w:p>
            <w:r>
              <w:t>40.02%</w:t>
            </w:r>
          </w:p>
        </w:tc>
        <w:tc>
          <w:tcPr>
            <w:tcW w:type="dxa" w:w="1728"/>
          </w:tcPr>
          <w:p>
            <w:r>
              <w:t>ACHAT</w:t>
            </w:r>
          </w:p>
        </w:tc>
      </w:tr>
      <w:tr>
        <w:tc>
          <w:tcPr>
            <w:tcW w:type="dxa" w:w="1728"/>
          </w:tcPr>
          <w:p>
            <w:r>
              <w:t>PALC (PALC - PALM COTE D'IVOIRE)</w:t>
            </w:r>
          </w:p>
        </w:tc>
        <w:tc>
          <w:tcPr>
            <w:tcW w:type="dxa" w:w="1728"/>
          </w:tcPr>
          <w:p>
            <w:r>
              <w:t>2947</w:t>
            </w:r>
          </w:p>
        </w:tc>
        <w:tc>
          <w:tcPr>
            <w:tcW w:type="dxa" w:w="1728"/>
          </w:tcPr>
          <w:p>
            <w:r>
              <w:t>26988877 FCFA</w:t>
            </w:r>
          </w:p>
        </w:tc>
        <w:tc>
          <w:tcPr>
            <w:tcW w:type="dxa" w:w="1728"/>
          </w:tcPr>
          <w:p>
            <w:r>
              <w:t>4.65%</w:t>
            </w:r>
          </w:p>
        </w:tc>
        <w:tc>
          <w:tcPr>
            <w:tcW w:type="dxa" w:w="1728"/>
          </w:tcPr>
          <w:p>
            <w:r>
              <w:t>ACHAT</w:t>
            </w:r>
          </w:p>
        </w:tc>
      </w:tr>
      <w:tr>
        <w:tc>
          <w:tcPr>
            <w:tcW w:type="dxa" w:w="1728"/>
          </w:tcPr>
          <w:p>
            <w:r>
              <w:t>CABC (CABC - SICABLE COTE D'IVOIRE)</w:t>
            </w:r>
          </w:p>
        </w:tc>
        <w:tc>
          <w:tcPr>
            <w:tcW w:type="dxa" w:w="1728"/>
          </w:tcPr>
          <w:p>
            <w:r>
              <w:t>2579</w:t>
            </w:r>
          </w:p>
        </w:tc>
        <w:tc>
          <w:tcPr>
            <w:tcW w:type="dxa" w:w="1728"/>
          </w:tcPr>
          <w:p>
            <w:r>
              <w:t>9085252 FCFA</w:t>
            </w:r>
          </w:p>
        </w:tc>
        <w:tc>
          <w:tcPr>
            <w:tcW w:type="dxa" w:w="1728"/>
          </w:tcPr>
          <w:p>
            <w:r>
              <w:t>-18.43%</w:t>
            </w:r>
          </w:p>
        </w:tc>
        <w:tc>
          <w:tcPr>
            <w:tcW w:type="dxa" w:w="1728"/>
          </w:tcPr>
          <w:p>
            <w:r>
              <w:t>ACHAT</w:t>
            </w:r>
          </w:p>
        </w:tc>
      </w:tr>
      <w:tr>
        <w:tc>
          <w:tcPr>
            <w:tcW w:type="dxa" w:w="1728"/>
          </w:tcPr>
          <w:p>
            <w:r>
              <w:t>TTLS (TTLS - TOTAL ENERGIES MARKETING SENEGAL)</w:t>
            </w:r>
          </w:p>
        </w:tc>
        <w:tc>
          <w:tcPr>
            <w:tcW w:type="dxa" w:w="1728"/>
          </w:tcPr>
          <w:p>
            <w:r>
              <w:t>2500</w:t>
            </w:r>
          </w:p>
        </w:tc>
        <w:tc>
          <w:tcPr>
            <w:tcW w:type="dxa" w:w="1728"/>
          </w:tcPr>
          <w:p>
            <w:r>
              <w:t>9383418 FCFA</w:t>
            </w:r>
          </w:p>
        </w:tc>
        <w:tc>
          <w:tcPr>
            <w:tcW w:type="dxa" w:w="1728"/>
          </w:tcPr>
          <w:p>
            <w:r>
              <w:t>21.71%</w:t>
            </w:r>
          </w:p>
        </w:tc>
        <w:tc>
          <w:tcPr>
            <w:tcW w:type="dxa" w:w="1728"/>
          </w:tcPr>
          <w:p>
            <w:r>
              <w:t>ACHAT</w:t>
            </w:r>
          </w:p>
        </w:tc>
      </w:tr>
      <w:tr>
        <w:tc>
          <w:tcPr>
            <w:tcW w:type="dxa" w:w="1728"/>
          </w:tcPr>
          <w:p>
            <w:r>
              <w:t>NEIC (NEIC - NEI-CEDA CI)</w:t>
            </w:r>
          </w:p>
        </w:tc>
        <w:tc>
          <w:tcPr>
            <w:tcW w:type="dxa" w:w="1728"/>
          </w:tcPr>
          <w:p>
            <w:r>
              <w:t>2412</w:t>
            </w:r>
          </w:p>
        </w:tc>
        <w:tc>
          <w:tcPr>
            <w:tcW w:type="dxa" w:w="1728"/>
          </w:tcPr>
          <w:p>
            <w:r>
              <w:t>6483117 FCFA</w:t>
            </w:r>
          </w:p>
        </w:tc>
        <w:tc>
          <w:tcPr>
            <w:tcW w:type="dxa" w:w="1728"/>
          </w:tcPr>
          <w:p>
            <w:r>
              <w:t>118.98%</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ETIT - ETIT - Ecobank Transnational Incorporated Togo</w:t>
      </w:r>
    </w:p>
    <w:p>
      <w:r>
        <w:rPr>
          <w:b/>
        </w:rPr>
        <w:t xml:space="preserve">Score de divergence: </w:t>
      </w:r>
      <w:r>
        <w:t>5/8</w:t>
        <w:br/>
      </w:r>
      <w:r>
        <w:rPr>
          <w:b/>
        </w:rPr>
        <w:t xml:space="preserve">Description: </w:t>
      </w:r>
      <w:r>
        <w:t>Signaux d'achat: MM | Signaux de vente: Bollinger, MACD, Stochastique | Recommandation finale: ACHAT</w:t>
        <w:br/>
      </w:r>
    </w:p>
    <w:p/>
    <w:p>
      <w:pPr>
        <w:pStyle w:val="Heading3"/>
      </w:pPr>
      <w:r>
        <w:t>2. LNBB - LNBB - LOTERIE NATIONALE DU BENIN</w:t>
      </w:r>
    </w:p>
    <w:p>
      <w:r>
        <w:rPr>
          <w:b/>
        </w:rPr>
        <w:t xml:space="preserve">Score de divergence: </w:t>
      </w:r>
      <w:r>
        <w:t>5/8</w:t>
        <w:br/>
      </w:r>
      <w:r>
        <w:rPr>
          <w:b/>
        </w:rPr>
        <w:t xml:space="preserve">Description: </w:t>
      </w:r>
      <w:r>
        <w:t>Signaux de vente: MM, MACD | Recommandation finale: ACHAT</w:t>
        <w:br/>
      </w:r>
    </w:p>
    <w:p/>
    <w:p>
      <w:pPr>
        <w:pStyle w:val="Heading3"/>
      </w:pPr>
      <w:r>
        <w:t>3. SOGC - SOGC - Société des caoutchoucs de Grand-Béréby</w:t>
      </w:r>
    </w:p>
    <w:p>
      <w:r>
        <w:rPr>
          <w:b/>
        </w:rPr>
        <w:t xml:space="preserve">Score de divergence: </w:t>
      </w:r>
      <w:r>
        <w:t>5/8</w:t>
        <w:br/>
      </w:r>
      <w:r>
        <w:rPr>
          <w:b/>
        </w:rPr>
        <w:t xml:space="preserve">Description: </w:t>
      </w:r>
      <w:r>
        <w:t>Signaux d'achat: MACD | Signaux de vente: MM, RSI, Stochastique | Recommandation finale: ACHAT FORT</w:t>
        <w:br/>
      </w:r>
    </w:p>
    <w:p/>
    <w:p>
      <w:pPr>
        <w:pStyle w:val="Heading3"/>
      </w:pPr>
      <w:r>
        <w:t>4.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5. BICB - BIIC BN - Banque internationale pour le commerce du benin</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6. BICC - BICI CI - Banque internationale pour le commerce et l'industrie de la Côte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7. CBIBF - CBIBF - CORIS BANK INTERNATIONAL BURKINA FASO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8. ECOC - ECOC - ECOBANK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9. NSBC - NSBC - NSIA BANQUE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10. ONTBF - ONTBF - ONATEL BURKINA FASO</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18</w:t>
            </w:r>
          </w:p>
        </w:tc>
        <w:tc>
          <w:tcPr>
            <w:tcW w:type="dxa" w:w="2160"/>
          </w:tcPr>
          <w:p>
            <w:r>
              <w:t>0</w:t>
            </w:r>
          </w:p>
        </w:tc>
      </w:tr>
      <w:tr>
        <w:tc>
          <w:tcPr>
            <w:tcW w:type="dxa" w:w="2160"/>
          </w:tcPr>
          <w:p>
            <w:r>
              <w:t>Risque Moyen</w:t>
            </w:r>
          </w:p>
        </w:tc>
        <w:tc>
          <w:tcPr>
            <w:tcW w:type="dxa" w:w="2160"/>
          </w:tcPr>
          <w:p>
            <w:r>
              <w:t>0</w:t>
            </w:r>
          </w:p>
        </w:tc>
        <w:tc>
          <w:tcPr>
            <w:tcW w:type="dxa" w:w="2160"/>
          </w:tcPr>
          <w:p>
            <w:r>
              <w:t>29</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BNBC (BNBC - BERNABE CI)</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STBC (STBC - SITAB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TTLC (TTLC - TOTAL ENERGIES MARKETING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La semaine dernière a été marquée par une forte hausse des prix du pétrole brut, liée aux tensions géopolitiques, tandis que le blé a chuté. Parallèlement, l'indice MXV des matières premières a progressé pour la cinquième semaine consécutive, témoignant d'une dynamique haussière globale sur les commodités. En Europe, la BCE devrait procéder à une hausse de ses taux directeurs de 0,25 point de pourcentage lors de sa prochaine réunion, une décision perçue comme inévitable face à une inflation persistante qui contraint la banque centrale à maintenir une politique monétaire restrictive.</w:t>
      </w:r>
    </w:p>
    <w:p>
      <w:pPr>
        <w:pStyle w:val="Heading3"/>
      </w:pPr>
      <w:r>
        <w:rPr>
          <w:color w:val="500050"/>
        </w:rPr>
        <w:t>⚡ Impact estimé sur la BRVM</w:t>
      </w:r>
    </w:p>
    <w:p>
      <w:pPr>
        <w:spacing w:before="20" w:after="40"/>
        <w:ind w:left="280"/>
      </w:pPr>
      <w:r>
        <w:rPr>
          <w:i/>
          <w:sz w:val="18"/>
        </w:rPr>
        <w:t>La hausse des prix du pétrole brut pourrait bénéficier au secteur de l'énergie, notamment à **SMBC**, si elle répercute ces coûts. En revanche, la hausse des taux de la BCE pourrait renforcer l'attractivité des actifs européens et exercer une pression sur les flux de capitaux vers les marchés émergents comme la BRVM, incitant les investisseurs à la prudence sur les valeurs comme **BOAS**, **BOAC** et **BOAB**.</w:t>
      </w:r>
    </w:p>
    <w:p>
      <w:pPr>
        <w:pStyle w:val="Heading2"/>
      </w:pPr>
      <w:r>
        <w:rPr>
          <w:color w:val="006E32"/>
        </w:rPr>
        <w:t>🌍 Plan Africain</w:t>
      </w:r>
    </w:p>
    <w:p>
      <w:pPr>
        <w:spacing w:before="20" w:after="40"/>
        <w:ind w:left="0"/>
      </w:pPr>
      <w:r>
        <w:rPr>
          <w:sz w:val="18"/>
        </w:rPr>
        <w:t>Goldman Sachs prévoit que l'Afrique du Sud retrouve sa notation « Investment grade » dès 2028, reflétant une amélioration attendue de ses fondamentaux économiques. Par ailleurs, le FMI et le Sénégal sont parvenus à un accord pour un programme d'aide financière d'environ 1,9 milliard d'euros (2,2 milliards USD) sur 36 mois, soutenant les réformes économiques du pays.</w:t>
      </w:r>
    </w:p>
    <w:p>
      <w:pPr>
        <w:pStyle w:val="Heading3"/>
      </w:pPr>
      <w:r>
        <w:rPr>
          <w:color w:val="500050"/>
        </w:rPr>
        <w:t>⚡ Impact estimé sur la BRVM</w:t>
      </w:r>
    </w:p>
    <w:p>
      <w:pPr>
        <w:spacing w:before="20" w:after="40"/>
        <w:ind w:left="280"/>
      </w:pPr>
      <w:r>
        <w:rPr>
          <w:i/>
          <w:sz w:val="18"/>
        </w:rPr>
        <w:t>L'accord entre le FMI et le Sénégal renforce la confiance des investisseurs dans la région UEMOA, ce qui pourrait indirectement bénéficier aux valeurs bancaires régionales comme **BOAB** et **BOAC** présentes dans plusieurs pays. La perspective d'une amélioration de la notation sud-africaine pourrait attirer des capitaux vers le continent, mais la BRVM devra rester compétitive pour capter ces flux.</w:t>
      </w:r>
    </w:p>
    <w:p>
      <w:pPr>
        <w:pStyle w:val="Heading2"/>
      </w:pPr>
      <w:r>
        <w:rPr>
          <w:color w:val="145A28"/>
        </w:rPr>
        <w:t>🌍 Plan Afrique de l'Ouest</w:t>
      </w:r>
    </w:p>
    <w:p>
      <w:pPr>
        <w:spacing w:before="20" w:after="40"/>
        <w:ind w:left="0"/>
      </w:pPr>
      <w:r>
        <w:rPr>
          <w:sz w:val="18"/>
        </w:rPr>
        <w:t>Le nouveau directeur général du GIABA, chargé de la lutte contre le blanchiment d'argent en Afrique de l'Ouest, a pris ses fonctions, marquant une volonté de renforcer la régulation financière régionale. Parallèlement, le général sénégalais Birame Diop a officiellement pris la tête de la Commission de la CEDEAO à Abuja, une transition institutionnelle majeure pour la région.</w:t>
      </w:r>
    </w:p>
    <w:p>
      <w:pPr>
        <w:pStyle w:val="Heading3"/>
      </w:pPr>
      <w:r>
        <w:rPr>
          <w:color w:val="500050"/>
        </w:rPr>
        <w:t>⚡ Impact estimé sur la BRVM</w:t>
      </w:r>
    </w:p>
    <w:p>
      <w:pPr>
        <w:spacing w:before="20" w:after="40"/>
        <w:ind w:left="280"/>
      </w:pPr>
      <w:r>
        <w:rPr>
          <w:i/>
          <w:sz w:val="18"/>
        </w:rPr>
        <w:t>Le renforcement de la lutte contre le blanchiment pourrait améliorer la transparence du secteur financier régional, un signal positif pour les investisseurs internationaux. La stabilité institutionnelle de la CEDEAO est cruciale pour les sociétés cotées opérant dans plusieurs pays de la sous-région, comme **ETIT** et **NTLC**, qui dépendent d'un environnement politique stable.</w:t>
      </w:r>
    </w:p>
    <w:p>
      <w:pPr>
        <w:pStyle w:val="Heading2"/>
      </w:pPr>
      <w:r>
        <w:rPr>
          <w:color w:val="8C4600"/>
        </w:rPr>
        <w:t>🏦 Plan UEMOA / Zone Franc</w:t>
      </w:r>
    </w:p>
    <w:p>
      <w:pPr>
        <w:spacing w:before="20" w:after="40"/>
        <w:ind w:left="0"/>
      </w:pPr>
      <w:r>
        <w:rPr>
          <w:sz w:val="18"/>
        </w:rPr>
        <w:t>CGF Bourse, une société de bourse basée en Côte d'Ivoire, a réussi à lever 90 milliards de FCFA à travers trois émissions obligataires sur le marché de l'UEMOA, démontrant une liquidité abondante sur le marché régional des titres publics. Cette opération témoigne de l'appétit des investisseurs pour les obligations de la zone, dans un contexte où la BCEAO maintient une politique monétaire accommodante.</w:t>
      </w:r>
    </w:p>
    <w:p>
      <w:pPr>
        <w:pStyle w:val="Heading3"/>
      </w:pPr>
      <w:r>
        <w:rPr>
          <w:color w:val="500050"/>
        </w:rPr>
        <w:t>⚡ Impact estimé sur la BRVM</w:t>
      </w:r>
    </w:p>
    <w:p>
      <w:pPr>
        <w:spacing w:before="20" w:after="40"/>
        <w:ind w:left="280"/>
      </w:pPr>
      <w:r>
        <w:rPr>
          <w:i/>
          <w:sz w:val="18"/>
        </w:rPr>
        <w:t>La liquidité abondante sur le marché obligataire UEMOA pourrait créer un arbitrage entre les titres publics et les actions BRVM. Les investisseurs pourraient être tentés par des rendements obligataires attractifs, exerçant une pression sur les valeurs à dividendes comme **PALC** et **SPHC**, tandis que les banques comme **SGBC** et **BICB** pourraient bénéficier d'une activité de placement soutenue.</w:t>
      </w:r>
    </w:p>
    <w:p>
      <w:pPr>
        <w:pStyle w:val="Heading2"/>
      </w:pPr>
      <w:r>
        <w:rPr>
          <w:color w:val="003366"/>
        </w:rPr>
        <w:t>📈 Plan BRVM</w:t>
      </w:r>
    </w:p>
    <w:p>
      <w:pPr>
        <w:spacing w:before="20" w:after="40"/>
        <w:ind w:left="0"/>
      </w:pPr>
      <w:r>
        <w:rPr>
          <w:sz w:val="18"/>
        </w:rPr>
        <w:t>Les résultats encourageants des sociétés cotées ivoiriennes à la BRVM ont été mis en avant, soutenant l'indice BRVM Composite à 548,6 points. Cette dynamique positive reflète la solidité des fondamentaux des entreprises de la place, dans un contexte de reprise économique régionale.</w:t>
      </w:r>
    </w:p>
    <w:p>
      <w:pPr>
        <w:pStyle w:val="Heading3"/>
      </w:pPr>
      <w:r>
        <w:rPr>
          <w:color w:val="500050"/>
        </w:rPr>
        <w:t>⚡ Impact estimé sur la BRVM</w:t>
      </w:r>
    </w:p>
    <w:p>
      <w:pPr>
        <w:spacing w:before="20" w:after="40"/>
        <w:ind w:left="280"/>
      </w:pPr>
      <w:r>
        <w:rPr>
          <w:i/>
          <w:sz w:val="18"/>
        </w:rPr>
        <w:t>Les résultats positifs des sociétés ivoiriennes renforcent la confiance des investisseurs dans des valeurs comme **SIVC** et **SDSC** (industriels), ainsi que **BNBC** et **ABJC** (consommation discrétionnaire). Les investisseurs devraient surveiller les publications trimestrielles pour identifier les meilleures opportunités, notamment dans les secteurs bancaire et industriel.</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tensions géopolitiques, notamment autour du détroit d'Ormuz, ont fait grimper les prix du pétrole brut, créant un climat d'incertitude sur les marchés internationaux. Les marchés européens adoptent une position prudente en attendant la décision de politique monétaire de la BCE, dans un contexte d'inflation persistante qui pèse sur la croissance.</w:t>
      </w:r>
    </w:p>
    <w:p>
      <w:pPr>
        <w:pStyle w:val="Heading3"/>
      </w:pPr>
      <w:r>
        <w:rPr>
          <w:color w:val="500050"/>
        </w:rPr>
        <w:t>⚡ Impact estimé sur la BRVM</w:t>
      </w:r>
    </w:p>
    <w:p>
      <w:pPr>
        <w:spacing w:before="20" w:after="40"/>
        <w:ind w:left="280"/>
      </w:pPr>
      <w:r>
        <w:rPr>
          <w:i/>
          <w:sz w:val="18"/>
        </w:rPr>
        <w:t>L'instabilité géopolitique mondiale pourrait inciter les investisseurs internationaux à se tourner vers des valeurs refuges, réduisant temporairement leur appétit pour les marchés émergents. Les valeurs énergétiques comme **SMBC** pourraient toutefois bénéficier de la hausse des prix du pétrole, tandis que les valeurs industrielles comme **SIVC** pourraient subir des pressions sur leurs coûts d'approvisionnement.</w:t>
      </w:r>
    </w:p>
    <w:p>
      <w:pPr>
        <w:pStyle w:val="Heading2"/>
      </w:pPr>
      <w:r>
        <w:rPr>
          <w:color w:val="006E32"/>
        </w:rPr>
        <w:t>🌍 Plan Africain</w:t>
      </w:r>
    </w:p>
    <w:p>
      <w:pPr>
        <w:spacing w:before="20" w:after="40"/>
        <w:ind w:left="0"/>
      </w:pPr>
      <w:r>
        <w:rPr>
          <w:sz w:val="18"/>
        </w:rPr>
        <w:t>Les informations disponibles ne font pas état d'événements politiques majeurs sur le continent africain durant la période considérée.</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145A28"/>
        </w:rPr>
        <w:t>🌍 Plan Afrique de l'Ouest</w:t>
      </w:r>
    </w:p>
    <w:p>
      <w:pPr>
        <w:spacing w:before="20" w:after="40"/>
        <w:ind w:left="0"/>
      </w:pPr>
      <w:r>
        <w:rPr>
          <w:sz w:val="18"/>
        </w:rPr>
        <w:t>La passation de pouvoir à la tête de la Commission de la CEDEAO à Abuja marque une transition institutionnelle importante pour la région. Parallèlement, la lutte contre le blanchiment d'argent en Afrique de l'Ouest se renforce avec la nomination du nouveau directeur général du GIABA.</w:t>
      </w:r>
    </w:p>
    <w:p>
      <w:pPr>
        <w:pStyle w:val="Heading3"/>
      </w:pPr>
      <w:r>
        <w:rPr>
          <w:color w:val="500050"/>
        </w:rPr>
        <w:t>⚡ Impact estimé sur la BRVM</w:t>
      </w:r>
    </w:p>
    <w:p>
      <w:pPr>
        <w:spacing w:before="20" w:after="40"/>
        <w:ind w:left="280"/>
      </w:pPr>
      <w:r>
        <w:rPr>
          <w:i/>
          <w:sz w:val="18"/>
        </w:rPr>
        <w:t>La stabilité institutionnelle de la CEDEAO est un facteur clé pour la confiance des investisseurs dans la BRVM. Les sociétés cotées opérant dans plusieurs pays de la région, comme **BOAB** et **BOAC**, bénéficient d'un environnement politique stable, ce qui soutient leur développement et leur attractivité auprès des investisseurs.</w:t>
      </w:r>
    </w:p>
    <w:p>
      <w:pPr>
        <w:pStyle w:val="Heading2"/>
      </w:pPr>
      <w:r>
        <w:rPr>
          <w:color w:val="8C4600"/>
        </w:rPr>
        <w:t>🏦 Plan UEMOA / Zone Franc</w:t>
      </w:r>
    </w:p>
    <w:p>
      <w:pPr>
        <w:spacing w:before="20" w:after="40"/>
        <w:ind w:left="0"/>
      </w:pPr>
      <w:r>
        <w:rPr>
          <w:sz w:val="18"/>
        </w:rPr>
        <w:t>Un entretien politique sénégalais met en avant une dynamique politique entre le président Diomaye Faye et son Premier ministre Ousmane Sonko, sans impact économique direct identifié. La situation politique dans les autres pays membres de l'UEMOA semble stable durant la période considérée.</w:t>
      </w:r>
    </w:p>
    <w:p>
      <w:pPr>
        <w:pStyle w:val="Heading3"/>
      </w:pPr>
      <w:r>
        <w:rPr>
          <w:color w:val="500050"/>
        </w:rPr>
        <w:t>⚡ Impact estimé sur la BRVM</w:t>
      </w:r>
    </w:p>
    <w:p>
      <w:pPr>
        <w:spacing w:before="20" w:after="40"/>
        <w:ind w:left="280"/>
      </w:pPr>
      <w:r>
        <w:rPr>
          <w:i/>
          <w:sz w:val="18"/>
        </w:rPr>
        <w:t>La stabilité politique dans les pays membres de l'UEMOA est un prérequis pour le bon fonctionnement de la BRVM. Aucun risque politique majeur n'étant identifié, les investisseurs peuvent maintenir leurs positions sur les valeurs régionales comme **ORGT** et **CFAC**.</w:t>
      </w:r>
    </w:p>
    <w:p>
      <w:pPr>
        <w:pStyle w:val="Heading2"/>
      </w:pPr>
      <w:r>
        <w:rPr>
          <w:color w:val="003366"/>
        </w:rPr>
        <w:t>📈 Plan BRVM</w:t>
      </w:r>
    </w:p>
    <w:p>
      <w:pPr>
        <w:spacing w:before="20" w:after="40"/>
        <w:ind w:left="0"/>
      </w:pPr>
      <w:r>
        <w:rPr>
          <w:sz w:val="18"/>
        </w:rPr>
        <w:t>Aucune actualité réglementaire spécifique au niveau de la BRVM ou du CREPMF n'a été rapportée durant la période considérée.</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marchés européens sont prudents en attendant la décision de la BCE, tandis que la hausse des prix du pétrole brut crée des tensions sur les marchés. L'inflation reste au centre des préoccupations des banques centrales, avec des politiques monétaires restrictives qui pourraient peser sur la croissance mondiale.</w:t>
      </w:r>
    </w:p>
    <w:p>
      <w:pPr>
        <w:pStyle w:val="Heading3"/>
      </w:pPr>
      <w:r>
        <w:rPr>
          <w:color w:val="500050"/>
        </w:rPr>
        <w:t>⚡ Impact estimé sur la BRVM</w:t>
      </w:r>
    </w:p>
    <w:p>
      <w:pPr>
        <w:spacing w:before="20" w:after="40"/>
        <w:ind w:left="280"/>
      </w:pPr>
      <w:r>
        <w:rPr>
          <w:i/>
          <w:sz w:val="18"/>
        </w:rPr>
        <w:t>La prudence des marchés internationaux pourrait se répercuter sur la BRVM, les investisseurs adoptant une attitude attentiste. Les valeurs financières comme **BOAS** et **BOAC** pourraient être sensibles aux mouvements de taux, tandis que les valeurs de consommation comme **BNBC** et **ABJC** pourraient bénéficier de la résilience de la demande intérieure.</w:t>
      </w:r>
    </w:p>
    <w:p>
      <w:pPr>
        <w:pStyle w:val="Heading2"/>
      </w:pPr>
      <w:r>
        <w:rPr>
          <w:color w:val="006E32"/>
        </w:rPr>
        <w:t>🌍 Plan Africain</w:t>
      </w:r>
    </w:p>
    <w:p>
      <w:pPr>
        <w:spacing w:before="20" w:after="40"/>
        <w:ind w:left="0"/>
      </w:pPr>
      <w:r>
        <w:rPr>
          <w:sz w:val="18"/>
        </w:rPr>
        <w:t>Les marchés obligataires africains sont soutenus par les perspectives d'amélioration de la notation sud-africaine et l'accord entre le FMI et le Sénégal. Ces éléments renforcent la confiance des investisseurs dans les actifs africains, y compris les eurobonds.</w:t>
      </w:r>
    </w:p>
    <w:p>
      <w:pPr>
        <w:pStyle w:val="Heading3"/>
      </w:pPr>
      <w:r>
        <w:rPr>
          <w:color w:val="500050"/>
        </w:rPr>
        <w:t>⚡ Impact estimé sur la BRVM</w:t>
      </w:r>
    </w:p>
    <w:p>
      <w:pPr>
        <w:spacing w:before="20" w:after="40"/>
        <w:ind w:left="280"/>
      </w:pPr>
      <w:r>
        <w:rPr>
          <w:i/>
          <w:sz w:val="18"/>
        </w:rPr>
        <w:t>La concurrence pour attirer les capitaux entre les différentes places financières africaines s'intensifie. La BRVM doit maintenir son attractivité face à des marchés comme Johannesburg ou Lagos, en mettant en avant la qualité de ses sociétés cotées comme **SGBC** et **BICB**.</w:t>
      </w:r>
    </w:p>
    <w:p>
      <w:pPr>
        <w:pStyle w:val="Heading2"/>
      </w:pPr>
      <w:r>
        <w:rPr>
          <w:color w:val="145A28"/>
        </w:rPr>
        <w:t>🌍 Plan Afrique de l'Ouest</w:t>
      </w:r>
    </w:p>
    <w:p>
      <w:pPr>
        <w:spacing w:before="20" w:after="40"/>
        <w:ind w:left="0"/>
      </w:pPr>
      <w:r>
        <w:rPr>
          <w:sz w:val="18"/>
        </w:rPr>
        <w:t>Les informations disponibles ne font pas état d'événements financiers majeurs dans les bourses régionales concurrentes de l'Afrique de l'Ouest durant la période considérée.</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CGF Bourse a levé 90 milliards de FCFA en trois émissions obligataires sur le marché de l'UEMOA, démontrant la vitalité du marché des titres publics. Cette opération reflète une liquidité abondante dans la zone, soutenue par une politique monétaire accommodante de la BCEAO.</w:t>
      </w:r>
    </w:p>
    <w:p>
      <w:pPr>
        <w:pStyle w:val="Heading3"/>
      </w:pPr>
      <w:r>
        <w:rPr>
          <w:color w:val="500050"/>
        </w:rPr>
        <w:t>⚡ Impact estimé sur la BRVM</w:t>
      </w:r>
    </w:p>
    <w:p>
      <w:pPr>
        <w:spacing w:before="20" w:after="40"/>
        <w:ind w:left="280"/>
      </w:pPr>
      <w:r>
        <w:rPr>
          <w:i/>
          <w:sz w:val="18"/>
        </w:rPr>
        <w:t>L'abondance de liquidité sur le marché obligataire UEMOA pourrait détourner une partie des capitaux des actions BRVM vers les titres publics. Les investisseurs pourraient arbitrer entre les rendements obligataires attractifs et les dividendes des valeurs comme **PALC** et **SPHC**, tandis que les banques comme **BNBC** et **ECOC** pourraient bénéficier d'une activité de placement soutenue.</w:t>
      </w:r>
    </w:p>
    <w:p>
      <w:pPr>
        <w:pStyle w:val="Heading2"/>
      </w:pPr>
      <w:r>
        <w:rPr>
          <w:color w:val="003366"/>
        </w:rPr>
        <w:t>📈 Plan BRVM</w:t>
      </w:r>
    </w:p>
    <w:p>
      <w:pPr>
        <w:spacing w:before="20" w:after="40"/>
        <w:ind w:left="0"/>
      </w:pPr>
      <w:r>
        <w:rPr>
          <w:sz w:val="18"/>
        </w:rPr>
        <w:t>L'indice BRVM Composite se maintient à 548,6 points, soutenu par les résultats encourageants des sociétés cotées ivoiriennes. Cette performance reflète la solidité des fondamentaux des entreprises de la place, dans un contexte de reprise économique régionale.</w:t>
      </w:r>
    </w:p>
    <w:p>
      <w:pPr>
        <w:pStyle w:val="Heading3"/>
      </w:pPr>
      <w:r>
        <w:rPr>
          <w:color w:val="500050"/>
        </w:rPr>
        <w:t>⚡ Impact estimé sur la BRVM</w:t>
      </w:r>
    </w:p>
    <w:p>
      <w:pPr>
        <w:spacing w:before="20" w:after="40"/>
        <w:ind w:left="280"/>
      </w:pPr>
      <w:r>
        <w:rPr>
          <w:i/>
          <w:sz w:val="18"/>
        </w:rPr>
        <w:t>Les investisseurs devraient surveiller les valeurs présentant les meilleurs fondamentaux, comme **SIVC** et **SDSC** dans l'industrie, ainsi que **BNBC** et **ABJC** dans la consommation discrétionnaire. Les valeurs bancaires comme **BOAB** et **BOAC** offrent des perspectives intéressantes, tandis que les valeurs de consommation de base comme **PALC** et **SPHC** restent des valeurs défensives attractives.</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 contexte macro-économique mondial est marqué par une hausse des taux de la BCE et des tensions géopolitiques, créant une certaine prudence sur les marchés internationaux. Cependant, la dynamique positive de la BRVM, soutenue par des résultats encourageants des sociétés cotées et une liquidité abondante dans l'UEMOA, offre des opportunités d'investissement. Les investisseurs devraient privilégier une approche sélective, en se concentrant sur les valeurs à fondamentaux solides comme **SIVC**, **BNBC** et **SGBC**, tout en surveillant l'évolution des taux et des prix du pétrole.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Le prix du pétrole brut a fortement augmenté la semaine dernière, tand</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Marché des matières premières : l'indice MXV progresse pour la 5e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2026-09-06</w:t>
            </w:r>
          </w:p>
        </w:tc>
        <w:tc>
          <w:tcPr>
            <w:tcW w:type="dxa" w:w="1728"/>
          </w:tcPr>
          <w:p>
            <w:r>
              <w:rPr>
                <w:sz w:val="14"/>
              </w:rPr>
              <w:t xml:space="preserve">BCE : Une hausse des taux de 0,25 % semble désormais inévitable - ABC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L'Europe vue prudente en attendant la BCE, le trafic par Ormuz sous te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Économie : l’inflation dans le viseur de la Banque centrale européenne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Vers une nouvelle hausse des taux de la Banque centrale européenne pou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 xml:space="preserve">Groupe intergouvernemental d’action contre le blanchiment d’argent en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CEDEAO : Le général sénégalais Birame Diop prend officiellement la têt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2026-09-03</w:t>
            </w:r>
          </w:p>
        </w:tc>
        <w:tc>
          <w:tcPr>
            <w:tcW w:type="dxa" w:w="1728"/>
          </w:tcPr>
          <w:p>
            <w:r>
              <w:rPr>
                <w:sz w:val="14"/>
              </w:rPr>
              <w:t>E35 : Afrique de l'Ouest : investiture du nouveau Président de la CEDE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 xml:space="preserve">Afrique – Commission de la CEDEAO : Birame Diop dévoile sa feuille de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Sinayoko Brille avec un Triplé et Fait Chuter Marseille - Mali Actu</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2026-09-07</w:t>
            </w:r>
          </w:p>
        </w:tc>
        <w:tc>
          <w:tcPr>
            <w:tcW w:type="dxa" w:w="1728"/>
          </w:tcPr>
          <w:p>
            <w:r>
              <w:rPr>
                <w:sz w:val="14"/>
              </w:rPr>
              <w:t xml:space="preserve">[ Entretien ] Économie, politique et social : "Entre le PR Diomaye et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2026-09-07</w:t>
            </w:r>
          </w:p>
        </w:tc>
        <w:tc>
          <w:tcPr>
            <w:tcW w:type="dxa" w:w="1728"/>
          </w:tcPr>
          <w:p>
            <w:r>
              <w:rPr>
                <w:sz w:val="14"/>
              </w:rPr>
              <w:t>CGF Bourse lève 90 milliards FCFA en trois émissions obligataires UEMO</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2026-09-07</w:t>
            </w:r>
          </w:p>
        </w:tc>
        <w:tc>
          <w:tcPr>
            <w:tcW w:type="dxa" w:w="1728"/>
          </w:tcPr>
          <w:p>
            <w:r>
              <w:rPr>
                <w:sz w:val="14"/>
              </w:rPr>
              <w:t>BRVM admet à la cote les Diaspora Bonds du Burkina Faso après une levé</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2026-09-05</w:t>
            </w:r>
          </w:p>
        </w:tc>
        <w:tc>
          <w:tcPr>
            <w:tcW w:type="dxa" w:w="1728"/>
          </w:tcPr>
          <w:p>
            <w:r>
              <w:rPr>
                <w:sz w:val="14"/>
              </w:rPr>
              <w:t>Sénégal : Ahmed Ndoye réplique à Cheikh Bara Ndiaye sur Diomaye et Dib</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2026-09-06</w:t>
            </w:r>
          </w:p>
        </w:tc>
        <w:tc>
          <w:tcPr>
            <w:tcW w:type="dxa" w:w="1728"/>
          </w:tcPr>
          <w:p>
            <w:r>
              <w:rPr>
                <w:sz w:val="14"/>
              </w:rPr>
              <w:t>Antoine Griezmann brille en MLS avec un superbe but - Mali Actu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Le prix du pétrole brut a fortement augmenté la semaine dernière, tand</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2026-09-06</w:t>
            </w:r>
          </w:p>
        </w:tc>
        <w:tc>
          <w:tcPr>
            <w:tcW w:type="dxa" w:w="1728"/>
          </w:tcPr>
          <w:p>
            <w:r>
              <w:rPr>
                <w:sz w:val="14"/>
              </w:rPr>
              <w:t xml:space="preserve">BCE : Une hausse des taux de 0,25 % semble désormais inévitable - ABC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L'Europe vue prudente en attendant la BCE, le trafic par Ormuz sous te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Économie : l’inflation dans le viseur de la Banque centrale européenne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Vers une nouvelle hausse des taux de la Banque centrale européenne pou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Le prix du pétrole brut a fortement augmenté la semaine dernière, tand</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L'Europe vue prudente en attendant la BCE, le trafic par Ormuz sous te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Économie : l’inflation dans le viseur de la Banque centrale européenne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Vers une nouvelle hausse des taux de la Banque centrale européenne pou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Une bonne nouvelle pour les épargnants mais pas pour l'État ni la croi</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Le prix du pétrole brut a fortement augmenté la semaine dernière, tand</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L'Europe vue prudente en attendant la BCE, le trafic par Ormuz sous te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Économie : l’inflation dans le viseur de la Banque centrale européenne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Vers une nouvelle hausse des taux de la Banque centrale européenne pou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Une bonne nouvelle pour les épargnants mais pas pour l'État ni la croi</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Le prix du pétrole brut a fortement augmenté la semaine dernière, tand</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L'Europe vue prudente en attendant la BCE, le trafic par Ormuz sous te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Économie : l’inflation dans le viseur de la Banque centrale européenne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Vers une nouvelle hausse des taux de la Banque centrale européenne pou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 xml:space="preserve">La BCE s'apprête à relever ses taux face à l'inflation qui s'installe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Le prix du pétrole brut a fortement augmenté la semaine dernière, tand</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L'Europe vue prudente en attendant la BCE, le trafic par Ormuz sous te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Économie : l’inflation dans le viseur de la Banque centrale européenne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Vers une nouvelle hausse des taux de la Banque centrale européenne pou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Une bonne nouvelle pour les épargnants mais pas pour l'État ni la croi</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Le prix du pétrole brut a fortement augmenté la semaine dernière, tand</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Marché des matières premières : l'indice MXV progresse pour la 5e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2026-09-06</w:t>
            </w:r>
          </w:p>
        </w:tc>
        <w:tc>
          <w:tcPr>
            <w:tcW w:type="dxa" w:w="1728"/>
          </w:tcPr>
          <w:p>
            <w:r>
              <w:rPr>
                <w:sz w:val="14"/>
              </w:rPr>
              <w:t xml:space="preserve">BCE : Une hausse des taux de 0,25 % semble désormais inévitable - ABC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L'Europe vue prudente en attendant la BCE, le trafic par Ormuz sous te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Économie : l’inflation dans le viseur de la Banque centrale européenne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Le prix du pétrole brut a fortement augmenté la semaine dernière, tand</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Marché des matières premières : l'indice MXV progresse pour la 5e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2026-09-06</w:t>
            </w:r>
          </w:p>
        </w:tc>
        <w:tc>
          <w:tcPr>
            <w:tcW w:type="dxa" w:w="1728"/>
          </w:tcPr>
          <w:p>
            <w:r>
              <w:rPr>
                <w:sz w:val="14"/>
              </w:rPr>
              <w:t xml:space="preserve">BCE : Une hausse des taux de 0,25 % semble désormais inévitable - ABC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L'Europe vue prudente en attendant la BCE, le trafic par Ormuz sous te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Économie : l’inflation dans le viseur de la Banque centrale européenne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Le prix du pétrole brut a fortement augmenté la semaine dernière, tand</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Marché des matières premières : l'indice MXV progresse pour la 5e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2026-09-06</w:t>
            </w:r>
          </w:p>
        </w:tc>
        <w:tc>
          <w:tcPr>
            <w:tcW w:type="dxa" w:w="1728"/>
          </w:tcPr>
          <w:p>
            <w:r>
              <w:rPr>
                <w:sz w:val="14"/>
              </w:rPr>
              <w:t xml:space="preserve">BCE : Une hausse des taux de 0,25 % semble désormais inévitable - ABC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L'Europe vue prudente en attendant la BCE, le trafic par Ormuz sous te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Économie : l’inflation dans le viseur de la Banque centrale européenne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Le prix du pétrole brut a fortement augmenté la semaine dernière, tand</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Marché des matières premières : l'indice MXV progresse pour la 5e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2026-09-06</w:t>
            </w:r>
          </w:p>
        </w:tc>
        <w:tc>
          <w:tcPr>
            <w:tcW w:type="dxa" w:w="1728"/>
          </w:tcPr>
          <w:p>
            <w:r>
              <w:rPr>
                <w:sz w:val="14"/>
              </w:rPr>
              <w:t xml:space="preserve">BCE : Une hausse des taux de 0,25 % semble désormais inévitable - ABC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L'Europe vue prudente en attendant la BCE, le trafic par Ormuz sous te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Économie : l’inflation dans le viseur de la Banque centrale européenne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2026-09-07</w:t>
            </w:r>
          </w:p>
        </w:tc>
        <w:tc>
          <w:tcPr>
            <w:tcW w:type="dxa" w:w="1728"/>
          </w:tcPr>
          <w:p>
            <w:r>
              <w:rPr>
                <w:sz w:val="14"/>
              </w:rPr>
              <w:t>Le prix du pétrole brut a fortement augmenté la semaine dernière, tand</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2026-09-07</w:t>
            </w:r>
          </w:p>
        </w:tc>
        <w:tc>
          <w:tcPr>
            <w:tcW w:type="dxa" w:w="1728"/>
          </w:tcPr>
          <w:p>
            <w:r>
              <w:rPr>
                <w:sz w:val="14"/>
              </w:rPr>
              <w:t>Marché des matières premières : l'indice MXV progresse pour la 5e sema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2026-09-06</w:t>
            </w:r>
          </w:p>
        </w:tc>
        <w:tc>
          <w:tcPr>
            <w:tcW w:type="dxa" w:w="1728"/>
          </w:tcPr>
          <w:p>
            <w:r>
              <w:rPr>
                <w:sz w:val="14"/>
              </w:rPr>
              <w:t xml:space="preserve">BCE : Une hausse des taux de 0,25 % semble désormais inévitable - ABC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L'Europe vue prudente en attendant la BCE, le trafic par Ormuz sous te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2026-09-07</w:t>
            </w:r>
          </w:p>
        </w:tc>
        <w:tc>
          <w:tcPr>
            <w:tcW w:type="dxa" w:w="1728"/>
          </w:tcPr>
          <w:p>
            <w:r>
              <w:rPr>
                <w:sz w:val="14"/>
              </w:rPr>
              <w:t>Économie : l’inflation dans le viseur de la Banque centrale européenne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politique_monetaire  (7 alerte(s))</w:t>
      </w:r>
    </w:p>
    <w:p>
      <w:pPr>
        <w:spacing w:before="40" w:after="40"/>
        <w:ind w:left="360"/>
      </w:pPr>
      <w:r>
        <w:rPr>
          <w:color w:val="646464"/>
          <w:sz w:val="17"/>
        </w:rPr>
        <w:t xml:space="preserve">[07/09/2026] 🔴  </w:t>
      </w:r>
      <w:r>
        <w:rPr>
          <w:b/>
          <w:color w:val="C00000"/>
          <w:sz w:val="18"/>
        </w:rPr>
        <w:t>Économie : l’inflation dans le viseur de la Banque centrale européenne, ménages et croissance sur la ligne de front - Su</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est confrontée à une inflation persistante, ce qui la contraint à maintenir une politique monétaire restrictive. Cette situation pèse sur les ménages, dont le pouvoir d'achat est érodé, et sur la croissance économique de la zone euro. L'article souligne les défis auxquels la BCE doit faire face pour concilier lut</w:t>
      </w:r>
    </w:p>
    <w:p>
      <w:pPr>
        <w:spacing w:before="0" w:after="40"/>
        <w:ind w:left="600"/>
      </w:pPr>
      <w:r>
        <w:rPr>
          <w:color w:val="00643C"/>
          <w:sz w:val="16"/>
        </w:rPr>
        <w:t>Points clés : La BCE maintient une politique monétaire restrictive pour lutter contre l'inflation.  •  Les ménages subissent une baisse de leur pouvoir d'achat.  •  La croissance économique de la zone euro est menacée par cette politique.</w:t>
      </w:r>
    </w:p>
    <w:p>
      <w:pPr>
        <w:spacing w:before="0" w:after="60"/>
        <w:ind w:left="600"/>
      </w:pPr>
      <w:r>
        <w:rPr>
          <w:color w:val="0064B4"/>
          <w:sz w:val="15"/>
        </w:rPr>
        <w:t>Source : https://news.google.com/rss/articles/CBMi_AFBVV95cUxPWS02T2RiLTF2dml5Z0dIalduZ0R</w:t>
      </w:r>
    </w:p>
    <w:p>
      <w:pPr>
        <w:spacing w:before="40" w:after="40"/>
        <w:ind w:left="360"/>
      </w:pPr>
      <w:r>
        <w:rPr>
          <w:color w:val="646464"/>
          <w:sz w:val="17"/>
        </w:rPr>
        <w:t xml:space="preserve">[07/09/2026] 🔴  </w:t>
      </w:r>
      <w:r>
        <w:rPr>
          <w:b/>
          <w:color w:val="C00000"/>
          <w:sz w:val="18"/>
        </w:rPr>
        <w:t>Vers une nouvelle hausse des taux de la Banque centrale européenne pour contrer l'inflation - boursorama.com</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envisage une nouvelle hausse de ses taux directeurs afin de lutter contre une inflation persistante. Cette décision, rapportée par Boursorama, vise à resserrer davantage la politique monétaire de la zone euro. Une telle mesure pourrait renforcer l'euro et influencer les conditions financières mondiales, y compris</w:t>
      </w:r>
    </w:p>
    <w:p>
      <w:pPr>
        <w:spacing w:before="0" w:after="40"/>
        <w:ind w:left="600"/>
      </w:pPr>
      <w:r>
        <w:rPr>
          <w:color w:val="00643C"/>
          <w:sz w:val="16"/>
        </w:rPr>
        <w:t>Points clés : La BCE prévoit une nouvelle hausse des taux pour contrer l'inflation.  •  Cette politique monétaire restrictive pourrait affecter les flux de capitaux vers les marchés émergents.</w:t>
      </w:r>
    </w:p>
    <w:p>
      <w:pPr>
        <w:spacing w:before="0" w:after="60"/>
        <w:ind w:left="600"/>
      </w:pPr>
      <w:r>
        <w:rPr>
          <w:color w:val="0064B4"/>
          <w:sz w:val="15"/>
        </w:rPr>
        <w:t>Source : https://news.google.com/rss/articles/CBMilgJBVV95cUxQODRHbF9TYnExajZqaGZsUm54M2h</w:t>
      </w:r>
    </w:p>
    <w:p>
      <w:pPr>
        <w:spacing w:before="40" w:after="40"/>
        <w:ind w:left="360"/>
      </w:pPr>
      <w:r>
        <w:rPr>
          <w:color w:val="646464"/>
          <w:sz w:val="17"/>
        </w:rPr>
        <w:t xml:space="preserve">[07/09/2026] ⚪  </w:t>
      </w:r>
      <w:r>
        <w:rPr>
          <w:b/>
          <w:color w:val="505050"/>
          <w:sz w:val="18"/>
        </w:rPr>
        <w:t>L'Europe vue prudente en attendant la BCE, le trafic par Ormuz sous tension (actualisé) - boursorama.com</w:t>
      </w:r>
      <w:r>
        <w:rPr>
          <w:color w:val="787878"/>
          <w:sz w:val="15"/>
        </w:rPr>
        <w:t xml:space="preserve">  [politique_monetaire]</w:t>
      </w:r>
      <w:r>
        <w:rPr>
          <w:color w:val="B47800"/>
          <w:sz w:val="16"/>
        </w:rPr>
        <w:t xml:space="preserve">  ★ 50/10</w:t>
      </w:r>
    </w:p>
    <w:p>
      <w:pPr>
        <w:spacing w:before="0" w:after="20"/>
        <w:ind w:left="600"/>
      </w:pPr>
      <w:r>
        <w:rPr>
          <w:color w:val="323232"/>
          <w:sz w:val="17"/>
        </w:rPr>
        <w:t>Les marchés européens adoptent une position prudente en attendant la décision de politique monétaire de la Banque centrale européenne (BCE). Parallèlement, les tensions géopolitiques autour du détroit d'Ormuz, une voie maritime cruciale pour le transport de pétrole, suscitent des inquiétudes sur l'offre énergétique mondiale. Cette situation pourrai</w:t>
      </w:r>
    </w:p>
    <w:p>
      <w:pPr>
        <w:spacing w:before="0" w:after="40"/>
        <w:ind w:left="600"/>
      </w:pPr>
      <w:r>
        <w:rPr>
          <w:color w:val="00643C"/>
          <w:sz w:val="16"/>
        </w:rPr>
        <w:t>Points clés : Attente de la décision de la BCE sur les taux d'intérêt, avec un possible impact sur les flux de capitaux vers les marchés émergents.  •  Tensions géopolitiques dans le détroit d'Ormuz, menaçant la sécurité des approvisionnements pétroliers et pouvant faire monter les prix de l'énergie.  •  Prudence générale des investisseurs européens, reflétant une incertitude macroéconomique et géopolitique.</w:t>
      </w:r>
    </w:p>
    <w:p>
      <w:pPr>
        <w:spacing w:before="0" w:after="60"/>
        <w:ind w:left="600"/>
      </w:pPr>
      <w:r>
        <w:rPr>
          <w:color w:val="0064B4"/>
          <w:sz w:val="15"/>
        </w:rPr>
        <w:t>Source : https://news.google.com/rss/articles/CBMi-gFBVV95cUxNNkNOdHBVbmxQcEF0bzRkdXBNYXB</w:t>
      </w:r>
    </w:p>
    <w:p>
      <w:pPr>
        <w:spacing w:before="40" w:after="40"/>
        <w:ind w:left="360"/>
      </w:pPr>
      <w:r>
        <w:rPr>
          <w:color w:val="646464"/>
          <w:sz w:val="17"/>
        </w:rPr>
        <w:t xml:space="preserve">[07/09/2026] 🔴  </w:t>
      </w:r>
      <w:r>
        <w:rPr>
          <w:b/>
          <w:color w:val="C00000"/>
          <w:sz w:val="18"/>
        </w:rPr>
        <w:t>La BCE s'apprête à relever ses taux face à l'inflation qui s'installe - Les Echos</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s'apprête à relever ses taux d'intérêt pour faire face à une inflation qui s'installe durablement dans la zone euro. Cette décision, rapportée par Les Echos, intervient dans un contexte de pressions inflationnistes persistantes, malgré les risques de ralentissement économique. Le resserrement monétaire vise à ram</w:t>
      </w:r>
    </w:p>
    <w:p>
      <w:pPr>
        <w:spacing w:before="0" w:after="40"/>
        <w:ind w:left="600"/>
      </w:pPr>
      <w:r>
        <w:rPr>
          <w:color w:val="00643C"/>
          <w:sz w:val="16"/>
        </w:rPr>
        <w:t>Points clés : La BCE prévoit une hausse de ses taux directeurs pour contrer une inflation durable.  •  Cette décision s'inscrit dans un contexte de pressions inflationnistes persistantes dans la zone euro.  •  Le resserrement monétaire pourrait ralentir la croissance économique européenne.  •  Les effets pourraient se transmettre aux économies émergentes via les flux de capitaux et les taux de change.</w:t>
      </w:r>
    </w:p>
    <w:p>
      <w:pPr>
        <w:spacing w:before="0" w:after="60"/>
        <w:ind w:left="600"/>
      </w:pPr>
      <w:r>
        <w:rPr>
          <w:color w:val="0064B4"/>
          <w:sz w:val="15"/>
        </w:rPr>
        <w:t>Source : https://news.google.com/rss/articles/CBMizgFBVV95cUxNaHNoSjB3a0xqNVRjSXRxR09mand</w:t>
      </w:r>
    </w:p>
    <w:p>
      <w:pPr>
        <w:spacing w:before="40" w:after="40"/>
        <w:ind w:left="360"/>
      </w:pPr>
      <w:r>
        <w:rPr>
          <w:color w:val="646464"/>
          <w:sz w:val="17"/>
        </w:rPr>
        <w:t xml:space="preserve">[07/09/2026] ⚪  </w:t>
      </w:r>
      <w:r>
        <w:rPr>
          <w:b/>
          <w:color w:val="505050"/>
          <w:sz w:val="18"/>
        </w:rPr>
        <w:t>Une bonne nouvelle pour les épargnants mais pas pour l'État ni la croissance: qui seront les gagnants et les perdants de</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devrait probablement augmenter ses taux d'intérêt, ce qui est une bonne nouvelle pour les épargnants qui verront leurs rendements augmenter, mais une mauvaise nouvelle pour l'État et la croissance économique. Cette hausse pourrait renchérir le coût de la dette publique et freiner l'investissement et la consommati</w:t>
      </w:r>
    </w:p>
    <w:p>
      <w:pPr>
        <w:spacing w:before="0" w:after="40"/>
        <w:ind w:left="600"/>
      </w:pPr>
      <w:r>
        <w:rPr>
          <w:color w:val="00643C"/>
          <w:sz w:val="16"/>
        </w:rPr>
        <w:t>Points clés : Hausse probable des taux de la BCE, bénéfique pour les épargnants.  •  Impact négatif sur l'État (coût de la dette) et la croissance économique.</w:t>
      </w:r>
    </w:p>
    <w:p>
      <w:pPr>
        <w:spacing w:before="0" w:after="60"/>
        <w:ind w:left="600"/>
      </w:pPr>
      <w:r>
        <w:rPr>
          <w:color w:val="0064B4"/>
          <w:sz w:val="15"/>
        </w:rPr>
        <w:t>Source : https://news.google.com/rss/articles/CBMiigNBVV95cUxQMWUtaHNfYi1rTUotUmFBNU8yaTA</w:t>
      </w:r>
    </w:p>
    <w:p>
      <w:pPr>
        <w:spacing w:before="120" w:after="40"/>
      </w:pPr>
      <w:r>
        <w:rPr>
          <w:b/>
          <w:color w:val="00467F"/>
          <w:sz w:val="20"/>
        </w:rPr>
        <w:t>🔑 politique  (8 alerte(s))</w:t>
      </w:r>
    </w:p>
    <w:p>
      <w:pPr>
        <w:spacing w:before="40" w:after="40"/>
        <w:ind w:left="360"/>
      </w:pPr>
      <w:r>
        <w:rPr>
          <w:color w:val="646464"/>
          <w:sz w:val="17"/>
        </w:rPr>
        <w:t xml:space="preserve">[07/09/2026] ⚪  </w:t>
      </w:r>
      <w:r>
        <w:rPr>
          <w:b/>
          <w:color w:val="505050"/>
          <w:sz w:val="18"/>
        </w:rPr>
        <w:t>[ Entretien ] Économie, politique et social : "Entre le PR Diomaye et Ousmane Sonko, c'est Diomaye qui incarne le projet</w:t>
      </w:r>
      <w:r>
        <w:rPr>
          <w:color w:val="787878"/>
          <w:sz w:val="15"/>
        </w:rPr>
        <w:t xml:space="preserve">  [politique]</w:t>
      </w:r>
      <w:r>
        <w:rPr>
          <w:color w:val="B47800"/>
          <w:sz w:val="16"/>
        </w:rPr>
        <w:t xml:space="preserve">  ★ 50/10</w:t>
      </w:r>
    </w:p>
    <w:p>
      <w:pPr>
        <w:spacing w:before="0" w:after="20"/>
        <w:ind w:left="600"/>
      </w:pPr>
      <w:r>
        <w:rPr>
          <w:color w:val="323232"/>
          <w:sz w:val="17"/>
        </w:rPr>
        <w:t>Cet article relate un entretien politique sénégalais, où il est affirmé que le président Diomaye Faye incarne davantage le projet de société que son Premier ministre Ousmane Sonko. L'analyse porte sur les dynamiques de pouvoir et les orientations économiques et sociales au Sénégal, pays membre de l'UEMOA. Bien que l'article soit de nature politique</w:t>
      </w:r>
    </w:p>
    <w:p>
      <w:pPr>
        <w:spacing w:before="0" w:after="40"/>
        <w:ind w:left="600"/>
      </w:pPr>
      <w:r>
        <w:rPr>
          <w:color w:val="00643C"/>
          <w:sz w:val="16"/>
        </w:rPr>
        <w:t>Points clés : Le président Diomaye Faye est présenté comme le principal porteur du projet de société, ce qui pourrait clarifier la hiérarchie des décisions politiques.  •  Les divergences potentielles entre la présidence et le Premier ministre pourraient créer une incertitude politique, mais aussi une opportunité de dialogue.  •  L'article reflète les débats internes au Sénégal, qui peuvent avoir des répercussions sur la politique économique de l'UEMOA.</w:t>
      </w:r>
    </w:p>
    <w:p>
      <w:pPr>
        <w:spacing w:before="0" w:after="60"/>
        <w:ind w:left="600"/>
      </w:pPr>
      <w:r>
        <w:rPr>
          <w:color w:val="0064B4"/>
          <w:sz w:val="15"/>
        </w:rPr>
        <w:t>Source : https://news.google.com/rss/articles/CBMi6AFBVV95cUxPZUJUUzJjSlh3d09RQ1BRenV4bDN</w:t>
      </w:r>
    </w:p>
    <w:p>
      <w:pPr>
        <w:spacing w:before="40" w:after="40"/>
        <w:ind w:left="360"/>
      </w:pPr>
      <w:r>
        <w:rPr>
          <w:color w:val="646464"/>
          <w:sz w:val="17"/>
        </w:rPr>
        <w:t xml:space="preserve">[07/09/2026] 🟢  </w:t>
      </w:r>
      <w:r>
        <w:rPr>
          <w:b/>
          <w:color w:val="008000"/>
          <w:sz w:val="18"/>
        </w:rPr>
        <w:t>Sinayoko Brille avec un Triplé et Fait Chuter Marseille - Mali Actu</w:t>
      </w:r>
      <w:r>
        <w:rPr>
          <w:color w:val="787878"/>
          <w:sz w:val="15"/>
        </w:rPr>
        <w:t xml:space="preserve">  [politique]</w:t>
      </w:r>
      <w:r>
        <w:rPr>
          <w:color w:val="B47800"/>
          <w:sz w:val="16"/>
        </w:rPr>
        <w:t xml:space="preserve">  ★ 50/10</w:t>
      </w:r>
    </w:p>
    <w:p>
      <w:pPr>
        <w:spacing w:before="0" w:after="20"/>
        <w:ind w:left="600"/>
      </w:pPr>
      <w:r>
        <w:rPr>
          <w:color w:val="323232"/>
          <w:sz w:val="17"/>
        </w:rPr>
        <w:t>L'article relate la performance sportive de Sinayoko, qui a marqué un triplé et permis à son équipe de faire chuter l'Olympique de Marseille. Cet événement est rapporté par Mali Actu et relève de la catégorie politique, bien que le contenu soit purement sportif. Il n'y a aucune information économique ou financière liée à la zone UEMOA ou aux marché</w:t>
      </w:r>
    </w:p>
    <w:p>
      <w:pPr>
        <w:spacing w:before="0" w:after="40"/>
        <w:ind w:left="600"/>
      </w:pPr>
      <w:r>
        <w:rPr>
          <w:color w:val="00643C"/>
          <w:sz w:val="16"/>
        </w:rPr>
        <w:t>Points clés : Triplé de Sinayoko contre Marseille  •  Victoire de son équipe, défaite de Marseille  •  Article publié par Mali Actu, catégorisé politique</w:t>
      </w:r>
    </w:p>
    <w:p>
      <w:pPr>
        <w:spacing w:before="0" w:after="60"/>
        <w:ind w:left="600"/>
      </w:pPr>
      <w:r>
        <w:rPr>
          <w:color w:val="0064B4"/>
          <w:sz w:val="15"/>
        </w:rPr>
        <w:t>Source : https://news.google.com/rss/articles/CBMigwFBVV95cUxNem9iVnpLX0NYQVNMdjd3NTAtbEh</w:t>
      </w:r>
    </w:p>
    <w:p>
      <w:pPr>
        <w:spacing w:before="40" w:after="40"/>
        <w:ind w:left="360"/>
      </w:pPr>
      <w:r>
        <w:rPr>
          <w:color w:val="646464"/>
          <w:sz w:val="17"/>
        </w:rPr>
        <w:t xml:space="preserve">[06/09/2026] 🔴  </w:t>
      </w:r>
      <w:r>
        <w:rPr>
          <w:b/>
          <w:color w:val="C00000"/>
          <w:sz w:val="18"/>
        </w:rPr>
        <w:t>VIDÉO. Sénégal: manifestation contre la cherté de la vie - tv5monde</w:t>
      </w:r>
      <w:r>
        <w:rPr>
          <w:color w:val="787878"/>
          <w:sz w:val="15"/>
        </w:rPr>
        <w:t xml:space="preserve">  [politique]</w:t>
      </w:r>
      <w:r>
        <w:rPr>
          <w:color w:val="B47800"/>
          <w:sz w:val="16"/>
        </w:rPr>
        <w:t xml:space="preserve">  ★ 50/10</w:t>
      </w:r>
    </w:p>
    <w:p>
      <w:pPr>
        <w:spacing w:before="0" w:after="20"/>
        <w:ind w:left="600"/>
      </w:pPr>
      <w:r>
        <w:rPr>
          <w:color w:val="323232"/>
          <w:sz w:val="17"/>
        </w:rPr>
        <w:t>Une manifestation a eu lieu au Sénégal pour protester contre la hausse du coût de la vie, reflétant un mécontentement social croissant dans la zone UEMOA. Cet événement s'inscrit dans un contexte de tensions politiques et économiques, pouvant affecter la confiance des investisseurs. La cherté de la vie est un sujet récurrent qui peut alimenter l'in</w:t>
      </w:r>
    </w:p>
    <w:p>
      <w:pPr>
        <w:spacing w:before="0" w:after="40"/>
        <w:ind w:left="600"/>
      </w:pPr>
      <w:r>
        <w:rPr>
          <w:color w:val="00643C"/>
          <w:sz w:val="16"/>
        </w:rPr>
        <w:t>Points clés : Manifestation au Sénégal contre la cherté de la vie  •  Contexte de tensions sociales et politiques dans la zone UEMOA  •  Risque d'impact sur la stabilité économique et la confiance des investisseurs</w:t>
      </w:r>
    </w:p>
    <w:p>
      <w:pPr>
        <w:spacing w:before="0" w:after="60"/>
        <w:ind w:left="600"/>
      </w:pPr>
      <w:r>
        <w:rPr>
          <w:color w:val="0064B4"/>
          <w:sz w:val="15"/>
        </w:rPr>
        <w:t>Source : https://news.google.com/rss/articles/CBMipgFBVV95cUxNd0Jxc3dKMC15dEF5cmFfT2thNnN</w:t>
      </w:r>
    </w:p>
    <w:p>
      <w:pPr>
        <w:spacing w:before="40" w:after="40"/>
        <w:ind w:left="360"/>
      </w:pPr>
      <w:r>
        <w:rPr>
          <w:color w:val="646464"/>
          <w:sz w:val="17"/>
        </w:rPr>
        <w:t xml:space="preserve">[06/09/2026] ⚪  </w:t>
      </w:r>
      <w:r>
        <w:rPr>
          <w:b/>
          <w:color w:val="505050"/>
          <w:sz w:val="18"/>
        </w:rPr>
        <w:t>Antoine Griezmann brille en MLS avec un superbe but - Mali Actu</w:t>
      </w:r>
      <w:r>
        <w:rPr>
          <w:color w:val="787878"/>
          <w:sz w:val="15"/>
        </w:rPr>
        <w:t xml:space="preserve">  [politique]</w:t>
      </w:r>
      <w:r>
        <w:rPr>
          <w:color w:val="B47800"/>
          <w:sz w:val="16"/>
        </w:rPr>
        <w:t xml:space="preserve">  ★ 50/10</w:t>
      </w:r>
    </w:p>
    <w:p>
      <w:pPr>
        <w:spacing w:before="0" w:after="20"/>
        <w:ind w:left="600"/>
      </w:pPr>
      <w:r>
        <w:rPr>
          <w:color w:val="323232"/>
          <w:sz w:val="17"/>
        </w:rPr>
        <w:t>L'article rapporte qu'Antoine Griezmann, footballeur français évoluant en Major League Soccer (MLS), a marqué un superbe but. Cette performance sportive est relayée par Mali Actu, un média de la zone UEMOA. L'information est purement sportive et n'a aucun lien direct avec l'économie ou la politique de la région.</w:t>
      </w:r>
    </w:p>
    <w:p>
      <w:pPr>
        <w:spacing w:before="0" w:after="40"/>
        <w:ind w:left="600"/>
      </w:pPr>
      <w:r>
        <w:rPr>
          <w:color w:val="00643C"/>
          <w:sz w:val="16"/>
        </w:rPr>
        <w:t>Points clés : Performance sportive d'Antoine Griezmann en MLS  •  Information relayée par un média de la zone UEMOA</w:t>
      </w:r>
    </w:p>
    <w:p>
      <w:pPr>
        <w:spacing w:before="0" w:after="60"/>
        <w:ind w:left="600"/>
      </w:pPr>
      <w:r>
        <w:rPr>
          <w:color w:val="0064B4"/>
          <w:sz w:val="15"/>
        </w:rPr>
        <w:t>Source : https://news.google.com/rss/articles/CBMifkFVX3lxTE9sajMtcGxhMERMMXFmTUt3OUJHbDJ</w:t>
      </w:r>
    </w:p>
    <w:p>
      <w:pPr>
        <w:spacing w:before="40" w:after="40"/>
        <w:ind w:left="360"/>
      </w:pPr>
      <w:r>
        <w:rPr>
          <w:color w:val="646464"/>
          <w:sz w:val="17"/>
        </w:rPr>
        <w:t xml:space="preserve">[05/09/2026] ⚪  </w:t>
      </w:r>
      <w:r>
        <w:rPr>
          <w:b/>
          <w:color w:val="505050"/>
          <w:sz w:val="18"/>
        </w:rPr>
        <w:t>Sénégal : Ahmed Ndoye réplique à Cheikh Bara Ndiaye sur Diomaye et Diba - Africtelegraph</w:t>
      </w:r>
      <w:r>
        <w:rPr>
          <w:color w:val="787878"/>
          <w:sz w:val="15"/>
        </w:rPr>
        <w:t xml:space="preserve">  [politique]</w:t>
      </w:r>
      <w:r>
        <w:rPr>
          <w:color w:val="B47800"/>
          <w:sz w:val="16"/>
        </w:rPr>
        <w:t xml:space="preserve">  ★ 50/10</w:t>
      </w:r>
    </w:p>
    <w:p>
      <w:pPr>
        <w:spacing w:before="0" w:after="20"/>
        <w:ind w:left="600"/>
      </w:pPr>
      <w:r>
        <w:rPr>
          <w:color w:val="323232"/>
          <w:sz w:val="17"/>
        </w:rPr>
        <w:t>L'article relate une polémique politique au Sénégal où Ahmed Ndoye répond aux critiques de Cheikh Bara Ndiaye concernant le président Diomaye et son ministre Diba. Les échanges portent sur des questions de gouvernance et de gestion économique, sans détails précis sur les mesures prises. Cette controverse intervient dans un contexte de tensions poli</w:t>
      </w:r>
    </w:p>
    <w:p>
      <w:pPr>
        <w:spacing w:before="0" w:after="40"/>
        <w:ind w:left="600"/>
      </w:pPr>
      <w:r>
        <w:rPr>
          <w:color w:val="00643C"/>
          <w:sz w:val="16"/>
        </w:rPr>
        <w:t>Points clés : Conflit politique entre Ahmed Ndoye et Cheikh Bara Ndiaye au Sénégal.  •  Sujets de discussion : le président Diomaye et le ministre Diba, probablement sur des politiques économiques.  •  Aucune information spécifique sur des réformes ou des indicateurs économiques.</w:t>
      </w:r>
    </w:p>
    <w:p>
      <w:pPr>
        <w:spacing w:before="0" w:after="60"/>
        <w:ind w:left="600"/>
      </w:pPr>
      <w:r>
        <w:rPr>
          <w:color w:val="0064B4"/>
          <w:sz w:val="15"/>
        </w:rPr>
        <w:t>Source : https://news.google.com/rss/articles/CBMipAFBVV95cUxNd2I4VUI5RXo4akI2eVdDMUlaN21</w:t>
      </w:r>
    </w:p>
    <w:p>
      <w:pPr>
        <w:spacing w:before="120" w:after="40"/>
      </w:pPr>
      <w:r>
        <w:rPr>
          <w:b/>
          <w:color w:val="00467F"/>
          <w:sz w:val="20"/>
        </w:rPr>
        <w:t>🔑 matieres_premieres  (2 alerte(s))</w:t>
      </w:r>
    </w:p>
    <w:p>
      <w:pPr>
        <w:spacing w:before="40" w:after="40"/>
        <w:ind w:left="360"/>
      </w:pPr>
      <w:r>
        <w:rPr>
          <w:color w:val="646464"/>
          <w:sz w:val="17"/>
        </w:rPr>
        <w:t xml:space="preserve">[07/09/2026] ⚪  </w:t>
      </w:r>
      <w:r>
        <w:rPr>
          <w:b/>
          <w:color w:val="505050"/>
          <w:sz w:val="18"/>
        </w:rPr>
        <w:t>Le prix du pétrole brut a fortement augmenté la semaine dernière, tandis que celui du blé a chuté. - vietnam.vn</w:t>
      </w:r>
      <w:r>
        <w:rPr>
          <w:color w:val="787878"/>
          <w:sz w:val="15"/>
        </w:rPr>
        <w:t xml:space="preserve">  [matieres_premieres]</w:t>
      </w:r>
      <w:r>
        <w:rPr>
          <w:color w:val="B47800"/>
          <w:sz w:val="16"/>
        </w:rPr>
        <w:t xml:space="preserve">  ★ 50/10</w:t>
      </w:r>
    </w:p>
    <w:p>
      <w:pPr>
        <w:spacing w:before="0" w:after="20"/>
        <w:ind w:left="600"/>
      </w:pPr>
      <w:r>
        <w:rPr>
          <w:color w:val="323232"/>
          <w:sz w:val="17"/>
        </w:rPr>
        <w:t>La semaine dernière, les prix du pétrole brut ont fortement augmenté, tandis que ceux du blé ont chuté. Cette évolution est liée aux tensions géopolitiques et aux conditions météorologiques affectant l'offre. Pour la BRVM, la hausse du pétrole pourrait profiter aux valeurs pétrolières et gazières, mais la baisse du blé pourrait réduire les coûts po</w:t>
      </w:r>
    </w:p>
    <w:p>
      <w:pPr>
        <w:spacing w:before="0" w:after="40"/>
        <w:ind w:left="600"/>
      </w:pPr>
      <w:r>
        <w:rPr>
          <w:color w:val="00643C"/>
          <w:sz w:val="16"/>
        </w:rPr>
        <w:t>Points clés : Hausse significative du prix du pétrole brut.  •  Chute du prix du blé.  •  Impact potentiel sur les secteurs énergétiques et agroalimentaires.</w:t>
      </w:r>
    </w:p>
    <w:p>
      <w:pPr>
        <w:spacing w:before="0" w:after="60"/>
        <w:ind w:left="600"/>
      </w:pPr>
      <w:r>
        <w:rPr>
          <w:color w:val="0064B4"/>
          <w:sz w:val="15"/>
        </w:rPr>
        <w:t>Source : https://news.google.com/rss/articles/CBMie0FVX3lxTE1xNlQ1bFk4LWdHQm9VYmVQU0dENll</w:t>
      </w:r>
    </w:p>
    <w:p>
      <w:pPr>
        <w:spacing w:before="40" w:after="40"/>
        <w:ind w:left="360"/>
      </w:pPr>
      <w:r>
        <w:rPr>
          <w:color w:val="646464"/>
          <w:sz w:val="17"/>
        </w:rPr>
        <w:t xml:space="preserve">[07/09/2026] 🟢  </w:t>
      </w:r>
      <w:r>
        <w:rPr>
          <w:b/>
          <w:color w:val="008000"/>
          <w:sz w:val="18"/>
        </w:rPr>
        <w:t>Marché des matières premières : l'indice MXV progresse pour la 5e semaine consécutive. - vietnam.vn</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L'indice MXV, qui suit les prix des matières premières, a enregistré une progression pour la cinquième semaine consécutive, selon une information rapportée par vietnam.vn. Cette tendance haussière reflète une dynamique positive sur les marchés internationaux des matières premières. Toutefois, l'article ne fournit pas de détails spécifiques sur les </w:t>
      </w:r>
    </w:p>
    <w:p>
      <w:pPr>
        <w:spacing w:before="0" w:after="40"/>
        <w:ind w:left="600"/>
      </w:pPr>
      <w:r>
        <w:rPr>
          <w:color w:val="00643C"/>
          <w:sz w:val="16"/>
        </w:rPr>
        <w:t>Points clés : L'indice MXV progresse pour la 5e semaine consécutive.  •  La tendance haussière concerne le marché international des matières premières.</w:t>
      </w:r>
    </w:p>
    <w:p>
      <w:pPr>
        <w:spacing w:before="0" w:after="60"/>
        <w:ind w:left="600"/>
      </w:pPr>
      <w:r>
        <w:rPr>
          <w:color w:val="0064B4"/>
          <w:sz w:val="15"/>
        </w:rPr>
        <w:t>Source : https://news.google.com/rss/articles/CBMiiAFBVV95cUxQSkFXVWRWV1k5YmVSakY5OTR6SXp</w:t>
      </w:r>
    </w:p>
    <w:p>
      <w:pPr>
        <w:spacing w:before="120" w:after="40"/>
      </w:pPr>
      <w:r>
        <w:rPr>
          <w:b/>
          <w:color w:val="00467F"/>
          <w:sz w:val="20"/>
        </w:rPr>
        <w:t>🔑 marche_financier  (3 alerte(s))</w:t>
      </w:r>
    </w:p>
    <w:p>
      <w:pPr>
        <w:spacing w:before="40" w:after="40"/>
        <w:ind w:left="360"/>
      </w:pPr>
      <w:r>
        <w:rPr>
          <w:color w:val="646464"/>
          <w:sz w:val="17"/>
        </w:rPr>
        <w:t xml:space="preserve">[07/09/2026] 🟢  </w:t>
      </w:r>
      <w:r>
        <w:rPr>
          <w:b/>
          <w:color w:val="008000"/>
          <w:sz w:val="18"/>
        </w:rPr>
        <w:t>CGF Bourse lève 90 milliards FCFA en trois émissions obligataires UEMOA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CGF Bourse, une société de bourse basée en Côte d'Ivoire, a réussi à lever 90 milliards de FCFA à travers trois émissions obligataires sur le marché de l'UEMOA. Cette opération témoigne de la vitalité du marché financier régional et de la capacité des acteurs locaux à mobiliser des capitaux importants. Les fonds levés devraient contribuer au financ</w:t>
      </w:r>
    </w:p>
    <w:p>
      <w:pPr>
        <w:spacing w:before="0" w:after="40"/>
        <w:ind w:left="600"/>
      </w:pPr>
      <w:r>
        <w:rPr>
          <w:color w:val="00643C"/>
          <w:sz w:val="16"/>
        </w:rPr>
        <w:t>Points clés : CGF Bourse a levé 90 milliards FCFA via trois émissions obligataires dans l'UEMOA.  •  L'opération démontre la liquidité et la confiance des investisseurs dans le marché obligataire régional.  •  Cela pourrait stimuler d'autres émissions et accroître l'activité sur la BRVM.</w:t>
      </w:r>
    </w:p>
    <w:p>
      <w:pPr>
        <w:spacing w:before="0" w:after="60"/>
        <w:ind w:left="600"/>
      </w:pPr>
      <w:r>
        <w:rPr>
          <w:color w:val="0064B4"/>
          <w:sz w:val="15"/>
        </w:rPr>
        <w:t>Source : https://news.google.com/rss/articles/CBMipwFBVV95cUxOYlhkWXYxVG9Qc2RqT2pKd1dtRHp</w:t>
      </w:r>
    </w:p>
    <w:p>
      <w:pPr>
        <w:spacing w:before="40" w:after="40"/>
        <w:ind w:left="360"/>
      </w:pPr>
      <w:r>
        <w:rPr>
          <w:color w:val="646464"/>
          <w:sz w:val="17"/>
        </w:rPr>
        <w:t xml:space="preserve">[07/09/2026] 🟢  </w:t>
      </w:r>
      <w:r>
        <w:rPr>
          <w:b/>
          <w:color w:val="008000"/>
          <w:sz w:val="18"/>
        </w:rPr>
        <w:t>BRVM admet à la cote les Diaspora Bonds du Burkina Faso après une levée record - Capmad</w:t>
      </w:r>
      <w:r>
        <w:rPr>
          <w:color w:val="787878"/>
          <w:sz w:val="15"/>
        </w:rPr>
        <w:t xml:space="preserve">  [marche_financier]</w:t>
      </w:r>
      <w:r>
        <w:rPr>
          <w:color w:val="B47800"/>
          <w:sz w:val="16"/>
        </w:rPr>
        <w:t xml:space="preserve">  ★ 50/10</w:t>
      </w:r>
    </w:p>
    <w:p>
      <w:pPr>
        <w:spacing w:before="0" w:after="20"/>
        <w:ind w:left="600"/>
      </w:pPr>
      <w:r>
        <w:rPr>
          <w:color w:val="323232"/>
          <w:sz w:val="17"/>
        </w:rPr>
        <w:t>La BRVM a officiellement admis à sa cote les Diaspora Bonds émis par le Burkina Faso, suite à une levée de fonds record auprès de sa diaspora. Cette opération marque une étape importante pour le marché financier régional, en offrant un nouveau véhicule d'investissement et en renforçant la liquidité de la bourse. L'admission de ces titres souverains</w:t>
      </w:r>
    </w:p>
    <w:p>
      <w:pPr>
        <w:spacing w:before="0" w:after="40"/>
        <w:ind w:left="600"/>
      </w:pPr>
      <w:r>
        <w:rPr>
          <w:color w:val="00643C"/>
          <w:sz w:val="16"/>
        </w:rPr>
        <w:t>Points clés : Admission à la cote de la BRVM des Diaspora Bonds du Burkina Faso.  •  Levée de fonds record réalisée auprès de la diaspora burkinabè.  •  Diversification de l'offre de titres sur le marché financier régional.  •  Renforcement de la position de la BRVM comme plateforme de financement des États.</w:t>
      </w:r>
    </w:p>
    <w:p>
      <w:pPr>
        <w:spacing w:before="0" w:after="60"/>
        <w:ind w:left="600"/>
      </w:pPr>
      <w:r>
        <w:rPr>
          <w:color w:val="0064B4"/>
          <w:sz w:val="15"/>
        </w:rPr>
        <w:t>Source : https://news.google.com/rss/articles/CBMirgFBVV95cUxPU2JSNjV2QVM3WTM0S2ZEWXpZUVh</w:t>
      </w:r>
    </w:p>
    <w:p>
      <w:pPr>
        <w:spacing w:before="40" w:after="40"/>
        <w:ind w:left="360"/>
      </w:pPr>
      <w:r>
        <w:rPr>
          <w:color w:val="646464"/>
          <w:sz w:val="17"/>
        </w:rPr>
        <w:t xml:space="preserve">[04/09/2026] 🟢  </w:t>
      </w:r>
      <w:r>
        <w:rPr>
          <w:b/>
          <w:color w:val="008000"/>
          <w:sz w:val="18"/>
        </w:rPr>
        <w:t>Burkina Faso : chiffrés à 151,5 milliards FCFA, les « Diaspora Bonds » accèdent à la BRVM - Zoom Eco</w:t>
      </w:r>
      <w:r>
        <w:rPr>
          <w:color w:val="787878"/>
          <w:sz w:val="15"/>
        </w:rPr>
        <w:t xml:space="preserve">  [marche_financier]</w:t>
      </w:r>
      <w:r>
        <w:rPr>
          <w:color w:val="B47800"/>
          <w:sz w:val="16"/>
        </w:rPr>
        <w:t xml:space="preserve">  ★ 50/10</w:t>
      </w:r>
    </w:p>
    <w:p>
      <w:pPr>
        <w:spacing w:before="0" w:after="20"/>
        <w:ind w:left="600"/>
      </w:pPr>
      <w:r>
        <w:rPr>
          <w:color w:val="323232"/>
          <w:sz w:val="17"/>
        </w:rPr>
        <w:t>Le Burkina Faso a émis des obligations de la diaspora (Diaspora Bonds) d'un montant de 151,5 milliards FCFA, qui sont désormais cotées à la BRVM. Cette opération vise à mobiliser l'épargne des Burkinabè de l'étranger pour financer des projets de développement. L'accès à la BRVM permet de diversifier les sources de financement et d'élargir la base d</w:t>
      </w:r>
    </w:p>
    <w:p>
      <w:pPr>
        <w:spacing w:before="0" w:after="40"/>
        <w:ind w:left="600"/>
      </w:pPr>
      <w:r>
        <w:rPr>
          <w:color w:val="00643C"/>
          <w:sz w:val="16"/>
        </w:rPr>
        <w:t>Points clés : Montant de 151,5 milliards FCFA levé via les Diaspora Bonds.  •  Cotation de ces obligations à la BRVM, élargissant l'accès aux investisseurs régionaux.  •  Objectif de financement de projets de développement au Burkina Faso.</w:t>
      </w:r>
    </w:p>
    <w:p>
      <w:pPr>
        <w:spacing w:before="0" w:after="60"/>
        <w:ind w:left="600"/>
      </w:pPr>
      <w:r>
        <w:rPr>
          <w:color w:val="0064B4"/>
          <w:sz w:val="15"/>
        </w:rPr>
        <w:t>Source : https://news.google.com/rss/articles/CBMisAFBVV95cUxPWndfWXg2N1pQLVFxTUF0MldSR3Z</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2,330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8,240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10,400</w:t>
            </w:r>
          </w:p>
        </w:tc>
        <w:tc>
          <w:tcPr>
            <w:tcW w:type="dxa" w:w="1080"/>
            <w:shd w:fill="C6EFCE" w:val="clear"/>
          </w:tcPr>
          <w:p>
            <w:r>
              <w:rPr>
                <w:b/>
                <w:sz w:val="16"/>
              </w:rPr>
              <w:t>74/100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38,500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2,175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17,725</w:t>
            </w:r>
          </w:p>
        </w:tc>
        <w:tc>
          <w:tcPr>
            <w:tcW w:type="dxa" w:w="1080"/>
            <w:shd w:fill="C6EFCE" w:val="clear"/>
          </w:tcPr>
          <w:p>
            <w:r>
              <w:rPr>
                <w:b/>
                <w:sz w:val="16"/>
              </w:rPr>
              <w:t>73/100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3,205</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3,900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10,300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1,745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ORGT</w:t>
            </w:r>
          </w:p>
        </w:tc>
        <w:tc>
          <w:tcPr>
            <w:tcW w:type="dxa" w:w="1080"/>
            <w:shd w:fill="C6EFCE" w:val="clear"/>
          </w:tcPr>
          <w:p>
            <w:r>
              <w:rPr>
                <w:sz w:val="16"/>
              </w:rPr>
              <w:t>SERVICES FINANCIER</w:t>
            </w:r>
          </w:p>
        </w:tc>
        <w:tc>
          <w:tcPr>
            <w:tcW w:type="dxa" w:w="1080"/>
            <w:shd w:fill="C6EFCE" w:val="clear"/>
          </w:tcPr>
          <w:p>
            <w:r>
              <w:rPr>
                <w:sz w:val="16"/>
              </w:rPr>
              <w:t>3,335</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17,500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10,015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21,010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8,880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33,450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13,500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9,200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SOGC</w:t>
            </w:r>
          </w:p>
        </w:tc>
        <w:tc>
          <w:tcPr>
            <w:tcW w:type="dxa" w:w="1080"/>
            <w:shd w:fill="C6EFCE" w:val="clear"/>
          </w:tcPr>
          <w:p>
            <w:r>
              <w:rPr>
                <w:sz w:val="16"/>
              </w:rPr>
              <w:t>CONSOMMATION DE BA</w:t>
            </w:r>
          </w:p>
        </w:tc>
        <w:tc>
          <w:tcPr>
            <w:tcW w:type="dxa" w:w="1080"/>
            <w:shd w:fill="C6EFCE" w:val="clear"/>
          </w:tcPr>
          <w:p>
            <w:r>
              <w:rPr>
                <w:sz w:val="16"/>
              </w:rPr>
              <w:t>8,800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EBF5FB" w:val="clear"/>
          </w:tcPr>
          <w:p>
            <w:r>
              <w:rPr>
                <w:sz w:val="16"/>
              </w:rPr>
              <w:t>22</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3,000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2,405</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5,450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2,920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3,565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37,250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33,005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6,400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3,540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71</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1,580</w:t>
            </w:r>
          </w:p>
        </w:tc>
        <w:tc>
          <w:tcPr>
            <w:tcW w:type="dxa" w:w="1080"/>
            <w:shd w:fill="EBF5FB" w:val="clear"/>
          </w:tcPr>
          <w:p>
            <w:r>
              <w:rPr>
                <w:b/>
                <w:sz w:val="16"/>
              </w:rPr>
              <w:t>66/100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SHEC</w:t>
            </w:r>
          </w:p>
        </w:tc>
        <w:tc>
          <w:tcPr>
            <w:tcW w:type="dxa" w:w="1080"/>
            <w:shd w:fill="EBF5FB" w:val="clear"/>
          </w:tcPr>
          <w:p>
            <w:r>
              <w:rPr>
                <w:sz w:val="16"/>
              </w:rPr>
              <w:t>ENERGIE</w:t>
            </w:r>
          </w:p>
        </w:tc>
        <w:tc>
          <w:tcPr>
            <w:tcW w:type="dxa" w:w="1080"/>
            <w:shd w:fill="EBF5FB" w:val="clear"/>
          </w:tcPr>
          <w:p>
            <w:r>
              <w:rPr>
                <w:sz w:val="16"/>
              </w:rPr>
              <w:t>2,400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2,605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3,370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23,150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6,070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8,385</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54,350</w:t>
            </w:r>
          </w:p>
        </w:tc>
        <w:tc>
          <w:tcPr>
            <w:tcW w:type="dxa" w:w="1080"/>
            <w:shd w:fill="EBF5FB" w:val="clear"/>
          </w:tcPr>
          <w:p>
            <w:r>
              <w:rPr>
                <w:b/>
                <w:sz w:val="16"/>
              </w:rPr>
              <w:t>63/100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43</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4,050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38,500</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22,100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4,350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CIEC</w:t>
            </w:r>
          </w:p>
        </w:tc>
        <w:tc>
          <w:tcPr>
            <w:tcW w:type="dxa" w:w="1080"/>
            <w:shd w:fill="FEFEFE" w:val="clear"/>
          </w:tcPr>
          <w:p>
            <w:r>
              <w:rPr>
                <w:sz w:val="16"/>
              </w:rPr>
              <w:t>SERVICES PUBLICS</w:t>
            </w:r>
          </w:p>
        </w:tc>
        <w:tc>
          <w:tcPr>
            <w:tcW w:type="dxa" w:w="1080"/>
            <w:shd w:fill="FEFEFE" w:val="clear"/>
          </w:tcPr>
          <w:p>
            <w:r>
              <w:rPr>
                <w:sz w:val="16"/>
              </w:rPr>
              <w:t>6,700</w:t>
            </w:r>
          </w:p>
        </w:tc>
        <w:tc>
          <w:tcPr>
            <w:tcW w:type="dxa" w:w="1080"/>
            <w:shd w:fill="FEFEFE" w:val="clear"/>
          </w:tcPr>
          <w:p>
            <w:r>
              <w:rPr>
                <w:b/>
                <w:sz w:val="16"/>
              </w:rPr>
              <w:t>52/100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SIVC</w:t>
            </w:r>
          </w:p>
        </w:tc>
        <w:tc>
          <w:tcPr>
            <w:tcW w:type="dxa" w:w="1728"/>
            <w:shd w:fill="DEEAF1" w:val="clear"/>
          </w:tcPr>
          <w:p>
            <w:r>
              <w:rPr>
                <w:sz w:val="17"/>
              </w:rPr>
              <w:t>SIVC - ERIUM CI (Ex AIR LIQU</w:t>
            </w:r>
          </w:p>
        </w:tc>
        <w:tc>
          <w:tcPr>
            <w:tcW w:type="dxa" w:w="1728"/>
            <w:shd w:fill="DEEAF1" w:val="clear"/>
          </w:tcPr>
          <w:p>
            <w:r>
              <w:rPr>
                <w:sz w:val="17"/>
              </w:rPr>
              <w:t>2,330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8,240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BNBC</w:t>
            </w:r>
          </w:p>
        </w:tc>
        <w:tc>
          <w:tcPr>
            <w:tcW w:type="dxa" w:w="1728"/>
            <w:shd w:fill="DEEAF1" w:val="clear"/>
          </w:tcPr>
          <w:p>
            <w:r>
              <w:rPr>
                <w:sz w:val="17"/>
              </w:rPr>
              <w:t>BNBC - BERNABE CI</w:t>
            </w:r>
          </w:p>
        </w:tc>
        <w:tc>
          <w:tcPr>
            <w:tcW w:type="dxa" w:w="1728"/>
            <w:shd w:fill="DEEAF1" w:val="clear"/>
          </w:tcPr>
          <w:p>
            <w:r>
              <w:rPr>
                <w:sz w:val="17"/>
              </w:rPr>
              <w:t>2,175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17,725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ORGT</w:t>
            </w:r>
          </w:p>
        </w:tc>
        <w:tc>
          <w:tcPr>
            <w:tcW w:type="dxa" w:w="1728"/>
            <w:shd w:fill="DEEAF1" w:val="clear"/>
          </w:tcPr>
          <w:p>
            <w:r>
              <w:rPr>
                <w:sz w:val="17"/>
              </w:rPr>
              <w:t>ORGT - ORAGROUP TOGO</w:t>
            </w:r>
          </w:p>
        </w:tc>
        <w:tc>
          <w:tcPr>
            <w:tcW w:type="dxa" w:w="1728"/>
            <w:shd w:fill="DEEAF1" w:val="clear"/>
          </w:tcPr>
          <w:p>
            <w:r>
              <w:rPr>
                <w:sz w:val="17"/>
              </w:rPr>
              <w:t>3,335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9,200</w:t>
            </w:r>
          </w:p>
        </w:tc>
        <w:tc>
          <w:tcPr>
            <w:tcW w:type="dxa" w:w="1728"/>
            <w:shd w:fill="DEEAF1" w:val="clear"/>
          </w:tcPr>
          <w:p>
            <w:r>
              <w:rPr>
                <w:sz w:val="17"/>
              </w:rPr>
              <w:t>70/100</w:t>
            </w:r>
          </w:p>
        </w:tc>
        <w:tc>
          <w:tcPr>
            <w:tcW w:type="dxa" w:w="1728"/>
            <w:shd w:fill="DEEAF1" w:val="clear"/>
          </w:tcPr>
          <w:p>
            <w:r>
              <w:rPr>
                <w:sz w:val="17"/>
              </w:rPr>
              <w:t>10.6%</w:t>
            </w:r>
          </w:p>
        </w:tc>
      </w:tr>
      <w:tr>
        <w:tc>
          <w:tcPr>
            <w:tcW w:type="dxa" w:w="1728"/>
            <w:shd w:fill="DEEAF1" w:val="clear"/>
          </w:tcPr>
          <w:p>
            <w:r>
              <w:rPr>
                <w:sz w:val="17"/>
              </w:rPr>
              <w:t>SOGC</w:t>
            </w:r>
          </w:p>
        </w:tc>
        <w:tc>
          <w:tcPr>
            <w:tcW w:type="dxa" w:w="1728"/>
            <w:shd w:fill="DEEAF1" w:val="clear"/>
          </w:tcPr>
          <w:p>
            <w:r>
              <w:rPr>
                <w:sz w:val="17"/>
              </w:rPr>
              <w:t>SOGC - Société des caoutchou</w:t>
            </w:r>
          </w:p>
        </w:tc>
        <w:tc>
          <w:tcPr>
            <w:tcW w:type="dxa" w:w="1728"/>
            <w:shd w:fill="DEEAF1" w:val="clear"/>
          </w:tcPr>
          <w:p>
            <w:r>
              <w:rPr>
                <w:sz w:val="17"/>
              </w:rPr>
              <w:t>8,800</w:t>
            </w:r>
          </w:p>
        </w:tc>
        <w:tc>
          <w:tcPr>
            <w:tcW w:type="dxa" w:w="1728"/>
            <w:shd w:fill="DEEAF1" w:val="clear"/>
          </w:tcPr>
          <w:p>
            <w:r>
              <w:rPr>
                <w:sz w:val="17"/>
              </w:rPr>
              <w:t>70/100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2,405</w:t>
            </w:r>
          </w:p>
        </w:tc>
        <w:tc>
          <w:tcPr>
            <w:tcW w:type="dxa" w:w="1728"/>
            <w:shd w:fill="DEEAF1" w:val="clear"/>
          </w:tcPr>
          <w:p>
            <w:r>
              <w:rPr>
                <w:sz w:val="17"/>
              </w:rPr>
              <w:t>69/100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SIVC</w:t>
            </w:r>
          </w:p>
        </w:tc>
        <w:tc>
          <w:tcPr>
            <w:tcW w:type="dxa" w:w="1728"/>
            <w:shd w:fill="E2EFDA" w:val="clear"/>
          </w:tcPr>
          <w:p>
            <w:r>
              <w:rPr>
                <w:sz w:val="17"/>
              </w:rPr>
              <w:t>SIVC - ERIUM CI (Ex AIR LIQU</w:t>
            </w:r>
          </w:p>
        </w:tc>
        <w:tc>
          <w:tcPr>
            <w:tcW w:type="dxa" w:w="1728"/>
            <w:shd w:fill="E2EFDA" w:val="clear"/>
          </w:tcPr>
          <w:p>
            <w:r>
              <w:rPr>
                <w:sz w:val="17"/>
              </w:rPr>
              <w:t>2,330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8,240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10,400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38,500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2,175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17,725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SDSC</w:t>
            </w:r>
          </w:p>
        </w:tc>
        <w:tc>
          <w:tcPr>
            <w:tcW w:type="dxa" w:w="1728"/>
            <w:shd w:fill="E2EFDA" w:val="clear"/>
          </w:tcPr>
          <w:p>
            <w:r>
              <w:rPr>
                <w:sz w:val="17"/>
              </w:rPr>
              <w:t>SDSC - AFRICA GLOBAL LOGISTI</w:t>
            </w:r>
          </w:p>
        </w:tc>
        <w:tc>
          <w:tcPr>
            <w:tcW w:type="dxa" w:w="1728"/>
            <w:shd w:fill="E2EFDA" w:val="clear"/>
          </w:tcPr>
          <w:p>
            <w:r>
              <w:rPr>
                <w:sz w:val="17"/>
              </w:rPr>
              <w:t>3,205</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SIVC</w:t>
            </w:r>
          </w:p>
        </w:tc>
        <w:tc>
          <w:tcPr>
            <w:tcW w:type="dxa" w:w="1728"/>
            <w:shd w:fill="FCE4D6" w:val="clear"/>
          </w:tcPr>
          <w:p>
            <w:r>
              <w:rPr>
                <w:sz w:val="17"/>
              </w:rPr>
              <w:t>SIVC - ERIUM CI (Ex AIR LIQU</w:t>
            </w:r>
          </w:p>
        </w:tc>
        <w:tc>
          <w:tcPr>
            <w:tcW w:type="dxa" w:w="1728"/>
            <w:shd w:fill="FCE4D6" w:val="clear"/>
          </w:tcPr>
          <w:p>
            <w:r>
              <w:rPr>
                <w:sz w:val="17"/>
              </w:rPr>
              <w:t>2,330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8,240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10,400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38,500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2,175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17,725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SDSC</w:t>
            </w:r>
          </w:p>
        </w:tc>
        <w:tc>
          <w:tcPr>
            <w:tcW w:type="dxa" w:w="1728"/>
            <w:shd w:fill="FCE4D6" w:val="clear"/>
          </w:tcPr>
          <w:p>
            <w:r>
              <w:rPr>
                <w:sz w:val="17"/>
              </w:rPr>
              <w:t>SDSC - AFRICA GLOBAL LOGISTI</w:t>
            </w:r>
          </w:p>
        </w:tc>
        <w:tc>
          <w:tcPr>
            <w:tcW w:type="dxa" w:w="1728"/>
            <w:shd w:fill="FCE4D6" w:val="clear"/>
          </w:tcPr>
          <w:p>
            <w:r>
              <w:rPr>
                <w:sz w:val="17"/>
              </w:rPr>
              <w:t>3,205</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(84.7 &gt; 70) — risque de correction</w:t>
      </w:r>
    </w:p>
    <w:p>
      <w:pPr>
        <w:pStyle w:val="ListBullet"/>
        <w:spacing w:before="20"/>
        <w:ind w:left="400"/>
      </w:pPr>
      <w:r>
        <w:rPr>
          <w:sz w:val="18"/>
        </w:rPr>
        <w:t>⚠️ Cours à 0.0% du plus haut 100j (10,400 FCFA)</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RSI surachat (83.0 &gt; 70) — risque de correction</w:t>
      </w:r>
    </w:p>
    <w:p>
      <w:pPr>
        <w:pStyle w:val="ListBullet"/>
        <w:spacing w:before="20"/>
        <w:ind w:left="400"/>
      </w:pPr>
      <w:r>
        <w:rPr>
          <w:sz w:val="18"/>
        </w:rPr>
        <w:t>⚠️ Cours à 0.0% du plus haut 100j (33,005 FCFA)</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RSI surachat (81.6 &gt; 70) — risque de correction</w:t>
      </w:r>
    </w:p>
    <w:p>
      <w:pPr>
        <w:pStyle w:val="ListBullet"/>
        <w:spacing w:before="20"/>
        <w:ind w:left="400"/>
      </w:pPr>
      <w:r>
        <w:rPr>
          <w:sz w:val="18"/>
        </w:rPr>
        <w:t>⚠️ Cours à 0.0% du plus haut 100j (33,450 FCFA)</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RSI surachat (74.3 &gt; 70) — risque de correction</w:t>
      </w:r>
    </w:p>
    <w:p>
      <w:pPr>
        <w:pStyle w:val="ListBullet"/>
        <w:spacing w:before="20"/>
        <w:ind w:left="400"/>
      </w:pPr>
      <w:r>
        <w:rPr>
          <w:sz w:val="18"/>
        </w:rPr>
        <w:t>⚠️ Cours à 0.0% du plus haut 100j (17,725 FCFA)</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RSI surachat (83.2 &gt; 70) — risque de correction</w:t>
      </w:r>
    </w:p>
    <w:p>
      <w:pPr>
        <w:pStyle w:val="ListBullet"/>
        <w:spacing w:before="20"/>
        <w:ind w:left="400"/>
      </w:pPr>
      <w:r>
        <w:rPr>
          <w:sz w:val="18"/>
        </w:rPr>
        <w:t>⚠️ Cours à 0.8% du plus haut 100j (8,875 FCFA)</w:t>
      </w:r>
    </w:p>
    <w:p>
      <w:pPr>
        <w:pStyle w:val="ListBullet"/>
        <w:spacing w:before="20"/>
        <w:ind w:left="400"/>
      </w:pPr>
      <w:r>
        <w:rPr>
          <w:sz w:val="18"/>
        </w:rPr>
        <w:t>🟠 Divergence tech(VENTE) / fond(ACHAT) — recommandation ajustée à ACHAT FORT</w:t>
      </w:r>
    </w:p>
    <w:p>
      <w:pPr>
        <w:spacing w:before="120"/>
      </w:pPr>
      <w:r>
        <w:rPr>
          <w:b/>
          <w:color w:val="0050A0"/>
          <w:sz w:val="20"/>
        </w:rPr>
        <w:t>ABJC — ABJC - SERVAIR ABIDJAN CI</w:t>
      </w:r>
    </w:p>
    <w:p>
      <w:pPr>
        <w:pStyle w:val="ListBullet"/>
        <w:spacing w:before="20"/>
        <w:ind w:left="400"/>
      </w:pPr>
      <w:r>
        <w:rPr>
          <w:sz w:val="18"/>
        </w:rPr>
        <w:t>🔴 RSI surachat (85.1 &gt; 70) — risque de correction</w:t>
      </w:r>
    </w:p>
    <w:p>
      <w:pPr>
        <w:pStyle w:val="ListBullet"/>
        <w:spacing w:before="20"/>
        <w:ind w:left="400"/>
      </w:pPr>
      <w:r>
        <w:rPr>
          <w:sz w:val="18"/>
        </w:rPr>
        <w:t>⚠️ Cours à 1.3% du plus haut 100j (3,950 FCFA)</w:t>
      </w:r>
    </w:p>
    <w:p>
      <w:pPr>
        <w:spacing w:before="120"/>
      </w:pPr>
      <w:r>
        <w:rPr>
          <w:b/>
          <w:color w:val="0050A0"/>
          <w:sz w:val="20"/>
        </w:rPr>
        <w:t>BOAB — BANK OF AFRICA BENIN</w:t>
      </w:r>
    </w:p>
    <w:p>
      <w:pPr>
        <w:pStyle w:val="ListBullet"/>
        <w:spacing w:before="20"/>
        <w:ind w:left="400"/>
      </w:pPr>
      <w:r>
        <w:rPr>
          <w:sz w:val="18"/>
        </w:rPr>
        <w:t>🔴 RSI surachat (76.7 &gt; 70) — risque de correction</w:t>
      </w:r>
    </w:p>
    <w:p>
      <w:pPr>
        <w:pStyle w:val="ListBullet"/>
        <w:spacing w:before="20"/>
        <w:ind w:left="400"/>
      </w:pPr>
      <w:r>
        <w:rPr>
          <w:sz w:val="18"/>
        </w:rPr>
        <w:t>⚠️ Cours à 0.5% du plus haut 100j (10,350 FCFA)</w:t>
      </w:r>
    </w:p>
    <w:p>
      <w:pPr>
        <w:spacing w:before="120"/>
      </w:pPr>
      <w:r>
        <w:rPr>
          <w:b/>
          <w:color w:val="0050A0"/>
          <w:sz w:val="20"/>
        </w:rPr>
        <w:t>BOABF — BANK OF AFRICA BURKINA FASO</w:t>
      </w:r>
    </w:p>
    <w:p>
      <w:pPr>
        <w:pStyle w:val="ListBullet"/>
        <w:spacing w:before="20"/>
        <w:ind w:left="400"/>
      </w:pPr>
      <w:r>
        <w:rPr>
          <w:sz w:val="18"/>
        </w:rPr>
        <w:t>🔴 RSI surachat (83.0 &gt; 70) — risque de correction</w:t>
      </w:r>
    </w:p>
    <w:p>
      <w:pPr>
        <w:pStyle w:val="ListBullet"/>
        <w:spacing w:before="20"/>
        <w:ind w:left="400"/>
      </w:pPr>
      <w:r>
        <w:rPr>
          <w:sz w:val="18"/>
        </w:rPr>
        <w:t>⚠️ Cours à 2.3% du plus haut 100j (9,090 FCFA)</w:t>
      </w:r>
    </w:p>
    <w:p>
      <w:pPr>
        <w:spacing w:before="120"/>
      </w:pPr>
      <w:r>
        <w:rPr>
          <w:b/>
          <w:color w:val="0050A0"/>
          <w:sz w:val="20"/>
        </w:rPr>
        <w:t>CIEC — CIEC - Compagnie Ivoirienne d'Electricité</w:t>
      </w:r>
    </w:p>
    <w:p>
      <w:pPr>
        <w:pStyle w:val="ListBullet"/>
        <w:spacing w:before="20"/>
        <w:ind w:left="400"/>
      </w:pPr>
      <w:r>
        <w:rPr>
          <w:sz w:val="18"/>
        </w:rPr>
        <w:t>🔴 RSI surachat (71.6 &gt; 70) — risque de correction</w:t>
      </w:r>
    </w:p>
    <w:p>
      <w:pPr>
        <w:pStyle w:val="ListBullet"/>
        <w:spacing w:before="20"/>
        <w:ind w:left="400"/>
      </w:pPr>
      <w:r>
        <w:rPr>
          <w:sz w:val="18"/>
        </w:rPr>
        <w:t>🟠 Divergence tech(VENTE) / fond(NEUTRE) — recommandation ajustée à CONSERVER ⚠️</w:t>
      </w:r>
    </w:p>
    <w:p>
      <w:pPr>
        <w:spacing w:before="120"/>
      </w:pPr>
      <w:r>
        <w:rPr>
          <w:b/>
          <w:color w:val="0050A0"/>
          <w:sz w:val="20"/>
        </w:rPr>
        <w:t>NEIC — NEIC - NEI-CEDA CI</w:t>
      </w:r>
    </w:p>
    <w:p>
      <w:pPr>
        <w:pStyle w:val="ListBullet"/>
        <w:spacing w:before="20"/>
        <w:ind w:left="400"/>
      </w:pPr>
      <w:r>
        <w:rPr>
          <w:sz w:val="18"/>
        </w:rPr>
        <w:t>🔴 RSI surachat (96.0 &gt; 70) — risque de correction</w:t>
      </w:r>
    </w:p>
    <w:p>
      <w:pPr>
        <w:pStyle w:val="ListBullet"/>
        <w:spacing w:before="20"/>
        <w:ind w:left="400"/>
      </w:pPr>
      <w:r>
        <w:rPr>
          <w:sz w:val="18"/>
        </w:rPr>
        <w:t>⚠️ Cours à 0.0% du plus haut 100j (3,000 FCFA)</w:t>
      </w:r>
    </w:p>
    <w:p>
      <w:pPr>
        <w:spacing w:before="120"/>
      </w:pPr>
      <w:r>
        <w:rPr>
          <w:b/>
          <w:color w:val="0050A0"/>
          <w:sz w:val="20"/>
        </w:rPr>
        <w:t>ORAC — ORAC - ORANGE COTE D'IVOIRE</w:t>
      </w:r>
    </w:p>
    <w:p>
      <w:pPr>
        <w:pStyle w:val="ListBullet"/>
        <w:spacing w:before="20"/>
        <w:ind w:left="400"/>
      </w:pPr>
      <w:r>
        <w:rPr>
          <w:sz w:val="18"/>
        </w:rPr>
        <w:t>🔴 RSI surachat (75.6 &gt; 70) — risque de correction</w:t>
      </w:r>
    </w:p>
    <w:p>
      <w:pPr>
        <w:pStyle w:val="ListBullet"/>
        <w:spacing w:before="20"/>
        <w:ind w:left="400"/>
      </w:pPr>
      <w:r>
        <w:rPr>
          <w:sz w:val="18"/>
        </w:rPr>
        <w:t>⚠️ Cours à 2.3% du plus haut 100j (21,500 FCFA)</w:t>
      </w:r>
    </w:p>
    <w:p>
      <w:pPr>
        <w:spacing w:before="120"/>
      </w:pPr>
      <w:r>
        <w:rPr>
          <w:b/>
          <w:color w:val="0050A0"/>
          <w:sz w:val="20"/>
        </w:rPr>
        <w:t>ORGT — ORGT - ORAGROUP TOGO</w:t>
      </w:r>
    </w:p>
    <w:p>
      <w:pPr>
        <w:pStyle w:val="ListBullet"/>
        <w:spacing w:before="20"/>
        <w:ind w:left="400"/>
      </w:pPr>
      <w:r>
        <w:rPr>
          <w:sz w:val="18"/>
        </w:rPr>
        <w:t>🔴 RSI surachat (76.7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RSI surachat (83.9 &gt; 70) — risque de correction</w:t>
      </w:r>
    </w:p>
    <w:p>
      <w:pPr>
        <w:pStyle w:val="ListBullet"/>
        <w:spacing w:before="20"/>
        <w:ind w:left="400"/>
      </w:pPr>
      <w:r>
        <w:rPr>
          <w:sz w:val="18"/>
        </w:rPr>
        <w:t>⚠️ Cours à 0.0% du plus haut 100j (13,500 FCFA)</w:t>
      </w:r>
    </w:p>
    <w:p>
      <w:pPr>
        <w:spacing w:before="120"/>
      </w:pPr>
      <w:r>
        <w:rPr>
          <w:b/>
          <w:color w:val="0050A0"/>
          <w:sz w:val="20"/>
        </w:rPr>
        <w:t>SHEC — SHEC - VIVO ENERGY COTE D'IVOIRE</w:t>
      </w:r>
    </w:p>
    <w:p>
      <w:pPr>
        <w:pStyle w:val="ListBullet"/>
        <w:spacing w:before="20"/>
        <w:ind w:left="400"/>
      </w:pPr>
      <w:r>
        <w:rPr>
          <w:sz w:val="18"/>
        </w:rPr>
        <w:t>🔴 RSI surachat (76.3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RSI surachat (83.6 &gt; 70) — risque de correction</w:t>
      </w:r>
    </w:p>
    <w:p>
      <w:pPr>
        <w:pStyle w:val="ListBullet"/>
        <w:spacing w:before="20"/>
        <w:ind w:left="400"/>
      </w:pPr>
      <w:r>
        <w:rPr>
          <w:sz w:val="18"/>
        </w:rPr>
        <w:t>⚠️ Cours à 1.3% du plus haut 100j (17,735 FCFA)</w:t>
      </w:r>
    </w:p>
    <w:p>
      <w:pPr>
        <w:spacing w:before="120"/>
      </w:pPr>
      <w:r>
        <w:rPr>
          <w:b/>
          <w:color w:val="0050A0"/>
          <w:sz w:val="20"/>
        </w:rPr>
        <w:t>SNTS — SNTS - SONATEL SN</w:t>
      </w:r>
    </w:p>
    <w:p>
      <w:pPr>
        <w:pStyle w:val="ListBullet"/>
        <w:spacing w:before="20"/>
        <w:ind w:left="400"/>
      </w:pPr>
      <w:r>
        <w:rPr>
          <w:sz w:val="18"/>
        </w:rPr>
        <w:t>🔴 RSI surachat (78.5 &gt; 70) — risque de correction</w:t>
      </w:r>
    </w:p>
    <w:p>
      <w:pPr>
        <w:pStyle w:val="ListBullet"/>
        <w:spacing w:before="20"/>
        <w:ind w:left="400"/>
      </w:pPr>
      <w:r>
        <w:rPr>
          <w:sz w:val="18"/>
        </w:rPr>
        <w:t>⚠️ Cours à 0.0% du plus haut 100j (38,500 FCFA)</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(72.3 &gt; 70) — risque de correction</w:t>
      </w:r>
    </w:p>
    <w:p>
      <w:pPr>
        <w:pStyle w:val="ListBullet"/>
        <w:spacing w:before="20"/>
        <w:ind w:left="400"/>
      </w:pPr>
      <w:r>
        <w:rPr>
          <w:sz w:val="18"/>
        </w:rPr>
        <w:t>⚠️ Cours à 2.8% du plus haut 100j (10,300 FCFA)</w:t>
      </w:r>
    </w:p>
    <w:p>
      <w:pPr>
        <w:spacing w:before="120"/>
      </w:pPr>
      <w:r>
        <w:rPr>
          <w:b/>
          <w:color w:val="0050A0"/>
          <w:sz w:val="20"/>
        </w:rPr>
        <w:t>UNXC — UNXC - UNIWAX COTE D'IVOIRE</w:t>
      </w:r>
    </w:p>
    <w:p>
      <w:pPr>
        <w:pStyle w:val="ListBullet"/>
        <w:spacing w:before="20"/>
        <w:ind w:left="400"/>
      </w:pPr>
      <w:r>
        <w:rPr>
          <w:sz w:val="18"/>
        </w:rPr>
        <w:t>🔴 RSI surachat (77.9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RSI surachat (72.9 &gt; 70) — risque de correction</w:t>
      </w:r>
    </w:p>
    <w:p>
      <w:pPr>
        <w:spacing w:before="120"/>
      </w:pPr>
      <w:r>
        <w:rPr>
          <w:b/>
          <w:color w:val="0050A0"/>
          <w:sz w:val="20"/>
        </w:rPr>
        <w:t>ETIT — ETIT - Ecobank Transnational Incorporated Togo</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NSBC — NSBC - NSIA BANQUE COTE D'IVOIRE</w:t>
      </w:r>
    </w:p>
    <w:p>
      <w:pPr>
        <w:pStyle w:val="ListBullet"/>
        <w:spacing w:before="20"/>
        <w:ind w:left="400"/>
      </w:pPr>
      <w:r>
        <w:rPr>
          <w:sz w:val="18"/>
        </w:rPr>
        <w:t>🟠 Divergence tech(VENTE) / fond(ACHAT) — recommandation ajustée à ACHAT</w:t>
      </w:r>
    </w:p>
    <w:p>
      <w:pPr>
        <w:spacing w:before="120"/>
      </w:pPr>
      <w:r>
        <w:rPr>
          <w:b/>
          <w:color w:val="0050A0"/>
          <w:sz w:val="20"/>
        </w:rPr>
        <w:t>ONTBF — ONTBF - ONATEL BURKINA FASO</w:t>
      </w:r>
    </w:p>
    <w:p>
      <w:pPr>
        <w:pStyle w:val="ListBullet"/>
        <w:spacing w:before="20"/>
        <w:ind w:left="400"/>
      </w:pPr>
      <w:r>
        <w:rPr>
          <w:sz w:val="18"/>
        </w:rPr>
        <w:t>🟠 Divergence tech(VENTE) / fond(ACHAT) — recommandation ajustée à ACHAT</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Cours à 0.0% du plus haut 100j (3,205 FCFA)</w:t>
      </w:r>
    </w:p>
    <w:p>
      <w:pPr>
        <w:spacing w:before="120"/>
      </w:pPr>
      <w:r>
        <w:rPr>
          <w:b/>
          <w:color w:val="0050A0"/>
          <w:sz w:val="20"/>
        </w:rPr>
        <w:t>SGBC — SGBC - SOCIETE GENERALE COTE D'IVOIRE</w:t>
      </w:r>
    </w:p>
    <w:p>
      <w:pPr>
        <w:pStyle w:val="ListBullet"/>
        <w:spacing w:before="20"/>
        <w:ind w:left="400"/>
      </w:pPr>
      <w:r>
        <w:rPr>
          <w:sz w:val="18"/>
        </w:rPr>
        <w:t>⚠️ Cours à 2.0% du plus haut 100j (39,300 FCFA)</w:t>
      </w:r>
    </w:p>
    <w:p>
      <w:pPr>
        <w:spacing w:before="120"/>
      </w:pPr>
      <w:r>
        <w:rPr>
          <w:b/>
          <w:color w:val="0050A0"/>
          <w:sz w:val="20"/>
        </w:rPr>
        <w:t>SICC — SICC - SICOR COTE D'IVOIRE</w:t>
      </w:r>
    </w:p>
    <w:p>
      <w:pPr>
        <w:pStyle w:val="ListBullet"/>
        <w:spacing w:before="20"/>
        <w:ind w:left="400"/>
      </w:pPr>
      <w:r>
        <w:rPr>
          <w:sz w:val="18"/>
        </w:rPr>
        <w:t>🟢 RSI survente (27.3 &lt; 30) — opportunité potentielle</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18 société(s) (38%)</w:t>
            </w:r>
          </w:p>
        </w:tc>
        <w:tc>
          <w:tcPr>
            <w:tcW w:type="dxa" w:w="1644"/>
            <w:shd w:fill="FFEB9C" w:val="clear"/>
          </w:tcPr>
          <w:p>
            <w:r>
              <w:rPr>
                <w:b/>
                <w:color w:val="825A00"/>
                <w:sz w:val="19"/>
              </w:rPr>
              <w:t>29 société(s) (62%)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21.7/100</w:t>
            </w:r>
          </w:p>
        </w:tc>
        <w:tc>
          <w:tcPr>
            <w:tcW w:type="dxa" w:w="1644"/>
            <w:shd w:fill="DEEAF1" w:val="clear"/>
          </w:tcPr>
          <w:p>
            <w:r>
              <w:rPr>
                <w:b/>
                <w:color w:val="000000"/>
                <w:sz w:val="19"/>
              </w:rPr>
              <w:t>21.1/100</w:t>
            </w:r>
          </w:p>
        </w:tc>
      </w:tr>
    </w:tbl>
    <w:p/>
    <w:p>
      <w:r>
        <w:rPr>
          <w:i/>
          <w:color w:val="006400"/>
          <w:sz w:val="18"/>
        </w:rPr>
        <w:t>✅ Le marché BRVM présente globalement un profil de risque FAIBLE (score moyen 21.7/100).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29.8/100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#4 SAFC (30.1/100 — Moyen) : </w:t>
      </w:r>
      <w:r>
        <w:rPr>
          <w:sz w:val="17"/>
        </w:rPr>
        <w:t>Volatilité=Élevée | Bêta=Défensif | Liquidité=Bonne | Divergence signaux=taux divergence=20% (Mixte ⚠️) | Stabilité=Instable</w:t>
      </w:r>
    </w:p>
    <w:p>
      <w:pPr>
        <w:pStyle w:val="ListBullet"/>
      </w:pPr>
      <w:r>
        <w:rPr>
          <w:b/>
          <w:color w:val="B40000"/>
          <w:sz w:val="18"/>
        </w:rPr>
        <w:t xml:space="preserve">#5 CIEC (29.8/100 — Moyen) : </w:t>
      </w:r>
      <w:r>
        <w:rPr>
          <w:sz w:val="17"/>
        </w:rPr>
        <w:t>Volatilité=Élevée | Bêta=Neutre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13.1/100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SIBC</w:t>
            </w:r>
          </w:p>
        </w:tc>
        <w:tc>
          <w:tcPr>
            <w:tcW w:type="dxa" w:w="2268"/>
            <w:shd w:fill="FFFFFF" w:val="clear"/>
          </w:tcPr>
          <w:p>
            <w:r>
              <w:rPr>
                <w:sz w:val="16"/>
              </w:rPr>
              <w:t>SIBC - SOCIETE IVOIRIENNE DE…</w:t>
            </w:r>
          </w:p>
        </w:tc>
        <w:tc>
          <w:tcPr>
            <w:tcW w:type="dxa" w:w="1701"/>
            <w:shd w:fill="FFFFFF" w:val="clear"/>
          </w:tcPr>
          <w:p>
            <w:r>
              <w:rPr>
                <w:sz w:val="16"/>
              </w:rPr>
              <w:t>SERVICES FINANCIER</w:t>
            </w:r>
          </w:p>
        </w:tc>
        <w:tc>
          <w:tcPr>
            <w:tcW w:type="dxa" w:w="1020"/>
            <w:shd w:fill="C6EFCE" w:val="clear"/>
          </w:tcPr>
          <w:p>
            <w:r>
              <w:rPr>
                <w:b/>
                <w:color w:val="007800"/>
                <w:sz w:val="16"/>
              </w:rPr>
              <w:t>15.3/100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27.6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25.1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19.8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-13.22%  |  Médiane : -13.19%</w:t>
            </w:r>
          </w:p>
        </w:tc>
      </w:tr>
      <w:tr>
        <w:tc>
          <w:tcPr>
            <w:tcW w:type="dxa" w:w="2835"/>
            <w:shd w:fill="DEEAF1" w:val="clear"/>
          </w:tcPr>
          <w:p>
            <w:r>
              <w:rPr>
                <w:b/>
                <w:sz w:val="18"/>
              </w:rPr>
              <w:t>Répartition</w:t>
            </w:r>
          </w:p>
        </w:tc>
        <w:tc>
          <w:tcPr>
            <w:tcW w:type="dxa" w:w="7370"/>
          </w:tcPr>
          <w:p>
            <w:r>
              <w:rPr>
                <w:b/>
                <w:sz w:val="18"/>
              </w:rPr>
              <w:t>📈 6 sociétés en hausse (&gt;+1%)   📉 38 en baisse (&lt;-1%)   ➡️ 3 neutres</w:t>
            </w:r>
          </w:p>
        </w:tc>
      </w:tr>
      <w:tr>
        <w:tc>
          <w:tcPr>
            <w:tcW w:type="dxa" w:w="2835"/>
            <w:shd w:fill="DEEAF1" w:val="clear"/>
          </w:tcPr>
          <w:p>
            <w:r>
              <w:rPr>
                <w:b/>
                <w:sz w:val="18"/>
              </w:rPr>
              <w:t>Confiance globale</w:t>
            </w:r>
          </w:p>
        </w:tc>
        <w:tc>
          <w:tcPr>
            <w:tcW w:type="dxa" w:w="7370"/>
          </w:tcPr>
          <w:p>
            <w:r>
              <w:rPr>
                <w:b/>
                <w:sz w:val="18"/>
              </w:rPr>
              <w:t>Élevée : 0 sociétés (0%)   Moyenne : 12   Faible : 35 (74%)   → Confiance dominante : Faible</w:t>
            </w:r>
          </w:p>
        </w:tc>
      </w:tr>
    </w:tbl>
    <w:p/>
    <w:p>
      <w:r>
        <w:rPr>
          <w:i/>
          <w:color w:val="282828"/>
          <w:sz w:val="18"/>
        </w:rPr>
        <w:t>📝 Analyse : Les modèles anticipent une correction généralisée. 38 sociétés sur 47 sont orientées à la baisse avec une variation moyenne de -13.22%.</w:t>
      </w:r>
    </w:p>
    <w:p>
      <w:r>
        <w:rPr>
          <w:i/>
          <w:color w:val="282828"/>
          <w:sz w:val="18"/>
        </w:rPr>
        <w:t>🎯 Fiabilité : ⚠️ La confiance est globalement FAIBLE (74%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3,540 FCFA</w:t>
            </w:r>
          </w:p>
        </w:tc>
        <w:tc>
          <w:tcPr>
            <w:tcW w:type="dxa" w:w="1417"/>
            <w:shd w:fill="FFFFFF" w:val="clear"/>
          </w:tcPr>
          <w:p>
            <w:r>
              <w:rPr>
                <w:sz w:val="16"/>
              </w:rPr>
              <w:t>6,273 FCFA</w:t>
            </w:r>
          </w:p>
        </w:tc>
        <w:tc>
          <w:tcPr>
            <w:tcW w:type="dxa" w:w="1134"/>
            <w:shd w:fill="C6EFCE" w:val="clear"/>
          </w:tcPr>
          <w:p>
            <w:r>
              <w:rPr>
                <w:b/>
                <w:color w:val="007800"/>
                <w:sz w:val="16"/>
              </w:rPr>
              <w:t>+77.21%</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23,150 FCFA</w:t>
            </w:r>
          </w:p>
        </w:tc>
        <w:tc>
          <w:tcPr>
            <w:tcW w:type="dxa" w:w="1417"/>
            <w:shd w:fill="FFFFFF" w:val="clear"/>
          </w:tcPr>
          <w:p>
            <w:r>
              <w:rPr>
                <w:sz w:val="16"/>
              </w:rPr>
              <w:t>27,147 FCFA</w:t>
            </w:r>
          </w:p>
        </w:tc>
        <w:tc>
          <w:tcPr>
            <w:tcW w:type="dxa" w:w="1134"/>
            <w:shd w:fill="C6EFCE" w:val="clear"/>
          </w:tcPr>
          <w:p>
            <w:r>
              <w:rPr>
                <w:b/>
                <w:color w:val="007800"/>
                <w:sz w:val="16"/>
              </w:rPr>
              <w:t>+17.27%</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54,350 FCFA</w:t>
            </w:r>
          </w:p>
        </w:tc>
        <w:tc>
          <w:tcPr>
            <w:tcW w:type="dxa" w:w="1417"/>
            <w:shd w:fill="FFFFFF" w:val="clear"/>
          </w:tcPr>
          <w:p>
            <w:r>
              <w:rPr>
                <w:sz w:val="16"/>
              </w:rPr>
              <w:t>61,032 FCFA</w:t>
            </w:r>
          </w:p>
        </w:tc>
        <w:tc>
          <w:tcPr>
            <w:tcW w:type="dxa" w:w="1134"/>
            <w:shd w:fill="C6EFCE" w:val="clear"/>
          </w:tcPr>
          <w:p>
            <w:r>
              <w:rPr>
                <w:b/>
                <w:color w:val="007800"/>
                <w:sz w:val="16"/>
              </w:rPr>
              <w:t>+12.30%</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22,100 FCFA</w:t>
            </w:r>
          </w:p>
        </w:tc>
        <w:tc>
          <w:tcPr>
            <w:tcW w:type="dxa" w:w="1417"/>
            <w:shd w:fill="FFFFFF" w:val="clear"/>
          </w:tcPr>
          <w:p>
            <w:r>
              <w:rPr>
                <w:sz w:val="16"/>
              </w:rPr>
              <w:t>24,436 FCFA</w:t>
            </w:r>
          </w:p>
        </w:tc>
        <w:tc>
          <w:tcPr>
            <w:tcW w:type="dxa" w:w="1134"/>
            <w:shd w:fill="C6EFCE" w:val="clear"/>
          </w:tcPr>
          <w:p>
            <w:r>
              <w:rPr>
                <w:b/>
                <w:color w:val="007800"/>
                <w:sz w:val="16"/>
              </w:rPr>
              <w:t>+10.57%</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2,150 FCFA</w:t>
            </w:r>
          </w:p>
        </w:tc>
        <w:tc>
          <w:tcPr>
            <w:tcW w:type="dxa" w:w="1417"/>
            <w:shd w:fill="FFFFFF" w:val="clear"/>
          </w:tcPr>
          <w:p>
            <w:r>
              <w:rPr>
                <w:sz w:val="16"/>
              </w:rPr>
              <w:t>2,247 FCFA</w:t>
            </w:r>
          </w:p>
        </w:tc>
        <w:tc>
          <w:tcPr>
            <w:tcW w:type="dxa" w:w="1134"/>
            <w:shd w:fill="C6EFCE" w:val="clear"/>
          </w:tcPr>
          <w:p>
            <w:r>
              <w:rPr>
                <w:b/>
                <w:color w:val="007800"/>
                <w:sz w:val="16"/>
              </w:rPr>
              <w:t>+4.49%</w:t>
            </w:r>
          </w:p>
        </w:tc>
        <w:tc>
          <w:tcPr>
            <w:tcW w:type="dxa" w:w="1020"/>
            <w:shd w:fill="FFC7CE" w:val="clear"/>
          </w:tcPr>
          <w:p>
            <w:r>
              <w:rPr>
                <w:sz w:val="16"/>
              </w:rPr>
              <w:t>Faible</w:t>
            </w:r>
          </w:p>
        </w:tc>
      </w:tr>
    </w:tbl>
    <w:p/>
    <w:p>
      <w:pPr>
        <w:pStyle w:val="ListBullet"/>
      </w:pPr>
      <w:r>
        <w:rPr>
          <w:b/>
          <w:color w:val="006400"/>
          <w:sz w:val="18"/>
        </w:rPr>
        <w:t xml:space="preserve">#1 CABC </w:t>
      </w:r>
      <w:r>
        <w:rPr>
          <w:sz w:val="17"/>
        </w:rPr>
        <w:t>(CABC - SICABLE COTE D'IVOIRE) — hausse très forte (+77.2%) — signal potentiellement excessif, à croiser avec l'analyse technique. Trajectoire : 📈 Hausse continue. Cours actuel : 3,540 FCFA → prédit J+10 : 6,273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(+17.3%) — potentiel de revalorisation notable. Trajectoire : 📈 Hausse continue. Cours actuel : 23,150 FCFA → prédit J+10 : 27,147 FCFA. Confiance partielle — les premiers jours sont fiables, les jours lointains moins précis.</w:t>
      </w:r>
    </w:p>
    <w:p>
      <w:pPr>
        <w:pStyle w:val="ListBullet"/>
      </w:pPr>
      <w:r>
        <w:rPr>
          <w:b/>
          <w:color w:val="006400"/>
          <w:sz w:val="18"/>
        </w:rPr>
        <w:t xml:space="preserve">#3 UNLC </w:t>
      </w:r>
      <w:r>
        <w:rPr>
          <w:sz w:val="17"/>
        </w:rPr>
        <w:t>(UNLC - UNILEVER COTE D'IVOIRE) — hausse significative (+12.3%) — potentiel de revalorisation notable. Trajectoire : 📈 Hausse continue. Cours actuel : 54,350 FCFA → prédit J+10 : 61,032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(+10.6%) — potentiel de revalorisation notable. Trajectoire : 📈 Hausse continue. Cours actuel : 22,100 FCFA → prédit J+10 : 24,436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(+4.5%) — progression graduelle attendue. Trajectoire : 📈 Hausse continue. Cours actuel : 2,150 FCFA → prédit J+10 : 2,247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6,070 FCFA</w:t>
            </w:r>
          </w:p>
        </w:tc>
        <w:tc>
          <w:tcPr>
            <w:tcW w:type="dxa" w:w="1417"/>
            <w:shd w:fill="FFFFFF" w:val="clear"/>
          </w:tcPr>
          <w:p>
            <w:r>
              <w:rPr>
                <w:sz w:val="16"/>
              </w:rPr>
              <w:t>2,784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3,565 FCFA</w:t>
            </w:r>
          </w:p>
        </w:tc>
        <w:tc>
          <w:tcPr>
            <w:tcW w:type="dxa" w:w="1417"/>
            <w:shd w:fill="FFFFFF" w:val="clear"/>
          </w:tcPr>
          <w:p>
            <w:r>
              <w:rPr>
                <w:sz w:val="16"/>
              </w:rPr>
              <w:t>1,635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71 FCFA</w:t>
            </w:r>
          </w:p>
        </w:tc>
        <w:tc>
          <w:tcPr>
            <w:tcW w:type="dxa" w:w="1417"/>
            <w:shd w:fill="FFFFFF" w:val="clear"/>
          </w:tcPr>
          <w:p>
            <w:r>
              <w:rPr>
                <w:sz w:val="16"/>
              </w:rPr>
              <w:t>33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6,700 FCFA</w:t>
            </w:r>
          </w:p>
        </w:tc>
        <w:tc>
          <w:tcPr>
            <w:tcW w:type="dxa" w:w="1417"/>
            <w:shd w:fill="FFFFFF" w:val="clear"/>
          </w:tcPr>
          <w:p>
            <w:r>
              <w:rPr>
                <w:sz w:val="16"/>
              </w:rPr>
              <w:t>3,229 FCFA</w:t>
            </w:r>
          </w:p>
        </w:tc>
        <w:tc>
          <w:tcPr>
            <w:tcW w:type="dxa" w:w="1134"/>
            <w:shd w:fill="FFC7CE" w:val="clear"/>
          </w:tcPr>
          <w:p>
            <w:r>
              <w:rPr>
                <w:b/>
                <w:color w:val="B40000"/>
                <w:sz w:val="16"/>
              </w:rPr>
              <w:t>-51.81%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3,000 FCFA</w:t>
            </w:r>
          </w:p>
        </w:tc>
        <w:tc>
          <w:tcPr>
            <w:tcW w:type="dxa" w:w="1417"/>
            <w:shd w:fill="FFFFFF" w:val="clear"/>
          </w:tcPr>
          <w:p>
            <w:r>
              <w:rPr>
                <w:sz w:val="16"/>
              </w:rPr>
              <w:t>1,521 FCFA</w:t>
            </w:r>
          </w:p>
        </w:tc>
        <w:tc>
          <w:tcPr>
            <w:tcW w:type="dxa" w:w="1134"/>
            <w:shd w:fill="FFC7CE" w:val="clear"/>
          </w:tcPr>
          <w:p>
            <w:r>
              <w:rPr>
                <w:b/>
                <w:color w:val="B40000"/>
                <w:sz w:val="16"/>
              </w:rPr>
              <w:t>-49.29%</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6,070 FCFA → prédit J+10 : 2,784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3,565 FCFA → prédit J+10 : 1,635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71 FCFA → prédit J+10 : 33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(-51.8%) — amplitude potentiellement surestimée par le modèle. Trajectoire : 📉 Baisse continue. Cours actuel : 6,700 FCFA → prédit J+10 : 3,229 FCFA. ⚠️ Confiance limitée — volatilité élevée. Ne pas agir sur ce seul signal.</w:t>
      </w:r>
    </w:p>
    <w:p>
      <w:pPr>
        <w:pStyle w:val="ListBullet"/>
      </w:pPr>
      <w:r>
        <w:rPr>
          <w:b/>
          <w:color w:val="B40000"/>
          <w:sz w:val="18"/>
        </w:rPr>
        <w:t xml:space="preserve">#5 NEIC </w:t>
      </w:r>
      <w:r>
        <w:rPr>
          <w:sz w:val="17"/>
        </w:rPr>
        <w:t>(NEIC - NEI-CEDA CI) — baisse très forte (-49.3%) — amplitude potentiellement surestimée par le modèle. Trajectoire : 📉 Baisse continue. Cours actuel : 3,000 FCFA → prédit J+10 : 1,521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3,540</w:t>
            </w:r>
          </w:p>
        </w:tc>
        <w:tc>
          <w:tcPr>
            <w:tcW w:type="dxa" w:w="1417"/>
            <w:shd w:fill="FFFFFF" w:val="clear"/>
          </w:tcPr>
          <w:p>
            <w:r>
              <w:rPr>
                <w:sz w:val="16"/>
              </w:rPr>
              <w:t>6,273</w:t>
            </w:r>
          </w:p>
        </w:tc>
        <w:tc>
          <w:tcPr>
            <w:tcW w:type="dxa" w:w="1134"/>
            <w:shd w:fill="C6EFCE" w:val="clear"/>
          </w:tcPr>
          <w:p>
            <w:r>
              <w:rPr>
                <w:b/>
                <w:color w:val="007800"/>
                <w:sz w:val="16"/>
              </w:rPr>
              <w:t>+77.21%</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23,150</w:t>
            </w:r>
          </w:p>
        </w:tc>
        <w:tc>
          <w:tcPr>
            <w:tcW w:type="dxa" w:w="1417"/>
            <w:shd w:fill="FFFFFF" w:val="clear"/>
          </w:tcPr>
          <w:p>
            <w:r>
              <w:rPr>
                <w:sz w:val="16"/>
              </w:rPr>
              <w:t>27,147</w:t>
            </w:r>
          </w:p>
        </w:tc>
        <w:tc>
          <w:tcPr>
            <w:tcW w:type="dxa" w:w="1134"/>
            <w:shd w:fill="C6EFCE" w:val="clear"/>
          </w:tcPr>
          <w:p>
            <w:r>
              <w:rPr>
                <w:b/>
                <w:color w:val="007800"/>
                <w:sz w:val="16"/>
              </w:rPr>
              <w:t>+17.27%</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54,350</w:t>
            </w:r>
          </w:p>
        </w:tc>
        <w:tc>
          <w:tcPr>
            <w:tcW w:type="dxa" w:w="1417"/>
            <w:shd w:fill="FFFFFF" w:val="clear"/>
          </w:tcPr>
          <w:p>
            <w:r>
              <w:rPr>
                <w:sz w:val="16"/>
              </w:rPr>
              <w:t>61,032</w:t>
            </w:r>
          </w:p>
        </w:tc>
        <w:tc>
          <w:tcPr>
            <w:tcW w:type="dxa" w:w="1134"/>
            <w:shd w:fill="C6EFCE" w:val="clear"/>
          </w:tcPr>
          <w:p>
            <w:r>
              <w:rPr>
                <w:b/>
                <w:color w:val="007800"/>
                <w:sz w:val="16"/>
              </w:rPr>
              <w:t>+12.30%</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22,100</w:t>
            </w:r>
          </w:p>
        </w:tc>
        <w:tc>
          <w:tcPr>
            <w:tcW w:type="dxa" w:w="1417"/>
            <w:shd w:fill="FFFFFF" w:val="clear"/>
          </w:tcPr>
          <w:p>
            <w:r>
              <w:rPr>
                <w:sz w:val="16"/>
              </w:rPr>
              <w:t>24,436</w:t>
            </w:r>
          </w:p>
        </w:tc>
        <w:tc>
          <w:tcPr>
            <w:tcW w:type="dxa" w:w="1134"/>
            <w:shd w:fill="C6EFCE" w:val="clear"/>
          </w:tcPr>
          <w:p>
            <w:r>
              <w:rPr>
                <w:b/>
                <w:color w:val="007800"/>
                <w:sz w:val="16"/>
              </w:rPr>
              <w:t>+10.57%</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2,150</w:t>
            </w:r>
          </w:p>
        </w:tc>
        <w:tc>
          <w:tcPr>
            <w:tcW w:type="dxa" w:w="1417"/>
            <w:shd w:fill="FFFFFF" w:val="clear"/>
          </w:tcPr>
          <w:p>
            <w:r>
              <w:rPr>
                <w:sz w:val="16"/>
              </w:rPr>
              <w:t>2,247</w:t>
            </w:r>
          </w:p>
        </w:tc>
        <w:tc>
          <w:tcPr>
            <w:tcW w:type="dxa" w:w="1134"/>
            <w:shd w:fill="C6EFCE" w:val="clear"/>
          </w:tcPr>
          <w:p>
            <w:r>
              <w:rPr>
                <w:b/>
                <w:color w:val="007800"/>
                <w:sz w:val="16"/>
              </w:rPr>
              <w:t>+4.49%</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9,000</w:t>
            </w:r>
          </w:p>
        </w:tc>
        <w:tc>
          <w:tcPr>
            <w:tcW w:type="dxa" w:w="1417"/>
            <w:shd w:fill="FFFFFF" w:val="clear"/>
          </w:tcPr>
          <w:p>
            <w:r>
              <w:rPr>
                <w:sz w:val="16"/>
              </w:rPr>
              <w:t>9,351</w:t>
            </w:r>
          </w:p>
        </w:tc>
        <w:tc>
          <w:tcPr>
            <w:tcW w:type="dxa" w:w="1134"/>
            <w:shd w:fill="C6EFCE" w:val="clear"/>
          </w:tcPr>
          <w:p>
            <w:r>
              <w:rPr>
                <w:b/>
                <w:color w:val="007800"/>
                <w:sz w:val="16"/>
              </w:rPr>
              <w:t>+3.90%</w:t>
            </w:r>
          </w:p>
        </w:tc>
        <w:tc>
          <w:tcPr>
            <w:tcW w:type="dxa" w:w="1134"/>
            <w:shd w:fill="FFEB9C" w:val="clear"/>
          </w:tcPr>
          <w:p>
            <w:r>
              <w:rPr>
                <w:sz w:val="16"/>
              </w:rPr>
              <w:t>Moyenne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4,050</w:t>
            </w:r>
          </w:p>
        </w:tc>
        <w:tc>
          <w:tcPr>
            <w:tcW w:type="dxa" w:w="1417"/>
            <w:shd w:fill="FFFFFF" w:val="clear"/>
          </w:tcPr>
          <w:p>
            <w:r>
              <w:rPr>
                <w:sz w:val="16"/>
              </w:rPr>
              <w:t>4,079</w:t>
            </w:r>
          </w:p>
        </w:tc>
        <w:tc>
          <w:tcPr>
            <w:tcW w:type="dxa" w:w="1134"/>
            <w:shd w:fill="FFEB9C" w:val="clear"/>
          </w:tcPr>
          <w:p>
            <w:r>
              <w:rPr>
                <w:b/>
                <w:color w:val="646400"/>
                <w:sz w:val="16"/>
              </w:rPr>
              <w:t>+0.72%</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8,800</w:t>
            </w:r>
          </w:p>
        </w:tc>
        <w:tc>
          <w:tcPr>
            <w:tcW w:type="dxa" w:w="1417"/>
            <w:shd w:fill="FFFFFF" w:val="clear"/>
          </w:tcPr>
          <w:p>
            <w:r>
              <w:rPr>
                <w:sz w:val="16"/>
              </w:rPr>
              <w:t>8,807</w:t>
            </w:r>
          </w:p>
        </w:tc>
        <w:tc>
          <w:tcPr>
            <w:tcW w:type="dxa" w:w="1134"/>
            <w:shd w:fill="FFEB9C" w:val="clear"/>
          </w:tcPr>
          <w:p>
            <w:r>
              <w:rPr>
                <w:b/>
                <w:color w:val="646400"/>
                <w:sz w:val="16"/>
              </w:rPr>
              <w:t>+0.08%</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37,250</w:t>
            </w:r>
          </w:p>
        </w:tc>
        <w:tc>
          <w:tcPr>
            <w:tcW w:type="dxa" w:w="1417"/>
            <w:shd w:fill="FFFFFF" w:val="clear"/>
          </w:tcPr>
          <w:p>
            <w:r>
              <w:rPr>
                <w:sz w:val="16"/>
              </w:rPr>
              <w:t>37,216</w:t>
            </w:r>
          </w:p>
        </w:tc>
        <w:tc>
          <w:tcPr>
            <w:tcW w:type="dxa" w:w="1134"/>
            <w:shd w:fill="FFEB9C" w:val="clear"/>
          </w:tcPr>
          <w:p>
            <w:r>
              <w:rPr>
                <w:b/>
                <w:color w:val="646400"/>
                <w:sz w:val="16"/>
              </w:rPr>
              <w:t>-0.09%</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2,175</w:t>
            </w:r>
          </w:p>
        </w:tc>
        <w:tc>
          <w:tcPr>
            <w:tcW w:type="dxa" w:w="1417"/>
            <w:shd w:fill="FFFFFF" w:val="clear"/>
          </w:tcPr>
          <w:p>
            <w:r>
              <w:rPr>
                <w:sz w:val="16"/>
              </w:rPr>
              <w:t>2,128</w:t>
            </w:r>
          </w:p>
        </w:tc>
        <w:tc>
          <w:tcPr>
            <w:tcW w:type="dxa" w:w="1134"/>
            <w:shd w:fill="FFC7CE" w:val="clear"/>
          </w:tcPr>
          <w:p>
            <w:r>
              <w:rPr>
                <w:b/>
                <w:color w:val="B40000"/>
                <w:sz w:val="16"/>
              </w:rPr>
              <w:t>-2.15%</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2,920</w:t>
            </w:r>
          </w:p>
        </w:tc>
        <w:tc>
          <w:tcPr>
            <w:tcW w:type="dxa" w:w="1417"/>
            <w:shd w:fill="FFFFFF" w:val="clear"/>
          </w:tcPr>
          <w:p>
            <w:r>
              <w:rPr>
                <w:sz w:val="16"/>
              </w:rPr>
              <w:t>2,849</w:t>
            </w:r>
          </w:p>
        </w:tc>
        <w:tc>
          <w:tcPr>
            <w:tcW w:type="dxa" w:w="1134"/>
            <w:shd w:fill="FFC7CE" w:val="clear"/>
          </w:tcPr>
          <w:p>
            <w:r>
              <w:rPr>
                <w:b/>
                <w:color w:val="B40000"/>
                <w:sz w:val="16"/>
              </w:rPr>
              <w:t>-2.44%</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5,450</w:t>
            </w:r>
          </w:p>
        </w:tc>
        <w:tc>
          <w:tcPr>
            <w:tcW w:type="dxa" w:w="1417"/>
            <w:shd w:fill="FFFFFF" w:val="clear"/>
          </w:tcPr>
          <w:p>
            <w:r>
              <w:rPr>
                <w:sz w:val="16"/>
              </w:rPr>
              <w:t>5,298</w:t>
            </w:r>
          </w:p>
        </w:tc>
        <w:tc>
          <w:tcPr>
            <w:tcW w:type="dxa" w:w="1134"/>
            <w:shd w:fill="FFC7CE" w:val="clear"/>
          </w:tcPr>
          <w:p>
            <w:r>
              <w:rPr>
                <w:b/>
                <w:color w:val="B40000"/>
                <w:sz w:val="16"/>
              </w:rPr>
              <w:t>-2.78%</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38,500</w:t>
            </w:r>
          </w:p>
        </w:tc>
        <w:tc>
          <w:tcPr>
            <w:tcW w:type="dxa" w:w="1417"/>
            <w:shd w:fill="FFFFFF" w:val="clear"/>
          </w:tcPr>
          <w:p>
            <w:r>
              <w:rPr>
                <w:sz w:val="16"/>
              </w:rPr>
              <w:t>37,340</w:t>
            </w:r>
          </w:p>
        </w:tc>
        <w:tc>
          <w:tcPr>
            <w:tcW w:type="dxa" w:w="1134"/>
            <w:shd w:fill="FFC7CE" w:val="clear"/>
          </w:tcPr>
          <w:p>
            <w:r>
              <w:rPr>
                <w:b/>
                <w:color w:val="B40000"/>
                <w:sz w:val="16"/>
              </w:rPr>
              <w:t>-3.01%</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17,725</w:t>
            </w:r>
          </w:p>
        </w:tc>
        <w:tc>
          <w:tcPr>
            <w:tcW w:type="dxa" w:w="1417"/>
            <w:shd w:fill="FFFFFF" w:val="clear"/>
          </w:tcPr>
          <w:p>
            <w:r>
              <w:rPr>
                <w:sz w:val="16"/>
              </w:rPr>
              <w:t>17,086</w:t>
            </w:r>
          </w:p>
        </w:tc>
        <w:tc>
          <w:tcPr>
            <w:tcW w:type="dxa" w:w="1134"/>
            <w:shd w:fill="FFC7CE" w:val="clear"/>
          </w:tcPr>
          <w:p>
            <w:r>
              <w:rPr>
                <w:b/>
                <w:color w:val="B40000"/>
                <w:sz w:val="16"/>
              </w:rPr>
              <w:t>-3.60%</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3,335</w:t>
            </w:r>
          </w:p>
        </w:tc>
        <w:tc>
          <w:tcPr>
            <w:tcW w:type="dxa" w:w="1417"/>
            <w:shd w:fill="FFFFFF" w:val="clear"/>
          </w:tcPr>
          <w:p>
            <w:r>
              <w:rPr>
                <w:sz w:val="16"/>
              </w:rPr>
              <w:t>3,212</w:t>
            </w:r>
          </w:p>
        </w:tc>
        <w:tc>
          <w:tcPr>
            <w:tcW w:type="dxa" w:w="1134"/>
            <w:shd w:fill="FFC7CE" w:val="clear"/>
          </w:tcPr>
          <w:p>
            <w:r>
              <w:rPr>
                <w:b/>
                <w:color w:val="B40000"/>
                <w:sz w:val="16"/>
              </w:rPr>
              <w:t>-3.69%</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3,370</w:t>
            </w:r>
          </w:p>
        </w:tc>
        <w:tc>
          <w:tcPr>
            <w:tcW w:type="dxa" w:w="1417"/>
            <w:shd w:fill="FFFFFF" w:val="clear"/>
          </w:tcPr>
          <w:p>
            <w:r>
              <w:rPr>
                <w:sz w:val="16"/>
              </w:rPr>
              <w:t>3,241</w:t>
            </w:r>
          </w:p>
        </w:tc>
        <w:tc>
          <w:tcPr>
            <w:tcW w:type="dxa" w:w="1134"/>
            <w:shd w:fill="FFC7CE" w:val="clear"/>
          </w:tcPr>
          <w:p>
            <w:r>
              <w:rPr>
                <w:b/>
                <w:color w:val="B40000"/>
                <w:sz w:val="16"/>
              </w:rPr>
              <w:t>-3.83%</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4,350</w:t>
            </w:r>
          </w:p>
        </w:tc>
        <w:tc>
          <w:tcPr>
            <w:tcW w:type="dxa" w:w="1417"/>
            <w:shd w:fill="FFFFFF" w:val="clear"/>
          </w:tcPr>
          <w:p>
            <w:r>
              <w:rPr>
                <w:sz w:val="16"/>
              </w:rPr>
              <w:t>4,171</w:t>
            </w:r>
          </w:p>
        </w:tc>
        <w:tc>
          <w:tcPr>
            <w:tcW w:type="dxa" w:w="1134"/>
            <w:shd w:fill="FFC7CE" w:val="clear"/>
          </w:tcPr>
          <w:p>
            <w:r>
              <w:rPr>
                <w:b/>
                <w:color w:val="B40000"/>
                <w:sz w:val="16"/>
              </w:rPr>
              <w:t>-4.12%</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16,900</w:t>
            </w:r>
          </w:p>
        </w:tc>
        <w:tc>
          <w:tcPr>
            <w:tcW w:type="dxa" w:w="1417"/>
            <w:shd w:fill="FFFFFF" w:val="clear"/>
          </w:tcPr>
          <w:p>
            <w:r>
              <w:rPr>
                <w:sz w:val="16"/>
              </w:rPr>
              <w:t>16,074</w:t>
            </w:r>
          </w:p>
        </w:tc>
        <w:tc>
          <w:tcPr>
            <w:tcW w:type="dxa" w:w="1134"/>
            <w:shd w:fill="FFC7CE" w:val="clear"/>
          </w:tcPr>
          <w:p>
            <w:r>
              <w:rPr>
                <w:b/>
                <w:color w:val="B40000"/>
                <w:sz w:val="16"/>
              </w:rPr>
              <w:t>-4.89%</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17,500</w:t>
            </w:r>
          </w:p>
        </w:tc>
        <w:tc>
          <w:tcPr>
            <w:tcW w:type="dxa" w:w="1417"/>
            <w:shd w:fill="FFFFFF" w:val="clear"/>
          </w:tcPr>
          <w:p>
            <w:r>
              <w:rPr>
                <w:sz w:val="16"/>
              </w:rPr>
              <w:t>16,616</w:t>
            </w:r>
          </w:p>
        </w:tc>
        <w:tc>
          <w:tcPr>
            <w:tcW w:type="dxa" w:w="1134"/>
            <w:shd w:fill="FFC7CE" w:val="clear"/>
          </w:tcPr>
          <w:p>
            <w:r>
              <w:rPr>
                <w:b/>
                <w:color w:val="B40000"/>
                <w:sz w:val="16"/>
              </w:rPr>
              <w:t>-5.05%</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10,015</w:t>
            </w:r>
          </w:p>
        </w:tc>
        <w:tc>
          <w:tcPr>
            <w:tcW w:type="dxa" w:w="1417"/>
            <w:shd w:fill="FFFFFF" w:val="clear"/>
          </w:tcPr>
          <w:p>
            <w:r>
              <w:rPr>
                <w:sz w:val="16"/>
              </w:rPr>
              <w:t>9,438</w:t>
            </w:r>
          </w:p>
        </w:tc>
        <w:tc>
          <w:tcPr>
            <w:tcW w:type="dxa" w:w="1134"/>
            <w:shd w:fill="FFC7CE" w:val="clear"/>
          </w:tcPr>
          <w:p>
            <w:r>
              <w:rPr>
                <w:b/>
                <w:color w:val="B40000"/>
                <w:sz w:val="16"/>
              </w:rPr>
              <w:t>-5.76%</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2,405</w:t>
            </w:r>
          </w:p>
        </w:tc>
        <w:tc>
          <w:tcPr>
            <w:tcW w:type="dxa" w:w="1417"/>
            <w:shd w:fill="FFFFFF" w:val="clear"/>
          </w:tcPr>
          <w:p>
            <w:r>
              <w:rPr>
                <w:sz w:val="16"/>
              </w:rPr>
              <w:t>2,262</w:t>
            </w:r>
          </w:p>
        </w:tc>
        <w:tc>
          <w:tcPr>
            <w:tcW w:type="dxa" w:w="1134"/>
            <w:shd w:fill="FFC7CE" w:val="clear"/>
          </w:tcPr>
          <w:p>
            <w:r>
              <w:rPr>
                <w:b/>
                <w:color w:val="B40000"/>
                <w:sz w:val="16"/>
              </w:rPr>
              <w:t>-5.94%</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38,500</w:t>
            </w:r>
          </w:p>
        </w:tc>
        <w:tc>
          <w:tcPr>
            <w:tcW w:type="dxa" w:w="1417"/>
            <w:shd w:fill="FFFFFF" w:val="clear"/>
          </w:tcPr>
          <w:p>
            <w:r>
              <w:rPr>
                <w:sz w:val="16"/>
              </w:rPr>
              <w:t>36,131</w:t>
            </w:r>
          </w:p>
        </w:tc>
        <w:tc>
          <w:tcPr>
            <w:tcW w:type="dxa" w:w="1134"/>
            <w:shd w:fill="FFC7CE" w:val="clear"/>
          </w:tcPr>
          <w:p>
            <w:r>
              <w:rPr>
                <w:b/>
                <w:color w:val="B40000"/>
                <w:sz w:val="16"/>
              </w:rPr>
              <w:t>-6.15%</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21,010</w:t>
            </w:r>
          </w:p>
        </w:tc>
        <w:tc>
          <w:tcPr>
            <w:tcW w:type="dxa" w:w="1417"/>
            <w:shd w:fill="FFFFFF" w:val="clear"/>
          </w:tcPr>
          <w:p>
            <w:r>
              <w:rPr>
                <w:sz w:val="16"/>
              </w:rPr>
              <w:t>19,572</w:t>
            </w:r>
          </w:p>
        </w:tc>
        <w:tc>
          <w:tcPr>
            <w:tcW w:type="dxa" w:w="1134"/>
            <w:shd w:fill="FFC7CE" w:val="clear"/>
          </w:tcPr>
          <w:p>
            <w:r>
              <w:rPr>
                <w:b/>
                <w:color w:val="B40000"/>
                <w:sz w:val="16"/>
              </w:rPr>
              <w:t>-6.85%</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1,580</w:t>
            </w:r>
          </w:p>
        </w:tc>
        <w:tc>
          <w:tcPr>
            <w:tcW w:type="dxa" w:w="1417"/>
            <w:shd w:fill="FFFFFF" w:val="clear"/>
          </w:tcPr>
          <w:p>
            <w:r>
              <w:rPr>
                <w:sz w:val="16"/>
              </w:rPr>
              <w:t>1,372</w:t>
            </w:r>
          </w:p>
        </w:tc>
        <w:tc>
          <w:tcPr>
            <w:tcW w:type="dxa" w:w="1134"/>
            <w:shd w:fill="FFC7CE" w:val="clear"/>
          </w:tcPr>
          <w:p>
            <w:r>
              <w:rPr>
                <w:b/>
                <w:color w:val="B40000"/>
                <w:sz w:val="16"/>
              </w:rPr>
              <w:t>-13.19%</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3,205</w:t>
            </w:r>
          </w:p>
        </w:tc>
        <w:tc>
          <w:tcPr>
            <w:tcW w:type="dxa" w:w="1417"/>
            <w:shd w:fill="FFFFFF" w:val="clear"/>
          </w:tcPr>
          <w:p>
            <w:r>
              <w:rPr>
                <w:sz w:val="16"/>
              </w:rPr>
              <w:t>2,761</w:t>
            </w:r>
          </w:p>
        </w:tc>
        <w:tc>
          <w:tcPr>
            <w:tcW w:type="dxa" w:w="1134"/>
            <w:shd w:fill="FFC7CE" w:val="clear"/>
          </w:tcPr>
          <w:p>
            <w:r>
              <w:rPr>
                <w:b/>
                <w:color w:val="B40000"/>
                <w:sz w:val="16"/>
              </w:rPr>
              <w:t>-13.84%</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3,840</w:t>
            </w:r>
          </w:p>
        </w:tc>
        <w:tc>
          <w:tcPr>
            <w:tcW w:type="dxa" w:w="1417"/>
            <w:shd w:fill="FFFFFF" w:val="clear"/>
          </w:tcPr>
          <w:p>
            <w:r>
              <w:rPr>
                <w:sz w:val="16"/>
              </w:rPr>
              <w:t>3,284</w:t>
            </w:r>
          </w:p>
        </w:tc>
        <w:tc>
          <w:tcPr>
            <w:tcW w:type="dxa" w:w="1134"/>
            <w:shd w:fill="FFC7CE" w:val="clear"/>
          </w:tcPr>
          <w:p>
            <w:r>
              <w:rPr>
                <w:b/>
                <w:color w:val="B40000"/>
                <w:sz w:val="16"/>
              </w:rPr>
              <w:t>-14.49%</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1,745</w:t>
            </w:r>
          </w:p>
        </w:tc>
        <w:tc>
          <w:tcPr>
            <w:tcW w:type="dxa" w:w="1417"/>
            <w:shd w:fill="FFFFFF" w:val="clear"/>
          </w:tcPr>
          <w:p>
            <w:r>
              <w:rPr>
                <w:sz w:val="16"/>
              </w:rPr>
              <w:t>1,488</w:t>
            </w:r>
          </w:p>
        </w:tc>
        <w:tc>
          <w:tcPr>
            <w:tcW w:type="dxa" w:w="1134"/>
            <w:shd w:fill="FFC7CE" w:val="clear"/>
          </w:tcPr>
          <w:p>
            <w:r>
              <w:rPr>
                <w:b/>
                <w:color w:val="B40000"/>
                <w:sz w:val="16"/>
              </w:rPr>
              <w:t>-14.71%</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8,240</w:t>
            </w:r>
          </w:p>
        </w:tc>
        <w:tc>
          <w:tcPr>
            <w:tcW w:type="dxa" w:w="1417"/>
            <w:shd w:fill="FFFFFF" w:val="clear"/>
          </w:tcPr>
          <w:p>
            <w:r>
              <w:rPr>
                <w:sz w:val="16"/>
              </w:rPr>
              <w:t>7,006</w:t>
            </w:r>
          </w:p>
        </w:tc>
        <w:tc>
          <w:tcPr>
            <w:tcW w:type="dxa" w:w="1134"/>
            <w:shd w:fill="FFC7CE" w:val="clear"/>
          </w:tcPr>
          <w:p>
            <w:r>
              <w:rPr>
                <w:b/>
                <w:color w:val="B40000"/>
                <w:sz w:val="16"/>
              </w:rPr>
              <w:t>-14.97%</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33,005</w:t>
            </w:r>
          </w:p>
        </w:tc>
        <w:tc>
          <w:tcPr>
            <w:tcW w:type="dxa" w:w="1417"/>
            <w:shd w:fill="FFFFFF" w:val="clear"/>
          </w:tcPr>
          <w:p>
            <w:r>
              <w:rPr>
                <w:sz w:val="16"/>
              </w:rPr>
              <w:t>27,996</w:t>
            </w:r>
          </w:p>
        </w:tc>
        <w:tc>
          <w:tcPr>
            <w:tcW w:type="dxa" w:w="1134"/>
            <w:shd w:fill="FFC7CE" w:val="clear"/>
          </w:tcPr>
          <w:p>
            <w:r>
              <w:rPr>
                <w:b/>
                <w:color w:val="B40000"/>
                <w:sz w:val="16"/>
              </w:rPr>
              <w:t>-15.18%</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13,500</w:t>
            </w:r>
          </w:p>
        </w:tc>
        <w:tc>
          <w:tcPr>
            <w:tcW w:type="dxa" w:w="1417"/>
            <w:shd w:fill="FFFFFF" w:val="clear"/>
          </w:tcPr>
          <w:p>
            <w:r>
              <w:rPr>
                <w:sz w:val="16"/>
              </w:rPr>
              <w:t>11,404</w:t>
            </w:r>
          </w:p>
        </w:tc>
        <w:tc>
          <w:tcPr>
            <w:tcW w:type="dxa" w:w="1134"/>
            <w:shd w:fill="FFC7CE" w:val="clear"/>
          </w:tcPr>
          <w:p>
            <w:r>
              <w:rPr>
                <w:b/>
                <w:color w:val="B40000"/>
                <w:sz w:val="16"/>
              </w:rPr>
              <w:t>-15.53%</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6,400</w:t>
            </w:r>
          </w:p>
        </w:tc>
        <w:tc>
          <w:tcPr>
            <w:tcW w:type="dxa" w:w="1417"/>
            <w:shd w:fill="FFFFFF" w:val="clear"/>
          </w:tcPr>
          <w:p>
            <w:r>
              <w:rPr>
                <w:sz w:val="16"/>
              </w:rPr>
              <w:t>5,399</w:t>
            </w:r>
          </w:p>
        </w:tc>
        <w:tc>
          <w:tcPr>
            <w:tcW w:type="dxa" w:w="1134"/>
            <w:shd w:fill="FFC7CE" w:val="clear"/>
          </w:tcPr>
          <w:p>
            <w:r>
              <w:rPr>
                <w:b/>
                <w:color w:val="B40000"/>
                <w:sz w:val="16"/>
              </w:rPr>
              <w:t>-15.63%</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8,880</w:t>
            </w:r>
          </w:p>
        </w:tc>
        <w:tc>
          <w:tcPr>
            <w:tcW w:type="dxa" w:w="1417"/>
            <w:shd w:fill="FFFFFF" w:val="clear"/>
          </w:tcPr>
          <w:p>
            <w:r>
              <w:rPr>
                <w:sz w:val="16"/>
              </w:rPr>
              <w:t>7,391</w:t>
            </w:r>
          </w:p>
        </w:tc>
        <w:tc>
          <w:tcPr>
            <w:tcW w:type="dxa" w:w="1134"/>
            <w:shd w:fill="FFC7CE" w:val="clear"/>
          </w:tcPr>
          <w:p>
            <w:r>
              <w:rPr>
                <w:b/>
                <w:color w:val="B40000"/>
                <w:sz w:val="16"/>
              </w:rPr>
              <w:t>-16.77%</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10,300</w:t>
            </w:r>
          </w:p>
        </w:tc>
        <w:tc>
          <w:tcPr>
            <w:tcW w:type="dxa" w:w="1417"/>
            <w:shd w:fill="FFFFFF" w:val="clear"/>
          </w:tcPr>
          <w:p>
            <w:r>
              <w:rPr>
                <w:sz w:val="16"/>
              </w:rPr>
              <w:t>8,461</w:t>
            </w:r>
          </w:p>
        </w:tc>
        <w:tc>
          <w:tcPr>
            <w:tcW w:type="dxa" w:w="1134"/>
            <w:shd w:fill="FFC7CE" w:val="clear"/>
          </w:tcPr>
          <w:p>
            <w:r>
              <w:rPr>
                <w:b/>
                <w:color w:val="B40000"/>
                <w:sz w:val="16"/>
              </w:rPr>
              <w:t>-17.86%</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3,900</w:t>
            </w:r>
          </w:p>
        </w:tc>
        <w:tc>
          <w:tcPr>
            <w:tcW w:type="dxa" w:w="1417"/>
            <w:shd w:fill="FFFFFF" w:val="clear"/>
          </w:tcPr>
          <w:p>
            <w:r>
              <w:rPr>
                <w:sz w:val="16"/>
              </w:rPr>
              <w:t>3,200</w:t>
            </w:r>
          </w:p>
        </w:tc>
        <w:tc>
          <w:tcPr>
            <w:tcW w:type="dxa" w:w="1134"/>
            <w:shd w:fill="FFC7CE" w:val="clear"/>
          </w:tcPr>
          <w:p>
            <w:r>
              <w:rPr>
                <w:b/>
                <w:color w:val="B40000"/>
                <w:sz w:val="16"/>
              </w:rPr>
              <w:t>-17.95%</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8,385</w:t>
            </w:r>
          </w:p>
        </w:tc>
        <w:tc>
          <w:tcPr>
            <w:tcW w:type="dxa" w:w="1417"/>
            <w:shd w:fill="FFFFFF" w:val="clear"/>
          </w:tcPr>
          <w:p>
            <w:r>
              <w:rPr>
                <w:sz w:val="16"/>
              </w:rPr>
              <w:t>6,798</w:t>
            </w:r>
          </w:p>
        </w:tc>
        <w:tc>
          <w:tcPr>
            <w:tcW w:type="dxa" w:w="1134"/>
            <w:shd w:fill="FFC7CE" w:val="clear"/>
          </w:tcPr>
          <w:p>
            <w:r>
              <w:rPr>
                <w:b/>
                <w:color w:val="B40000"/>
                <w:sz w:val="16"/>
              </w:rPr>
              <w:t>-18.92%</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2,330</w:t>
            </w:r>
          </w:p>
        </w:tc>
        <w:tc>
          <w:tcPr>
            <w:tcW w:type="dxa" w:w="1417"/>
            <w:shd w:fill="FFFFFF" w:val="clear"/>
          </w:tcPr>
          <w:p>
            <w:r>
              <w:rPr>
                <w:sz w:val="16"/>
              </w:rPr>
              <w:t>1,828</w:t>
            </w:r>
          </w:p>
        </w:tc>
        <w:tc>
          <w:tcPr>
            <w:tcW w:type="dxa" w:w="1134"/>
            <w:shd w:fill="FFC7CE" w:val="clear"/>
          </w:tcPr>
          <w:p>
            <w:r>
              <w:rPr>
                <w:b/>
                <w:color w:val="B40000"/>
                <w:sz w:val="16"/>
              </w:rPr>
              <w:t>-21.56%</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9,200</w:t>
            </w:r>
          </w:p>
        </w:tc>
        <w:tc>
          <w:tcPr>
            <w:tcW w:type="dxa" w:w="1417"/>
            <w:shd w:fill="FFFFFF" w:val="clear"/>
          </w:tcPr>
          <w:p>
            <w:r>
              <w:rPr>
                <w:sz w:val="16"/>
              </w:rPr>
              <w:t>7,207</w:t>
            </w:r>
          </w:p>
        </w:tc>
        <w:tc>
          <w:tcPr>
            <w:tcW w:type="dxa" w:w="1134"/>
            <w:shd w:fill="FFC7CE" w:val="clear"/>
          </w:tcPr>
          <w:p>
            <w:r>
              <w:rPr>
                <w:b/>
                <w:color w:val="B40000"/>
                <w:sz w:val="16"/>
              </w:rPr>
              <w:t>-21.66%</w:t>
            </w:r>
          </w:p>
        </w:tc>
        <w:tc>
          <w:tcPr>
            <w:tcW w:type="dxa" w:w="1134"/>
            <w:shd w:fill="FFEB9C" w:val="clear"/>
          </w:tcPr>
          <w:p>
            <w:r>
              <w:rPr>
                <w:sz w:val="16"/>
              </w:rPr>
              <w:t>Moyenne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2,400</w:t>
            </w:r>
          </w:p>
        </w:tc>
        <w:tc>
          <w:tcPr>
            <w:tcW w:type="dxa" w:w="1417"/>
            <w:shd w:fill="FFFFFF" w:val="clear"/>
          </w:tcPr>
          <w:p>
            <w:r>
              <w:rPr>
                <w:sz w:val="16"/>
              </w:rPr>
              <w:t>1,693</w:t>
            </w:r>
          </w:p>
        </w:tc>
        <w:tc>
          <w:tcPr>
            <w:tcW w:type="dxa" w:w="1134"/>
            <w:shd w:fill="FFC7CE" w:val="clear"/>
          </w:tcPr>
          <w:p>
            <w:r>
              <w:rPr>
                <w:b/>
                <w:color w:val="B40000"/>
                <w:sz w:val="16"/>
              </w:rPr>
              <w:t>-29.47%</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12,500</w:t>
            </w:r>
          </w:p>
        </w:tc>
        <w:tc>
          <w:tcPr>
            <w:tcW w:type="dxa" w:w="1417"/>
            <w:shd w:fill="FFFFFF" w:val="clear"/>
          </w:tcPr>
          <w:p>
            <w:r>
              <w:rPr>
                <w:sz w:val="16"/>
              </w:rPr>
              <w:t>8,767</w:t>
            </w:r>
          </w:p>
        </w:tc>
        <w:tc>
          <w:tcPr>
            <w:tcW w:type="dxa" w:w="1134"/>
            <w:shd w:fill="FFC7CE" w:val="clear"/>
          </w:tcPr>
          <w:p>
            <w:r>
              <w:rPr>
                <w:b/>
                <w:color w:val="B40000"/>
                <w:sz w:val="16"/>
              </w:rPr>
              <w:t>-29.87%</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2,605</w:t>
            </w:r>
          </w:p>
        </w:tc>
        <w:tc>
          <w:tcPr>
            <w:tcW w:type="dxa" w:w="1417"/>
            <w:shd w:fill="FFFFFF" w:val="clear"/>
          </w:tcPr>
          <w:p>
            <w:r>
              <w:rPr>
                <w:sz w:val="16"/>
              </w:rPr>
              <w:t>1,571</w:t>
            </w:r>
          </w:p>
        </w:tc>
        <w:tc>
          <w:tcPr>
            <w:tcW w:type="dxa" w:w="1134"/>
            <w:shd w:fill="FFC7CE" w:val="clear"/>
          </w:tcPr>
          <w:p>
            <w:r>
              <w:rPr>
                <w:b/>
                <w:color w:val="B40000"/>
                <w:sz w:val="16"/>
              </w:rPr>
              <w:t>-39.69%</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10,400</w:t>
            </w:r>
          </w:p>
        </w:tc>
        <w:tc>
          <w:tcPr>
            <w:tcW w:type="dxa" w:w="1417"/>
            <w:shd w:fill="FFFFFF" w:val="clear"/>
          </w:tcPr>
          <w:p>
            <w:r>
              <w:rPr>
                <w:sz w:val="16"/>
              </w:rPr>
              <w:t>5,638</w:t>
            </w:r>
          </w:p>
        </w:tc>
        <w:tc>
          <w:tcPr>
            <w:tcW w:type="dxa" w:w="1134"/>
            <w:shd w:fill="FFC7CE" w:val="clear"/>
          </w:tcPr>
          <w:p>
            <w:r>
              <w:rPr>
                <w:b/>
                <w:color w:val="B40000"/>
                <w:sz w:val="16"/>
              </w:rPr>
              <w:t>-45.79%</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33,450</w:t>
            </w:r>
          </w:p>
        </w:tc>
        <w:tc>
          <w:tcPr>
            <w:tcW w:type="dxa" w:w="1417"/>
            <w:shd w:fill="FFFFFF" w:val="clear"/>
          </w:tcPr>
          <w:p>
            <w:r>
              <w:rPr>
                <w:sz w:val="16"/>
              </w:rPr>
              <w:t>17,758</w:t>
            </w:r>
          </w:p>
        </w:tc>
        <w:tc>
          <w:tcPr>
            <w:tcW w:type="dxa" w:w="1134"/>
            <w:shd w:fill="FFC7CE" w:val="clear"/>
          </w:tcPr>
          <w:p>
            <w:r>
              <w:rPr>
                <w:b/>
                <w:color w:val="B40000"/>
                <w:sz w:val="16"/>
              </w:rPr>
              <w:t>-46.91%</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3,000</w:t>
            </w:r>
          </w:p>
        </w:tc>
        <w:tc>
          <w:tcPr>
            <w:tcW w:type="dxa" w:w="1417"/>
            <w:shd w:fill="FFFFFF" w:val="clear"/>
          </w:tcPr>
          <w:p>
            <w:r>
              <w:rPr>
                <w:sz w:val="16"/>
              </w:rPr>
              <w:t>1,521</w:t>
            </w:r>
          </w:p>
        </w:tc>
        <w:tc>
          <w:tcPr>
            <w:tcW w:type="dxa" w:w="1134"/>
            <w:shd w:fill="FFC7CE" w:val="clear"/>
          </w:tcPr>
          <w:p>
            <w:r>
              <w:rPr>
                <w:b/>
                <w:color w:val="B40000"/>
                <w:sz w:val="16"/>
              </w:rPr>
              <w:t>-49.29%</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6,700</w:t>
            </w:r>
          </w:p>
        </w:tc>
        <w:tc>
          <w:tcPr>
            <w:tcW w:type="dxa" w:w="1417"/>
            <w:shd w:fill="FFFFFF" w:val="clear"/>
          </w:tcPr>
          <w:p>
            <w:r>
              <w:rPr>
                <w:sz w:val="16"/>
              </w:rPr>
              <w:t>3,229</w:t>
            </w:r>
          </w:p>
        </w:tc>
        <w:tc>
          <w:tcPr>
            <w:tcW w:type="dxa" w:w="1134"/>
            <w:shd w:fill="FFC7CE" w:val="clear"/>
          </w:tcPr>
          <w:p>
            <w:r>
              <w:rPr>
                <w:b/>
                <w:color w:val="B40000"/>
                <w:sz w:val="16"/>
              </w:rPr>
              <w:t>-51.81%</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71</w:t>
            </w:r>
          </w:p>
        </w:tc>
        <w:tc>
          <w:tcPr>
            <w:tcW w:type="dxa" w:w="1417"/>
            <w:shd w:fill="FFFFFF" w:val="clear"/>
          </w:tcPr>
          <w:p>
            <w:r>
              <w:rPr>
                <w:sz w:val="16"/>
              </w:rPr>
              <w:t>33</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3,565</w:t>
            </w:r>
          </w:p>
        </w:tc>
        <w:tc>
          <w:tcPr>
            <w:tcW w:type="dxa" w:w="1417"/>
            <w:shd w:fill="FFFFFF" w:val="clear"/>
          </w:tcPr>
          <w:p>
            <w:r>
              <w:rPr>
                <w:sz w:val="16"/>
              </w:rPr>
              <w:t>1,635</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6,070</w:t>
            </w:r>
          </w:p>
        </w:tc>
        <w:tc>
          <w:tcPr>
            <w:tcW w:type="dxa" w:w="1417"/>
            <w:shd w:fill="FFFFFF" w:val="clear"/>
          </w:tcPr>
          <w:p>
            <w:r>
              <w:rPr>
                <w:sz w:val="16"/>
              </w:rPr>
              <w:t>2,784</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42.56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3,369 titres</w:t>
            </w:r>
          </w:p>
        </w:tc>
        <w:tc>
          <w:tcPr>
            <w:tcW w:type="dxa" w:w="2268"/>
            <w:shd w:fill="FFF2CC" w:val="clear"/>
          </w:tcPr>
          <w:p>
            <w:r>
              <w:rPr>
                <w:b/>
                <w:color w:val="503200"/>
                <w:sz w:val="16"/>
              </w:rPr>
              <w:t xml:space="preserve">Cours actuel : </w:t>
            </w:r>
            <w:r>
              <w:rPr>
                <w:color w:val="000000"/>
                <w:sz w:val="17"/>
              </w:rPr>
              <w:t>3,900 FCFA</w:t>
            </w:r>
          </w:p>
          <w:p>
            <w:r>
              <w:rPr>
                <w:b/>
                <w:color w:val="503200"/>
                <w:sz w:val="16"/>
              </w:rPr>
              <w:t xml:space="preserve">Var. 100 jours : </w:t>
            </w:r>
            <w:r>
              <w:rPr>
                <w:b/>
                <w:color w:val="007800"/>
                <w:sz w:val="17"/>
              </w:rPr>
              <w:t>+12.39%</w:t>
            </w:r>
          </w:p>
          <w:p>
            <w:r>
              <w:rPr>
                <w:b/>
                <w:color w:val="503200"/>
                <w:sz w:val="16"/>
              </w:rPr>
              <w:t xml:space="preserve">Plus haut 100j : </w:t>
            </w:r>
            <w:r>
              <w:rPr>
                <w:color w:val="000000"/>
                <w:sz w:val="17"/>
              </w:rPr>
              <w:t>3,950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8.19% (Moyenne) — μ=3,227 FCFA, σ=264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β=0.3454 (Défensif) — Cov=0.000013, Var(idx)=0.000037, ρ=0.068,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3,620</w:t>
            </w:r>
          </w:p>
        </w:tc>
        <w:tc>
          <w:tcPr>
            <w:tcW w:type="dxa" w:w="1440"/>
            <w:shd w:fill="FFDCE0" w:val="clear"/>
          </w:tcPr>
          <w:p>
            <w:r>
              <w:rPr>
                <w:b/>
                <w:sz w:val="17"/>
              </w:rPr>
              <w:t>3,794</w:t>
            </w:r>
          </w:p>
        </w:tc>
        <w:tc>
          <w:tcPr>
            <w:tcW w:type="dxa" w:w="1440"/>
            <w:shd w:fill="FFDCE0" w:val="clear"/>
          </w:tcPr>
          <w:p>
            <w:r>
              <w:rPr>
                <w:sz w:val="17"/>
              </w:rPr>
              <w:t>3,968</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3,461</w:t>
            </w:r>
          </w:p>
        </w:tc>
        <w:tc>
          <w:tcPr>
            <w:tcW w:type="dxa" w:w="1440"/>
            <w:shd w:fill="FFDCE0" w:val="clear"/>
          </w:tcPr>
          <w:p>
            <w:r>
              <w:rPr>
                <w:b/>
                <w:sz w:val="17"/>
              </w:rPr>
              <w:t>3,701</w:t>
            </w:r>
          </w:p>
        </w:tc>
        <w:tc>
          <w:tcPr>
            <w:tcW w:type="dxa" w:w="1440"/>
            <w:shd w:fill="FFDCE0" w:val="clear"/>
          </w:tcPr>
          <w:p>
            <w:r>
              <w:rPr>
                <w:sz w:val="17"/>
              </w:rPr>
              <w:t>3,941</w:t>
            </w:r>
          </w:p>
        </w:tc>
        <w:tc>
          <w:tcPr>
            <w:tcW w:type="dxa" w:w="1440"/>
            <w:shd w:fill="FFDCE0" w:val="clear"/>
          </w:tcPr>
          <w:p>
            <w:r>
              <w:rPr>
                <w:b/>
                <w:color w:val="C00000"/>
                <w:sz w:val="17"/>
              </w:rPr>
              <w:t>-5.1%</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3,324</w:t>
            </w:r>
          </w:p>
        </w:tc>
        <w:tc>
          <w:tcPr>
            <w:tcW w:type="dxa" w:w="1440"/>
            <w:shd w:fill="FFDCE0" w:val="clear"/>
          </w:tcPr>
          <w:p>
            <w:r>
              <w:rPr>
                <w:b/>
                <w:sz w:val="17"/>
              </w:rPr>
              <w:t>3,611</w:t>
            </w:r>
          </w:p>
        </w:tc>
        <w:tc>
          <w:tcPr>
            <w:tcW w:type="dxa" w:w="1440"/>
            <w:shd w:fill="FFDCE0" w:val="clear"/>
          </w:tcPr>
          <w:p>
            <w:r>
              <w:rPr>
                <w:sz w:val="17"/>
              </w:rPr>
              <w:t>3,898</w:t>
            </w:r>
          </w:p>
        </w:tc>
        <w:tc>
          <w:tcPr>
            <w:tcW w:type="dxa" w:w="1440"/>
            <w:shd w:fill="FFDCE0" w:val="clear"/>
          </w:tcPr>
          <w:p>
            <w:r>
              <w:rPr>
                <w:b/>
                <w:color w:val="C00000"/>
                <w:sz w:val="17"/>
              </w:rPr>
              <w:t>-7.4%</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3,211</w:t>
            </w:r>
          </w:p>
        </w:tc>
        <w:tc>
          <w:tcPr>
            <w:tcW w:type="dxa" w:w="1440"/>
            <w:shd w:fill="FFDCE0" w:val="clear"/>
          </w:tcPr>
          <w:p>
            <w:r>
              <w:rPr>
                <w:b/>
                <w:sz w:val="17"/>
              </w:rPr>
              <w:t>3,535</w:t>
            </w:r>
          </w:p>
        </w:tc>
        <w:tc>
          <w:tcPr>
            <w:tcW w:type="dxa" w:w="1440"/>
            <w:shd w:fill="FFDCE0" w:val="clear"/>
          </w:tcPr>
          <w:p>
            <w:r>
              <w:rPr>
                <w:sz w:val="17"/>
              </w:rPr>
              <w:t>3,860</w:t>
            </w:r>
          </w:p>
        </w:tc>
        <w:tc>
          <w:tcPr>
            <w:tcW w:type="dxa" w:w="1440"/>
            <w:shd w:fill="FFDCE0" w:val="clear"/>
          </w:tcPr>
          <w:p>
            <w:r>
              <w:rPr>
                <w:b/>
                <w:color w:val="C00000"/>
                <w:sz w:val="17"/>
              </w:rPr>
              <w:t>-9.3%</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3,113</w:t>
            </w:r>
          </w:p>
        </w:tc>
        <w:tc>
          <w:tcPr>
            <w:tcW w:type="dxa" w:w="1440"/>
            <w:shd w:fill="FFDCE0" w:val="clear"/>
          </w:tcPr>
          <w:p>
            <w:r>
              <w:rPr>
                <w:b/>
                <w:sz w:val="17"/>
              </w:rPr>
              <w:t>3,469</w:t>
            </w:r>
          </w:p>
        </w:tc>
        <w:tc>
          <w:tcPr>
            <w:tcW w:type="dxa" w:w="1440"/>
            <w:shd w:fill="FFDCE0" w:val="clear"/>
          </w:tcPr>
          <w:p>
            <w:r>
              <w:rPr>
                <w:sz w:val="17"/>
              </w:rPr>
              <w:t>3,824</w:t>
            </w:r>
          </w:p>
        </w:tc>
        <w:tc>
          <w:tcPr>
            <w:tcW w:type="dxa" w:w="1440"/>
            <w:shd w:fill="FFDCE0" w:val="clear"/>
          </w:tcPr>
          <w:p>
            <w:r>
              <w:rPr>
                <w:b/>
                <w:color w:val="C00000"/>
                <w:sz w:val="17"/>
              </w:rPr>
              <w:t>-11.1%</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3,025</w:t>
            </w:r>
          </w:p>
        </w:tc>
        <w:tc>
          <w:tcPr>
            <w:tcW w:type="dxa" w:w="1440"/>
            <w:shd w:fill="FFDCE0" w:val="clear"/>
          </w:tcPr>
          <w:p>
            <w:r>
              <w:rPr>
                <w:b/>
                <w:sz w:val="17"/>
              </w:rPr>
              <w:t>3,407</w:t>
            </w:r>
          </w:p>
        </w:tc>
        <w:tc>
          <w:tcPr>
            <w:tcW w:type="dxa" w:w="1440"/>
            <w:shd w:fill="FFDCE0" w:val="clear"/>
          </w:tcPr>
          <w:p>
            <w:r>
              <w:rPr>
                <w:sz w:val="17"/>
              </w:rPr>
              <w:t>3,790</w:t>
            </w:r>
          </w:p>
        </w:tc>
        <w:tc>
          <w:tcPr>
            <w:tcW w:type="dxa" w:w="1440"/>
            <w:shd w:fill="FFDCE0" w:val="clear"/>
          </w:tcPr>
          <w:p>
            <w:r>
              <w:rPr>
                <w:b/>
                <w:color w:val="C00000"/>
                <w:sz w:val="17"/>
              </w:rPr>
              <w:t>-12.6%</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2,944</w:t>
            </w:r>
          </w:p>
        </w:tc>
        <w:tc>
          <w:tcPr>
            <w:tcW w:type="dxa" w:w="1440"/>
            <w:shd w:fill="FFDCE0" w:val="clear"/>
          </w:tcPr>
          <w:p>
            <w:r>
              <w:rPr>
                <w:b/>
                <w:sz w:val="17"/>
              </w:rPr>
              <w:t>3,351</w:t>
            </w:r>
          </w:p>
        </w:tc>
        <w:tc>
          <w:tcPr>
            <w:tcW w:type="dxa" w:w="1440"/>
            <w:shd w:fill="FFDCE0" w:val="clear"/>
          </w:tcPr>
          <w:p>
            <w:r>
              <w:rPr>
                <w:sz w:val="17"/>
              </w:rPr>
              <w:t>3,757</w:t>
            </w:r>
          </w:p>
        </w:tc>
        <w:tc>
          <w:tcPr>
            <w:tcW w:type="dxa" w:w="1440"/>
            <w:shd w:fill="FFDCE0" w:val="clear"/>
          </w:tcPr>
          <w:p>
            <w:r>
              <w:rPr>
                <w:b/>
                <w:color w:val="C00000"/>
                <w:sz w:val="17"/>
              </w:rPr>
              <w:t>-14.1%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2,870</w:t>
            </w:r>
          </w:p>
        </w:tc>
        <w:tc>
          <w:tcPr>
            <w:tcW w:type="dxa" w:w="1440"/>
            <w:shd w:fill="FFDCE0" w:val="clear"/>
          </w:tcPr>
          <w:p>
            <w:r>
              <w:rPr>
                <w:b/>
                <w:sz w:val="17"/>
              </w:rPr>
              <w:t>3,297</w:t>
            </w:r>
          </w:p>
        </w:tc>
        <w:tc>
          <w:tcPr>
            <w:tcW w:type="dxa" w:w="1440"/>
            <w:shd w:fill="FFDCE0" w:val="clear"/>
          </w:tcPr>
          <w:p>
            <w:r>
              <w:rPr>
                <w:sz w:val="17"/>
              </w:rPr>
              <w:t>3,725</w:t>
            </w:r>
          </w:p>
        </w:tc>
        <w:tc>
          <w:tcPr>
            <w:tcW w:type="dxa" w:w="1440"/>
            <w:shd w:fill="FFDCE0" w:val="clear"/>
          </w:tcPr>
          <w:p>
            <w:r>
              <w:rPr>
                <w:b/>
                <w:color w:val="C00000"/>
                <w:sz w:val="17"/>
              </w:rPr>
              <w:t>-15.5%</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2,800</w:t>
            </w:r>
          </w:p>
        </w:tc>
        <w:tc>
          <w:tcPr>
            <w:tcW w:type="dxa" w:w="1440"/>
            <w:shd w:fill="FFDCE0" w:val="clear"/>
          </w:tcPr>
          <w:p>
            <w:r>
              <w:rPr>
                <w:b/>
                <w:sz w:val="17"/>
              </w:rPr>
              <w:t>3,247</w:t>
            </w:r>
          </w:p>
        </w:tc>
        <w:tc>
          <w:tcPr>
            <w:tcW w:type="dxa" w:w="1440"/>
            <w:shd w:fill="FFDCE0" w:val="clear"/>
          </w:tcPr>
          <w:p>
            <w:r>
              <w:rPr>
                <w:sz w:val="17"/>
              </w:rPr>
              <w:t>3,694</w:t>
            </w:r>
          </w:p>
        </w:tc>
        <w:tc>
          <w:tcPr>
            <w:tcW w:type="dxa" w:w="1440"/>
            <w:shd w:fill="FFDCE0" w:val="clear"/>
          </w:tcPr>
          <w:p>
            <w:r>
              <w:rPr>
                <w:b/>
                <w:color w:val="C00000"/>
                <w:sz w:val="17"/>
              </w:rPr>
              <w:t>-16.7%</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2,736</w:t>
            </w:r>
          </w:p>
        </w:tc>
        <w:tc>
          <w:tcPr>
            <w:tcW w:type="dxa" w:w="1440"/>
            <w:shd w:fill="FFDCE0" w:val="clear"/>
          </w:tcPr>
          <w:p>
            <w:r>
              <w:rPr>
                <w:b/>
                <w:sz w:val="17"/>
              </w:rPr>
              <w:t>3,200</w:t>
            </w:r>
          </w:p>
        </w:tc>
        <w:tc>
          <w:tcPr>
            <w:tcW w:type="dxa" w:w="1440"/>
            <w:shd w:fill="FFDCE0" w:val="clear"/>
          </w:tcPr>
          <w:p>
            <w:r>
              <w:rPr>
                <w:sz w:val="17"/>
              </w:rPr>
              <w:t>3,664</w:t>
            </w:r>
          </w:p>
        </w:tc>
        <w:tc>
          <w:tcPr>
            <w:tcW w:type="dxa" w:w="1440"/>
            <w:shd w:fill="FFDCE0" w:val="clear"/>
          </w:tcPr>
          <w:p>
            <w:r>
              <w:rPr>
                <w:b/>
                <w:color w:val="C00000"/>
                <w:sz w:val="17"/>
              </w:rPr>
              <w:t>-17.9%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**Date de l'analyse : 06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42,56 milliards FCFA, un niveau significatif qui la positionne comme une valeur de taille moyenne sur la BRVM. Avec un BPA de 124 FCFA, le titre se négocie à un PER de 31,5x, très nettement supérieur à la moyenne historique du marché (8-12x). Ce ratio élevé suggère que les investisseurs anticipent une croissance future soutenue, mais expose également le titre à un risque de correction si ces attentes ne se matérialisent pas. Le P/B de 8,25x confirme cette prime boursière, le marché valorisant fortement les actifs nets de la société. Enfin, l'EV/EBITDA de 16,2x (&gt;15x) renforce l'idée d'une valorisation exigeante, où la valeur d'entreprise intègre une capacité opérationnelle future déjà largement anticipée.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 enregistré une progression remarquable de +12,39%, atteignant 3 900 FCFA, malgré un léger repli de -1,27% lors de la dernière séance. Le titre a évolué dans une fourchette de 2 800 à 3 950 FCFA, démontrant une dynamique haussière soutenue. La moyenne du cours sur la période (3 227 FCFA) étant inférieure à la médiane (3 182 FCFA), on observe une asymétrie positive (skewness de 0,660), indiquant que le titre a passé plus de temps sous sa moyenne avant de connaître des poussées haussières récentes. L'écart-type de 266 FCFA (CV=8,2%) révèle une dispersion modérée autour de la moyenne. Le kurtosis proche de zéro (-0,059) suggère une distribution des rendements sans pics extrêmes, mais la volatilité annualisée de 49,2% classe le titre comme très volatil, un niveau élevé qui implique un risque important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(3 900 FCFA) se positionne nettement au-dessus de la MM20 (3 471,75 FCFA) et de la MM50 (3 256,1 FCFA), confirmant une tendance haussière solide à court et moyen terme. La configuration des MM, avec la MM20 au-dessus de la MM50, valide la dynamique positive et justifie la décision d'achat.</w:t>
      </w:r>
    </w:p>
    <w:p>
      <w:pPr>
        <w:spacing w:after="120" w:line="276" w:lineRule="auto"/>
      </w:pPr>
      <w:r>
        <w:t>**Bandes de Bollinger** : Le prix évolue dans la partie supérieure des bandes, proche de la borne haute (4 080,55 FCFA), indiquant une pression acheteuse soutenue. La largeur des bandes reflète une volatilité élevée. Le signal est neutre, car le titre n'a pas encore touché la borne supérieure, mais la tendance reste constructive.</w:t>
      </w:r>
    </w:p>
    <w:p>
      <w:pPr>
        <w:spacing w:after="120" w:line="276" w:lineRule="auto"/>
      </w:pPr>
      <w:r>
        <w:t>**MACD** : Le MACD (200,99) est nettement au-dessus de son signal (151,83), confirmant un momentum haussier fort. Cette configuration positive soutient la décision d'achat, bien que l'écart important puisse signaler une possible consolidation à court terme.</w:t>
      </w:r>
    </w:p>
    <w:p>
      <w:pPr>
        <w:spacing w:after="120" w:line="276" w:lineRule="auto"/>
      </w:pPr>
      <w:r>
        <w:t>**RSI** : À 85,1, le RSI est en zone de surachat sévère (&gt;70), indiquant que le titre a fortement progressé et qu'un repli technique est probable à court terme. La décision de vente est justifiée par ce niveau extrême.</w:t>
      </w:r>
    </w:p>
    <w:p>
      <w:pPr>
        <w:spacing w:after="120" w:line="276" w:lineRule="auto"/>
      </w:pPr>
      <w:r>
        <w:t>**Stochastique** : Avec %K à 92,31 et %D à 94,72, l'oscillateur est également en zone de surachat extrême. La proximité des deux lignes suggère une possible divergence baissière à venir. La décision de vente est cohérente avec ces niveaux.</w:t>
      </w:r>
    </w:p>
    <w:p>
      <w:pPr>
        <w:spacing w:after="120" w:line="276" w:lineRule="auto"/>
      </w:pPr>
      <w:r>
        <w:t>**Conclusion technique** : Les indicateurs de tendance (MM, MACD) sont positifs, mais les oscillateurs de momentum (RSI, Stochastique) signalent une situation de surachat extrême. Cette divergence indique que la tendance haussière pourrait marquer une pause ou subir une correction à court terme, bien que la dynamique de fond reste positive.</w:t>
      </w:r>
    </w:p>
    <w:p>
      <w:pPr>
        <w:spacing w:after="120" w:line="276" w:lineRule="auto"/>
      </w:pPr>
      <w:r>
        <w:t>---</w:t>
      </w:r>
    </w:p>
    <w:p>
      <w:pPr>
        <w:spacing w:after="120" w:line="276" w:lineRule="auto"/>
      </w:pPr>
      <w:r>
        <w:t>### PARTIE 3 : ANALYSE FONDAMENTALE (SECTION CRITIQUE)</w:t>
      </w:r>
    </w:p>
    <w:p>
      <w:pPr>
        <w:spacing w:after="120" w:line="276" w:lineRule="auto"/>
      </w:pPr>
      <w:r>
        <w:t>En 2025, Servair Abidjan (ABJC) a réalisé un chiffre d'affaires de 13,298 milliards FCFA, en croissance de 6,67% par rapport à 2024 (12,467 milliards FCFA). Le résultat net s'établit à 1,351 milliard FCFA, en baisse de 12,1% par rapport à 2024 (1,515 milliard FCFA), principalement en raison d'une hausse de la charge d'impôt (+46,7%). La marge nette reste correcte à 10,16%, tandis que le ROE est excellent à 26,18% et le ROA à 14,64%, témoignant d'une utilisation efficace des capitaux propres et des actifs. La structure financière est saine avec des capitaux propres de 5,159 milliards FCFA (autonomie financière de 55,9%) et une trésorerie nette positive de 4,035 milliards FCFA. Le BFR est maîtrisé à 257,45 millions FCFA, avec un délai de paiement des clients de 70 jours et un délai fournisseurs de 92 jours, favorable à la trésorerie. Cependant, les rapports trimestriels 2026 (T1 2026, publié en avril 2026) montrent une dégradation de la rentabilité : le résultat net a chuté de 35,6% à 222,6 millions FCFA, impacté par les ajustements de redevances aéroportuaires et les tensions géopolitiques. Sur la base de ces données, on estime que l'exercice 2026 pourrait voir une contraction du résultat net, malgré une légère croissance du chiffre d'affaires (+1,9% au T1). La solidité financière et la position dominante de Servair sur le marché de la restauration aérienne en Côte d'Ivoire constituent des atouts, mais les défis opérationnels et réglementaires persistent.</w:t>
      </w:r>
    </w:p>
    <w:p>
      <w:pPr>
        <w:spacing w:after="120" w:line="276" w:lineRule="auto"/>
      </w:pPr>
      <w:r>
        <w:t>---</w:t>
      </w:r>
    </w:p>
    <w:p>
      <w:pPr>
        <w:spacing w:after="120" w:line="276" w:lineRule="auto"/>
      </w:pPr>
      <w:r>
        <w:t>### PARTIE 4 : CONCLUSION D'INVESTISSEMENT</w:t>
      </w:r>
    </w:p>
    <w:p>
      <w:pPr>
        <w:spacing w:after="120" w:line="276" w:lineRule="auto"/>
      </w:pPr>
      <w:r>
        <w:t>La valorisation d'ABJC (PER 31,5x, P/B 8,25x, EV/EBITDA 16,2x) est exigeante, reflétant des attentes élevées de croissance. Le comportement du cours sur 100 jours est haussier (+12,39%) mais avec une volatilité très élevée (49,2%), signalant un risque accru. Les signaux techniques sont mitigés : la tendance de fond reste positive (MM, MACD), mais les oscillateurs (RSI 85, Stochastique 92) indiquent un surachat extrême, suggérant une correction imminente. Les fondamentaux 2025 sont solides (ROE 26,2%, trésorerie abondante), mais les rapports T1 2026 montrent une dégradation de la rentabilité (-35,6% du résultat net). Les prédictions IA (J+1 à J+10) prévoient une baisse progressive du cours vers 3 469 FCFA, confirmant les signaux techniques de surachat. En synthèse, la convergence des signaux techniques et des prédictions IA vers une correction, couplée à une valorisation élevée et à des perspectives 2026 incertaines, conduit à une recommandation **CONSERVER** avec un niveau de confiance **Moyen**. Le risque global est **Élevé** en raison de la volatilité et de la valorisation. L'horizon d'investissement optimal serait de **moyen terme (3-12 mois)** pour observer l'évolution des résultats 2026 et une éventuelle correction du cours avant un réinvestissement.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600.70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12,052 titres</w:t>
            </w:r>
          </w:p>
        </w:tc>
        <w:tc>
          <w:tcPr>
            <w:tcW w:type="dxa" w:w="2268"/>
            <w:shd w:fill="FFF2CC" w:val="clear"/>
          </w:tcPr>
          <w:p>
            <w:r>
              <w:rPr>
                <w:b/>
                <w:color w:val="503200"/>
                <w:sz w:val="16"/>
              </w:rPr>
              <w:t xml:space="preserve">Cours actuel : </w:t>
            </w:r>
            <w:r>
              <w:rPr>
                <w:color w:val="000000"/>
                <w:sz w:val="17"/>
              </w:rPr>
              <w:t>10,400 FCFA</w:t>
            </w:r>
          </w:p>
          <w:p>
            <w:r>
              <w:rPr>
                <w:b/>
                <w:color w:val="503200"/>
                <w:sz w:val="16"/>
              </w:rPr>
              <w:t xml:space="preserve">Var. 100 jours : </w:t>
            </w:r>
            <w:r>
              <w:rPr>
                <w:b/>
                <w:color w:val="007800"/>
                <w:sz w:val="17"/>
              </w:rPr>
              <w:t>+101.94%</w:t>
            </w:r>
          </w:p>
          <w:p>
            <w:r>
              <w:rPr>
                <w:b/>
                <w:color w:val="503200"/>
                <w:sz w:val="16"/>
              </w:rPr>
              <w:t xml:space="preserve">Plus haut 100j : </w:t>
            </w:r>
            <w:r>
              <w:rPr>
                <w:color w:val="000000"/>
                <w:sz w:val="17"/>
              </w:rPr>
              <w:t>10,400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21.17% (Élevée) — μ=6,401 FCFA, σ=1,355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β=0.4557 (Défensif) — Cov=0.000017, Var(idx)=0.000037, ρ=0.133,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12,052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σ_j=2.08%/j (Stable) — Vol. annualisée≈33.0%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9,179</w:t>
            </w:r>
          </w:p>
        </w:tc>
        <w:tc>
          <w:tcPr>
            <w:tcW w:type="dxa" w:w="1440"/>
            <w:shd w:fill="FFDCE0" w:val="clear"/>
          </w:tcPr>
          <w:p>
            <w:r>
              <w:rPr>
                <w:b/>
                <w:sz w:val="17"/>
              </w:rPr>
              <w:t>9,620</w:t>
            </w:r>
          </w:p>
        </w:tc>
        <w:tc>
          <w:tcPr>
            <w:tcW w:type="dxa" w:w="1440"/>
            <w:shd w:fill="FFDCE0" w:val="clear"/>
          </w:tcPr>
          <w:p>
            <w:r>
              <w:rPr>
                <w:sz w:val="17"/>
              </w:rPr>
              <w:t>10,061</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8,321</w:t>
            </w:r>
          </w:p>
        </w:tc>
        <w:tc>
          <w:tcPr>
            <w:tcW w:type="dxa" w:w="1440"/>
            <w:shd w:fill="FFDCE0" w:val="clear"/>
          </w:tcPr>
          <w:p>
            <w:r>
              <w:rPr>
                <w:b/>
                <w:sz w:val="17"/>
              </w:rPr>
              <w:t>8,898</w:t>
            </w:r>
          </w:p>
        </w:tc>
        <w:tc>
          <w:tcPr>
            <w:tcW w:type="dxa" w:w="1440"/>
            <w:shd w:fill="FFDCE0" w:val="clear"/>
          </w:tcPr>
          <w:p>
            <w:r>
              <w:rPr>
                <w:sz w:val="17"/>
              </w:rPr>
              <w:t>9,476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7,577</w:t>
            </w:r>
          </w:p>
        </w:tc>
        <w:tc>
          <w:tcPr>
            <w:tcW w:type="dxa" w:w="1440"/>
            <w:shd w:fill="FFDCE0" w:val="clear"/>
          </w:tcPr>
          <w:p>
            <w:r>
              <w:rPr>
                <w:b/>
                <w:sz w:val="17"/>
              </w:rPr>
              <w:t>8,231</w:t>
            </w:r>
          </w:p>
        </w:tc>
        <w:tc>
          <w:tcPr>
            <w:tcW w:type="dxa" w:w="1440"/>
            <w:shd w:fill="FFDCE0" w:val="clear"/>
          </w:tcPr>
          <w:p>
            <w:r>
              <w:rPr>
                <w:sz w:val="17"/>
              </w:rPr>
              <w:t>8,885</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6,915</w:t>
            </w:r>
          </w:p>
        </w:tc>
        <w:tc>
          <w:tcPr>
            <w:tcW w:type="dxa" w:w="1440"/>
            <w:shd w:fill="FFDCE0" w:val="clear"/>
          </w:tcPr>
          <w:p>
            <w:r>
              <w:rPr>
                <w:b/>
                <w:sz w:val="17"/>
              </w:rPr>
              <w:t>7,614</w:t>
            </w:r>
          </w:p>
        </w:tc>
        <w:tc>
          <w:tcPr>
            <w:tcW w:type="dxa" w:w="1440"/>
            <w:shd w:fill="FFDCE0" w:val="clear"/>
          </w:tcPr>
          <w:p>
            <w:r>
              <w:rPr>
                <w:sz w:val="17"/>
              </w:rPr>
              <w:t>8,312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6,321</w:t>
            </w:r>
          </w:p>
        </w:tc>
        <w:tc>
          <w:tcPr>
            <w:tcW w:type="dxa" w:w="1440"/>
            <w:shd w:fill="FFDCE0" w:val="clear"/>
          </w:tcPr>
          <w:p>
            <w:r>
              <w:rPr>
                <w:b/>
                <w:sz w:val="17"/>
              </w:rPr>
              <w:t>7,043</w:t>
            </w:r>
          </w:p>
        </w:tc>
        <w:tc>
          <w:tcPr>
            <w:tcW w:type="dxa" w:w="1440"/>
            <w:shd w:fill="FFDCE0" w:val="clear"/>
          </w:tcPr>
          <w:p>
            <w:r>
              <w:rPr>
                <w:sz w:val="17"/>
              </w:rPr>
              <w:t>7,765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5,783</w:t>
            </w:r>
          </w:p>
        </w:tc>
        <w:tc>
          <w:tcPr>
            <w:tcW w:type="dxa" w:w="1440"/>
            <w:shd w:fill="FFDCE0" w:val="clear"/>
          </w:tcPr>
          <w:p>
            <w:r>
              <w:rPr>
                <w:b/>
                <w:sz w:val="17"/>
              </w:rPr>
              <w:t>6,515</w:t>
            </w:r>
          </w:p>
        </w:tc>
        <w:tc>
          <w:tcPr>
            <w:tcW w:type="dxa" w:w="1440"/>
            <w:shd w:fill="FFDCE0" w:val="clear"/>
          </w:tcPr>
          <w:p>
            <w:r>
              <w:rPr>
                <w:sz w:val="17"/>
              </w:rPr>
              <w:t>7,246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5,295</w:t>
            </w:r>
          </w:p>
        </w:tc>
        <w:tc>
          <w:tcPr>
            <w:tcW w:type="dxa" w:w="1440"/>
            <w:shd w:fill="FFDCE0" w:val="clear"/>
          </w:tcPr>
          <w:p>
            <w:r>
              <w:rPr>
                <w:b/>
                <w:sz w:val="17"/>
              </w:rPr>
              <w:t>6,026</w:t>
            </w:r>
          </w:p>
        </w:tc>
        <w:tc>
          <w:tcPr>
            <w:tcW w:type="dxa" w:w="1440"/>
            <w:shd w:fill="FFDCE0" w:val="clear"/>
          </w:tcPr>
          <w:p>
            <w:r>
              <w:rPr>
                <w:sz w:val="17"/>
              </w:rPr>
              <w:t>6,757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5,097</w:t>
            </w:r>
          </w:p>
        </w:tc>
        <w:tc>
          <w:tcPr>
            <w:tcW w:type="dxa" w:w="1440"/>
            <w:shd w:fill="FFDCE0" w:val="clear"/>
          </w:tcPr>
          <w:p>
            <w:r>
              <w:rPr>
                <w:b/>
                <w:sz w:val="17"/>
              </w:rPr>
              <w:t>5,857</w:t>
            </w:r>
          </w:p>
        </w:tc>
        <w:tc>
          <w:tcPr>
            <w:tcW w:type="dxa" w:w="1440"/>
            <w:shd w:fill="FFDCE0" w:val="clear"/>
          </w:tcPr>
          <w:p>
            <w:r>
              <w:rPr>
                <w:sz w:val="17"/>
              </w:rPr>
              <w:t>6,616</w:t>
            </w:r>
          </w:p>
        </w:tc>
        <w:tc>
          <w:tcPr>
            <w:tcW w:type="dxa" w:w="1440"/>
            <w:shd w:fill="FFDCE0" w:val="clear"/>
          </w:tcPr>
          <w:p>
            <w:r>
              <w:rPr>
                <w:b/>
                <w:color w:val="C00000"/>
                <w:sz w:val="17"/>
              </w:rPr>
              <w:t>-43.7%</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4,950</w:t>
            </w:r>
          </w:p>
        </w:tc>
        <w:tc>
          <w:tcPr>
            <w:tcW w:type="dxa" w:w="1440"/>
            <w:shd w:fill="FFDCE0" w:val="clear"/>
          </w:tcPr>
          <w:p>
            <w:r>
              <w:rPr>
                <w:b/>
                <w:sz w:val="17"/>
              </w:rPr>
              <w:t>5,739</w:t>
            </w:r>
          </w:p>
        </w:tc>
        <w:tc>
          <w:tcPr>
            <w:tcW w:type="dxa" w:w="1440"/>
            <w:shd w:fill="FFDCE0" w:val="clear"/>
          </w:tcPr>
          <w:p>
            <w:r>
              <w:rPr>
                <w:sz w:val="17"/>
              </w:rPr>
              <w:t>6,529</w:t>
            </w:r>
          </w:p>
        </w:tc>
        <w:tc>
          <w:tcPr>
            <w:tcW w:type="dxa" w:w="1440"/>
            <w:shd w:fill="FFDCE0" w:val="clear"/>
          </w:tcPr>
          <w:p>
            <w:r>
              <w:rPr>
                <w:b/>
                <w:color w:val="C00000"/>
                <w:sz w:val="17"/>
              </w:rPr>
              <w:t>-44.8%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4,820</w:t>
            </w:r>
          </w:p>
        </w:tc>
        <w:tc>
          <w:tcPr>
            <w:tcW w:type="dxa" w:w="1440"/>
            <w:shd w:fill="FFDCE0" w:val="clear"/>
          </w:tcPr>
          <w:p>
            <w:r>
              <w:rPr>
                <w:b/>
                <w:sz w:val="17"/>
              </w:rPr>
              <w:t>5,638</w:t>
            </w:r>
          </w:p>
        </w:tc>
        <w:tc>
          <w:tcPr>
            <w:tcW w:type="dxa" w:w="1440"/>
            <w:shd w:fill="FFDCE0" w:val="clear"/>
          </w:tcPr>
          <w:p>
            <w:r>
              <w:rPr>
                <w:sz w:val="17"/>
              </w:rPr>
              <w:t>6,455</w:t>
            </w:r>
          </w:p>
        </w:tc>
        <w:tc>
          <w:tcPr>
            <w:tcW w:type="dxa" w:w="1440"/>
            <w:shd w:fill="FFDCE0" w:val="clear"/>
          </w:tcPr>
          <w:p>
            <w:r>
              <w:rPr>
                <w:b/>
                <w:color w:val="C00000"/>
                <w:sz w:val="17"/>
              </w:rPr>
              <w:t>-45.8%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de l'analyse : 05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600,70 milliards FCFA, un niveau qui la positionne parmi les valeurs à grande capitalisation de la BRVM, reflétant son statut de leader bancaire au Bénin. Le BPA de 627 FCFA indique que chaque action génère un bénéfice substantiel. Le PER de 16,6x est nettement supérieur à la moyenne historique de la BRVM (8-12x), signifiant que les investisseurs paient une prime significative pour les bénéfices de la banque. Cette prime est encore plus marquée au regard du P/B de 4,45x, qui valorise l'action à plus de quatre fois sa valeur comptable, et de l'EV/EBITDA de 26,9x, un niveau très exigeant qui reflète des anticipations de croissance élevées. Ces ratios indiquent une valorisation riche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connu une progression spectaculaire de +101,94%, doublant sa valeur, avec une dernière séance en hausse de +2,87% à 10 400 FCFA. Le titre a évolué dans une fourchette très large, entre un plus bas de 5 100 FCFA et un plus haut historique de 10 400 FCFA, démontrant une tendance haussière extrêmement forte. La moyenne du cours sur la période (6 401 FCFA) est nettement supérieure à la médiane (5 858 FCFA), et le skewness positif de 0,974 confirme une asymétrie avec des journées majoritairement sous la moyenne mais ponctuées de fortes hausses. L'écart-type de 1 362 FCFA (CV de 21,3%) indique une dispersion modérée, tandis que le kurtosis de -0,113 (mésokurtique) suggère une distribution des rendements proche de la normale, sans risque de pics extrêmes particulier. La volatilité annualisée de 33,0% classe le titre comme très volatil, un niveau élevé qui reflète l'ampleur du mouvement haussier récent.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10 400 FCFA est largement au-dessus de la MM20 (8 622 FCFA) et de la MM50 (7 460 FCFA), confirmant une tendance haussière robuste à court et moyen terme. L'écart important entre le prix et les moyennes indique une dynamique très positive, mais aussi un potentiel de correction technique. La décision d'achat est justifiée par la configuration haussière des moyennes mobiles.</w:t>
      </w:r>
    </w:p>
    <w:p>
      <w:pPr>
        <w:spacing w:after="120" w:line="276" w:lineRule="auto"/>
      </w:pPr>
      <w:r>
        <w:t>**Bandes de Bollinger** : Le cours évolue au-dessus de la borne supérieure des bandes (10 082 FCFA), un signal classique de surachat extrême. Cette sortie de bande suggère une volatilité intense et une extension excessive du mouvement haussier. La décision de vente est cohérente avec ce positionnement, car statistiquement, un retour vers la moyenne (borne inférieure à 7 162 FCFA) est probable à court terme.</w:t>
      </w:r>
    </w:p>
    <w:p>
      <w:pPr>
        <w:spacing w:after="120" w:line="276" w:lineRule="auto"/>
      </w:pPr>
      <w:r>
        <w:t>**MACD** : Le MACD (671,2) est nettement au-dessus de sa ligne de signal (528,1), indiquant un momentum haussier toujours puissant. La divergence positive entre les deux lignes montre que la dynamique d'achat reste dominante, justifiant la décision d'achat. Cependant, l'ampleur de l'écart pourrait signaler une exubérance excessive qui précède souvent un essoufflement.</w:t>
      </w:r>
    </w:p>
    <w:p>
      <w:pPr>
        <w:spacing w:after="120" w:line="276" w:lineRule="auto"/>
      </w:pPr>
      <w:r>
        <w:t>**RSI** : Le RSI à 84,7 est profondément en zone de surachat (au-dessus de 70), signalant que le titre est survendu d'un point de vue technique et qu'un repli est probable. Ce niveau extrême reflète la vigueur du mouvement haussier mais suggère également que les acheteurs sont potentiellement épuisés à court terme. La décision de vente est justifiée par ce niveau extrême.</w:t>
      </w:r>
    </w:p>
    <w:p>
      <w:pPr>
        <w:spacing w:after="120" w:line="276" w:lineRule="auto"/>
      </w:pPr>
      <w:r>
        <w:t>**Stochastique** : Le %K et le %D sont tous deux à 100, un niveau de surachat maximal qui indique que le titre a clôturé à ses plus hauts sur la période. Cette configuration extrême est rare et signale une pression d'achat exceptionnelle, mais elle est généralement suivie d'une consolidation. La décision de vente est cohérente avec ce niveau de surachat extrême.</w:t>
      </w:r>
    </w:p>
    <w:p>
      <w:pPr>
        <w:spacing w:after="120" w:line="276" w:lineRule="auto"/>
      </w:pPr>
      <w:r>
        <w:t>**Conclusion technique** : Les indicateurs de tendance (MM, MACD) sont positifs et confirment la force du mouvement haussier, mais tous les oscillateurs (RSI, Stochastique, Bandes de Bollinger) sont en zone de surachat extrême. Cette divergence entre tendance et momentum suggère qu'une correction technique est probable à court terme, bien que la tendance de fond reste haussière.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font état d'une performance financière remarquable pour BICB. Le Produit Net Bancaire (PNB) s'établit à 52,805 milliards FCFA, en croissance de 16,5% par rapport à 2024, tandis que le résultat net atteint 36,237 milliards FCFA, en hausse de 24,7%. La rentabilité est excellente avec un ROE de 26,8% et un ROA de 1,96%. Le coefficient d'exploitation de 31,1% témoigne d'une efficacité opérationnelle remarquable, bien en deçà du seuil de 60% considéré comme satisfaisant pour une banque. Le coût du risque de 9,6% reste un point de vigilance, indiquant un risque de crédit significatif. Le ratio crédits/dépôts de 97,5% révèle une transformation bilancielle tendue. Les rapports trimestriels 2025 (S1 et T3) montrent une croissance soutenue du PNB (+28% au S1, +26% au T3) mais un résultat net en baisse (-27% au S1, -9% au T3) en raison d'un provisionnement prudent. Le rapport T1 2026, publié en 2026, indique un net rebond avec un résultat net en hausse de 48% à 8,0 milliards FCFA et un PNB en progression de 35% à 14,6 milliards FCFA, laissant présager une excellente année 2026. Le rapport des commissaires aux comptes de juin 2026 certifie les comptes 2025 sans réserve, confirmant la solidité financière de la banque. La recommandation fondamentale est positive, la banque démontrant sa capacité à générer une croissance rentable tout en maintenant une gestion prudente des risques.</w:t>
      </w:r>
    </w:p>
    <w:p>
      <w:pPr>
        <w:spacing w:after="120" w:line="276" w:lineRule="auto"/>
      </w:pPr>
      <w:r>
        <w:t>---</w:t>
      </w:r>
    </w:p>
    <w:p>
      <w:pPr>
        <w:spacing w:after="120" w:line="276" w:lineRule="auto"/>
      </w:pPr>
      <w:r>
        <w:t>### PARTIE 4 : CONCLUSION D'INVESTISSEMENT</w:t>
      </w:r>
    </w:p>
    <w:p>
      <w:pPr>
        <w:spacing w:after="120" w:line="276" w:lineRule="auto"/>
      </w:pPr>
      <w:r>
        <w:t>La valorisation de BICB (PER 16,6x, P/B 4,45x, EV/EBITDA 26,9x) est exigeante et intègre déjà des anticipations de croissance élevées, laissant peu de marge de sécurité. Le comportement du cours sur 100 jours (+101,94%) avec une volatilité de 33% témoigne d'un momentum exceptionnel mais également d'un risque de retournement. Les signaux techniques sont contradictoires : la tendance (MM, MACD) reste haussière, mais tous les oscillateurs (RSI 84,7, Stochastique 100, Bandes de Bollinger) sont en surachat extrême, suggérant une correction imminente. Les fondamentaux sont solides avec une croissance soutenue du PNB et du résultat net, un ROE de 26,8% et une amélioration notable au T1 2026. Les prédictions IA pour les 10 prochains jours (baisse de 10 400 à 7 043 FCFA) confirment le scénario technique d'une correction, avec un repli potentiel de plus de 30%. Cette convergence entre les signaux techniques de surachat et les prédictions IA suggère qu'une consolidation est très probable à court terme. **Recommandation finale : VENTE** pour les investisseurs à court terme souhaitant sécuriser leurs gains, avec un niveau de confiance Moyen et un risque global Élevé. Pour les investisseurs à long terme, une stratégie d'achat progressif après correction pourrait être envisagée, compte tenu de la solidité fondamentale de la banque. Horizon d'investissement optimal : moyen terme (3-12 mois) pour un point d'entrée après correction.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550.08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669 titres</w:t>
            </w:r>
          </w:p>
        </w:tc>
        <w:tc>
          <w:tcPr>
            <w:tcW w:type="dxa" w:w="2268"/>
            <w:shd w:fill="FFF2CC" w:val="clear"/>
          </w:tcPr>
          <w:p>
            <w:r>
              <w:rPr>
                <w:b/>
                <w:color w:val="503200"/>
                <w:sz w:val="16"/>
              </w:rPr>
              <w:t xml:space="preserve">Cours actuel : </w:t>
            </w:r>
            <w:r>
              <w:rPr>
                <w:color w:val="000000"/>
                <w:sz w:val="17"/>
              </w:rPr>
              <w:t>33,005 FCFA</w:t>
            </w:r>
          </w:p>
          <w:p>
            <w:r>
              <w:rPr>
                <w:b/>
                <w:color w:val="503200"/>
                <w:sz w:val="16"/>
              </w:rPr>
              <w:t xml:space="preserve">Var. 100 jours : </w:t>
            </w:r>
            <w:r>
              <w:rPr>
                <w:b/>
                <w:color w:val="007800"/>
                <w:sz w:val="17"/>
              </w:rPr>
              <w:t>+40.45%</w:t>
            </w:r>
          </w:p>
          <w:p>
            <w:r>
              <w:rPr>
                <w:b/>
                <w:color w:val="503200"/>
                <w:sz w:val="16"/>
              </w:rPr>
              <w:t xml:space="preserve">Plus haut 100j : </w:t>
            </w:r>
            <w:r>
              <w:rPr>
                <w:color w:val="000000"/>
                <w:sz w:val="17"/>
              </w:rPr>
              <w:t>33,005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7.31% (Moyenne) — μ=27,702 FCFA, σ=2,024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β=0.5089 (Défensif) — Cov=0.000019, Var(idx)=0.000037, ρ=0.170,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669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30,174</w:t>
            </w:r>
          </w:p>
        </w:tc>
        <w:tc>
          <w:tcPr>
            <w:tcW w:type="dxa" w:w="1440"/>
            <w:shd w:fill="FFDCE0" w:val="clear"/>
          </w:tcPr>
          <w:p>
            <w:r>
              <w:rPr>
                <w:b/>
                <w:sz w:val="17"/>
              </w:rPr>
              <w:t>31,067</w:t>
            </w:r>
          </w:p>
        </w:tc>
        <w:tc>
          <w:tcPr>
            <w:tcW w:type="dxa" w:w="1440"/>
            <w:shd w:fill="FFDCE0" w:val="clear"/>
          </w:tcPr>
          <w:p>
            <w:r>
              <w:rPr>
                <w:sz w:val="17"/>
              </w:rPr>
              <w:t>31,960</w:t>
            </w:r>
          </w:p>
        </w:tc>
        <w:tc>
          <w:tcPr>
            <w:tcW w:type="dxa" w:w="1440"/>
            <w:shd w:fill="FFDCE0" w:val="clear"/>
          </w:tcPr>
          <w:p>
            <w:r>
              <w:rPr>
                <w:b/>
                <w:color w:val="C00000"/>
                <w:sz w:val="17"/>
              </w:rPr>
              <w:t>-5.9%</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29,498</w:t>
            </w:r>
          </w:p>
        </w:tc>
        <w:tc>
          <w:tcPr>
            <w:tcW w:type="dxa" w:w="1440"/>
            <w:shd w:fill="FFDCE0" w:val="clear"/>
          </w:tcPr>
          <w:p>
            <w:r>
              <w:rPr>
                <w:b/>
                <w:sz w:val="17"/>
              </w:rPr>
              <w:t>30,748</w:t>
            </w:r>
          </w:p>
        </w:tc>
        <w:tc>
          <w:tcPr>
            <w:tcW w:type="dxa" w:w="1440"/>
            <w:shd w:fill="FFDCE0" w:val="clear"/>
          </w:tcPr>
          <w:p>
            <w:r>
              <w:rPr>
                <w:sz w:val="17"/>
              </w:rPr>
              <w:t>31,998</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28,748</w:t>
            </w:r>
          </w:p>
        </w:tc>
        <w:tc>
          <w:tcPr>
            <w:tcW w:type="dxa" w:w="1440"/>
            <w:shd w:fill="FFDCE0" w:val="clear"/>
          </w:tcPr>
          <w:p>
            <w:r>
              <w:rPr>
                <w:b/>
                <w:sz w:val="17"/>
              </w:rPr>
              <w:t>30,255</w:t>
            </w:r>
          </w:p>
        </w:tc>
        <w:tc>
          <w:tcPr>
            <w:tcW w:type="dxa" w:w="1440"/>
            <w:shd w:fill="FFDCE0" w:val="clear"/>
          </w:tcPr>
          <w:p>
            <w:r>
              <w:rPr>
                <w:sz w:val="17"/>
              </w:rPr>
              <w:t>31,761</w:t>
            </w:r>
          </w:p>
        </w:tc>
        <w:tc>
          <w:tcPr>
            <w:tcW w:type="dxa" w:w="1440"/>
            <w:shd w:fill="FFDCE0" w:val="clear"/>
          </w:tcPr>
          <w:p>
            <w:r>
              <w:rPr>
                <w:b/>
                <w:color w:val="C00000"/>
                <w:sz w:val="17"/>
              </w:rPr>
              <w:t>-8.3%</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28,121</w:t>
            </w:r>
          </w:p>
        </w:tc>
        <w:tc>
          <w:tcPr>
            <w:tcW w:type="dxa" w:w="1440"/>
            <w:shd w:fill="FFDCE0" w:val="clear"/>
          </w:tcPr>
          <w:p>
            <w:r>
              <w:rPr>
                <w:b/>
                <w:sz w:val="17"/>
              </w:rPr>
              <w:t>29,836</w:t>
            </w:r>
          </w:p>
        </w:tc>
        <w:tc>
          <w:tcPr>
            <w:tcW w:type="dxa" w:w="1440"/>
            <w:shd w:fill="FFDCE0" w:val="clear"/>
          </w:tcPr>
          <w:p>
            <w:r>
              <w:rPr>
                <w:sz w:val="17"/>
              </w:rPr>
              <w:t>31,551</w:t>
            </w:r>
          </w:p>
        </w:tc>
        <w:tc>
          <w:tcPr>
            <w:tcW w:type="dxa" w:w="1440"/>
            <w:shd w:fill="FFDCE0" w:val="clear"/>
          </w:tcPr>
          <w:p>
            <w:r>
              <w:rPr>
                <w:b/>
                <w:color w:val="C00000"/>
                <w:sz w:val="17"/>
              </w:rPr>
              <w:t>-9.6%</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27,587</w:t>
            </w:r>
          </w:p>
        </w:tc>
        <w:tc>
          <w:tcPr>
            <w:tcW w:type="dxa" w:w="1440"/>
            <w:shd w:fill="FFDCE0" w:val="clear"/>
          </w:tcPr>
          <w:p>
            <w:r>
              <w:rPr>
                <w:b/>
                <w:sz w:val="17"/>
              </w:rPr>
              <w:t>29,482</w:t>
            </w:r>
          </w:p>
        </w:tc>
        <w:tc>
          <w:tcPr>
            <w:tcW w:type="dxa" w:w="1440"/>
            <w:shd w:fill="FFDCE0" w:val="clear"/>
          </w:tcPr>
          <w:p>
            <w:r>
              <w:rPr>
                <w:sz w:val="17"/>
              </w:rPr>
              <w:t>31,377</w:t>
            </w:r>
          </w:p>
        </w:tc>
        <w:tc>
          <w:tcPr>
            <w:tcW w:type="dxa" w:w="1440"/>
            <w:shd w:fill="FFDCE0" w:val="clear"/>
          </w:tcPr>
          <w:p>
            <w:r>
              <w:rPr>
                <w:b/>
                <w:color w:val="C00000"/>
                <w:sz w:val="17"/>
              </w:rPr>
              <w:t>-10.7%</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27,105</w:t>
            </w:r>
          </w:p>
        </w:tc>
        <w:tc>
          <w:tcPr>
            <w:tcW w:type="dxa" w:w="1440"/>
            <w:shd w:fill="FFDCE0" w:val="clear"/>
          </w:tcPr>
          <w:p>
            <w:r>
              <w:rPr>
                <w:b/>
                <w:sz w:val="17"/>
              </w:rPr>
              <w:t>29,158</w:t>
            </w:r>
          </w:p>
        </w:tc>
        <w:tc>
          <w:tcPr>
            <w:tcW w:type="dxa" w:w="1440"/>
            <w:shd w:fill="FFDCE0" w:val="clear"/>
          </w:tcPr>
          <w:p>
            <w:r>
              <w:rPr>
                <w:sz w:val="17"/>
              </w:rPr>
              <w:t>31,211</w:t>
            </w:r>
          </w:p>
        </w:tc>
        <w:tc>
          <w:tcPr>
            <w:tcW w:type="dxa" w:w="1440"/>
            <w:shd w:fill="FFDCE0" w:val="clear"/>
          </w:tcPr>
          <w:p>
            <w:r>
              <w:rPr>
                <w:b/>
                <w:color w:val="C00000"/>
                <w:sz w:val="17"/>
              </w:rPr>
              <w:t>-11.7%</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26,655</w:t>
            </w:r>
          </w:p>
        </w:tc>
        <w:tc>
          <w:tcPr>
            <w:tcW w:type="dxa" w:w="1440"/>
            <w:shd w:fill="FFDCE0" w:val="clear"/>
          </w:tcPr>
          <w:p>
            <w:r>
              <w:rPr>
                <w:b/>
                <w:sz w:val="17"/>
              </w:rPr>
              <w:t>28,849</w:t>
            </w:r>
          </w:p>
        </w:tc>
        <w:tc>
          <w:tcPr>
            <w:tcW w:type="dxa" w:w="1440"/>
            <w:shd w:fill="FFDCE0" w:val="clear"/>
          </w:tcPr>
          <w:p>
            <w:r>
              <w:rPr>
                <w:sz w:val="17"/>
              </w:rPr>
              <w:t>31,043</w:t>
            </w:r>
          </w:p>
        </w:tc>
        <w:tc>
          <w:tcPr>
            <w:tcW w:type="dxa" w:w="1440"/>
            <w:shd w:fill="FFDCE0" w:val="clear"/>
          </w:tcPr>
          <w:p>
            <w:r>
              <w:rPr>
                <w:b/>
                <w:color w:val="C00000"/>
                <w:sz w:val="17"/>
              </w:rPr>
              <w:t>-12.6%</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26,231</w:t>
            </w:r>
          </w:p>
        </w:tc>
        <w:tc>
          <w:tcPr>
            <w:tcW w:type="dxa" w:w="1440"/>
            <w:shd w:fill="FFDCE0" w:val="clear"/>
          </w:tcPr>
          <w:p>
            <w:r>
              <w:rPr>
                <w:b/>
                <w:sz w:val="17"/>
              </w:rPr>
              <w:t>28,552</w:t>
            </w:r>
          </w:p>
        </w:tc>
        <w:tc>
          <w:tcPr>
            <w:tcW w:type="dxa" w:w="1440"/>
            <w:shd w:fill="FFDCE0" w:val="clear"/>
          </w:tcPr>
          <w:p>
            <w:r>
              <w:rPr>
                <w:sz w:val="17"/>
              </w:rPr>
              <w:t>30,874</w:t>
            </w:r>
          </w:p>
        </w:tc>
        <w:tc>
          <w:tcPr>
            <w:tcW w:type="dxa" w:w="1440"/>
            <w:shd w:fill="FFDCE0" w:val="clear"/>
          </w:tcPr>
          <w:p>
            <w:r>
              <w:rPr>
                <w:b/>
                <w:color w:val="C00000"/>
                <w:sz w:val="17"/>
              </w:rPr>
              <w:t>-13.5%</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25,831</w:t>
            </w:r>
          </w:p>
        </w:tc>
        <w:tc>
          <w:tcPr>
            <w:tcW w:type="dxa" w:w="1440"/>
            <w:shd w:fill="FFDCE0" w:val="clear"/>
          </w:tcPr>
          <w:p>
            <w:r>
              <w:rPr>
                <w:b/>
                <w:sz w:val="17"/>
              </w:rPr>
              <w:t>28,268</w:t>
            </w:r>
          </w:p>
        </w:tc>
        <w:tc>
          <w:tcPr>
            <w:tcW w:type="dxa" w:w="1440"/>
            <w:shd w:fill="FFDCE0" w:val="clear"/>
          </w:tcPr>
          <w:p>
            <w:r>
              <w:rPr>
                <w:sz w:val="17"/>
              </w:rPr>
              <w:t>30,706</w:t>
            </w:r>
          </w:p>
        </w:tc>
        <w:tc>
          <w:tcPr>
            <w:tcW w:type="dxa" w:w="1440"/>
            <w:shd w:fill="FFDCE0" w:val="clear"/>
          </w:tcPr>
          <w:p>
            <w:r>
              <w:rPr>
                <w:b/>
                <w:color w:val="C00000"/>
                <w:sz w:val="17"/>
              </w:rPr>
              <w:t>-14.4%</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25,451</w:t>
            </w:r>
          </w:p>
        </w:tc>
        <w:tc>
          <w:tcPr>
            <w:tcW w:type="dxa" w:w="1440"/>
            <w:shd w:fill="FFDCE0" w:val="clear"/>
          </w:tcPr>
          <w:p>
            <w:r>
              <w:rPr>
                <w:b/>
                <w:sz w:val="17"/>
              </w:rPr>
              <w:t>27,996</w:t>
            </w:r>
          </w:p>
        </w:tc>
        <w:tc>
          <w:tcPr>
            <w:tcW w:type="dxa" w:w="1440"/>
            <w:shd w:fill="FFDCE0" w:val="clear"/>
          </w:tcPr>
          <w:p>
            <w:r>
              <w:rPr>
                <w:sz w:val="17"/>
              </w:rPr>
              <w:t>30,541</w:t>
            </w:r>
          </w:p>
        </w:tc>
        <w:tc>
          <w:tcPr>
            <w:tcW w:type="dxa" w:w="1440"/>
            <w:shd w:fill="FFDCE0" w:val="clear"/>
          </w:tcPr>
          <w:p>
            <w:r>
              <w:rPr>
                <w:b/>
                <w:color w:val="C00000"/>
                <w:sz w:val="17"/>
              </w:rPr>
              <w:t>-15.2%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550,08 milliards FCFA, un niveau qui la positionne parmi les valeurs les plus significatives de la BRVM, reflétant l'importance systémique de cette banque dans le paysage financier ivoirien. Avec un BPA de 2 191 FCFA, chaque action génère un bénéfice substantiel, justifiant un PER de 15,1x. Ce ratio est supérieur à la moyenne historique de la BRVM (8-12x), indiquant que les investisseurs acceptent de payer une prime pour la qualité des actifs et la croissance de la banque. Le P/B de 4,56x confirme cette prime, le marché valorisant fortement les capitaux propres de l'entreprise, tandis que l'EV/EBITDA de 11,0x, bien que dans la fourchette haute (10-15x), reste cohérent avec une institution financière performante. Ces ratios traduisent une valorisation exigeante mais justifiée par les fondamentaux solides de la banque.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spectaculaire de +40,45%, avec une dernière séance en hausse de +0,99% à 33 005 FCFA, atteignant son plus haut niveau sur la période. Le cours a évolué dans une fourchette large de 22 500 à 33 005 FCFA, démontrant une dynamique haussière soutenue. La moyenne de 27 702 FCFA, inférieure à la médiane de 28 385 FCFA, révèle une asymétrie positive dans la distribution des cours, avec des journées de forte hausse tirant la moyenne vers le haut. L'écart-type de 2 034 FCFA (CV=7,3%) indique une dispersion modérée autour de la moyenne, tandis que le kurtosis de 0,342 suggère une distribution mésokurtique, sans risque de pics extrêmes. Le skewness négatif de -0,696, paradoxalement, indique que les rendements négatifs sont plus fréquents mais de faible ampleur. La volatilité annualisée de 28,9% classe le titre dans la catégorie modérée à élevée, reflétant un risque mesuré pour une performance remarquable.</w:t>
      </w:r>
    </w:p>
    <w:p>
      <w:pPr>
        <w:spacing w:after="120" w:line="276" w:lineRule="auto" w:before="240"/>
      </w:pPr>
      <w:r>
        <w:rPr>
          <w:b/>
          <w:color w:val="003366"/>
          <w:sz w:val="24"/>
        </w:rPr>
        <w:t>**PARTIE 2 : ANALYSE TECHNIQUE DÉTAILLÉE**</w:t>
      </w:r>
    </w:p>
    <w:p>
      <w:pPr>
        <w:spacing w:after="120" w:line="276" w:lineRule="auto"/>
      </w:pPr>
      <w:r>
        <w:t>**Moyennes Mobiles** : Le cours actuel de 33 005 FCFA se situe nettement au-dessus de la MM20 (29 621 FCFA) et de la MM50 (28 978 FCFA), confirmant une tendance haussière robuste. L'écart positif entre le prix et ces moyennes mobiles indique un momentum favorable, justifiant la décision d'Achat. La configuration des MM20 &gt; MM50 renforce ce signal positif.</w:t>
      </w:r>
    </w:p>
    <w:p>
      <w:pPr>
        <w:spacing w:after="120" w:line="276" w:lineRule="auto"/>
      </w:pPr>
      <w:r>
        <w:t>**Bandes de Bollinger** : Le prix évolue au-dessus de la borne supérieure (32 011 FCFA), signalant une condition de surachat extrême. Cette sortie de bande suggère une volatilité accrue et un potentiel de correction à court terme, justifiant la décision de Vente. L'écart entre les bornes (27 231 à 32 011 FCFA) reflète une volatilité en expansion.</w:t>
      </w:r>
    </w:p>
    <w:p>
      <w:pPr>
        <w:spacing w:after="120" w:line="276" w:lineRule="auto"/>
      </w:pPr>
      <w:r>
        <w:t>**MACD** : Le MACD (761,12) est nettement supérieur à son signal (385,12), indiquant un momentum haussier puissant. Cette divergence positive confirme la tendance ascendante et justifie la décision d'Achat. La largeur de l'écart suggère une force de tendance significative.</w:t>
      </w:r>
    </w:p>
    <w:p>
      <w:pPr>
        <w:spacing w:after="120" w:line="276" w:lineRule="auto"/>
      </w:pPr>
      <w:r>
        <w:t>**RSI** : À 82,97, le RSI est profondément en zone de surachat (&gt;70), signalant une pression acheteuse excessive. Cette valeur extrême indique que le titre est techniquement surévalué à court terme, justifiant la décision de Vente. Un repli technique est probable pour normaliser cet indicateur.</w:t>
      </w:r>
    </w:p>
    <w:p>
      <w:pPr>
        <w:spacing w:after="120" w:line="276" w:lineRule="auto"/>
      </w:pPr>
      <w:r>
        <w:t>**Stochastique** : Le %K et le %D sont tous deux à 100,0, confirmant une condition de surachat extrême. Cette configuration indique que le titre est en territoire dangereusement élevé, justifiant la décision de Vente. Le croisement potentiel à la baisse pourrait déclencher un signal de retournement.</w:t>
      </w:r>
    </w:p>
    <w:p>
      <w:pPr>
        <w:spacing w:after="120" w:line="276" w:lineRule="auto"/>
      </w:pPr>
      <w:r>
        <w:t>**Conclusion technique** : La convergence des indicateurs de momentum (MACD positif) avec les signaux de surachat (RSI, Stochastique, Bandes de Bollinger) crée une situation contrastée. La tendance de fond reste haussière, mais les conditions de surachat extrême suggèrent un risque élevé de correction à court terme. Les moyennes mobiles confirment la tendance, mais la prudence est recommandée pour les nouveaux achats à ces niveaux.</w:t>
      </w:r>
    </w:p>
    <w:p>
      <w:pPr>
        <w:spacing w:after="120" w:line="276" w:lineRule="auto" w:before="240"/>
      </w:pPr>
      <w:r>
        <w:rPr>
          <w:b/>
          <w:color w:val="003366"/>
          <w:sz w:val="24"/>
        </w:rPr>
        <w:t>**PARTIE 3 : ANALYSE FONDAMENTALE (SECTION CRITIQUE)**</w:t>
      </w:r>
    </w:p>
    <w:p>
      <w:pPr>
        <w:spacing w:after="120" w:line="276" w:lineRule="auto"/>
      </w:pPr>
      <w:r>
        <w:t>En 2025, BICC affiche des fondamentaux exceptionnels avec un Produit Net Bancaire de 79,563 milliards FCFA et un résultat net de 36,520 milliards FCFA, démontrant une croissance soutenue. Le ROE de 30,29% et le ROA de 3,24% témoignent d'une rentabilité supérieure aux normes sectorielles (&gt;15% pour le ROE). Le coefficient d'exploitation de 50,83% confirme l'efficacité opérationnelle de la banque, tandis que le coût du risque de -12,15% indique une gestion prudente du portefeuille de crédits. Les dépôts clientèle (952,872 milliards FCFA) excèdent largement les créances (524,439 milliards FCFA), assurant une liquidité abondante. Les rapports trimestriels confirment cette dynamique : le T1 2026 (daté du 31 mars 2026) montre un PNB de 21,214 milliards FCFA (+17,0%) et un résultat net de 10,387 milliards FCFA (+29,7%), avec une marge nette de 49,0%. Le rapport du 3e trimestre 2025 (30 septembre 2025) indiquait déjà une croissance de 16,4% du PNB et de 50,8% du résultat net. Sur la base de ces performances, on estime que l'exercice 2026 pourrait voir le PNB dépasser 90 milliards FCFA et le résultat net atteindre 45 milliards FCFA, confirmant la trajectoire ascendante de la banque. La solidité financière est renforcée par des capitaux propres de 120,570 milliards FCFA et une capacité d'autofinancement de 42,713 milliards FCFA.</w:t>
      </w:r>
    </w:p>
    <w:p>
      <w:pPr>
        <w:spacing w:after="120" w:line="276" w:lineRule="auto" w:before="240"/>
      </w:pPr>
      <w:r>
        <w:rPr>
          <w:b/>
          <w:color w:val="003366"/>
          <w:sz w:val="24"/>
        </w:rPr>
        <w:t>**PARTIE 4 : CONCLUSION D'INVESTISSEMENT**</w:t>
      </w:r>
    </w:p>
    <w:p>
      <w:pPr>
        <w:spacing w:after="120" w:line="276" w:lineRule="auto"/>
      </w:pPr>
      <w:r>
        <w:t>La valorisation de BICC, avec un PER de 15,1x et un P/B de 4,56x, indique une prime de marché justifiée par des fondamentaux exceptionnels, mais laisse peu de marge de sécurité. Le comportement du cours, avec une hausse de +40,45% sur 100 jours et une volatilité de 28,9%, démontre une dynamique haussière impressionnante, bien que les statistiques révèlent des conditions de surachat technique. Les signaux techniques sont divergents : les moyennes mobiles et le MACD confirment la tendance haussière, tandis que le RSI, le Stochastique et les Bandes de Bollinger signalent un risque de correction imminent. Les fondamentaux restent extrêmement solides, avec une croissance à deux chiffres du PNB et du résultat net, un ROE de 30,29% et une gestion rigoureuse des risques. Les prédictions IA pour les 10 prochains jours (31 067 à 29 482 FCFA) suggèrent une consolidation baissière, contredisant la tendance récente mais confirmant les signaux techniques de surachat. La convergence entre la surévaluation technique et les prédictions IA, contrastant avec la solidité fondamentale, conduit à une recommandation de **CONSERVER** pour les investisseurs existants, avec un niveau de confiance **Moyen** et un risque global **Élevé** à court terme. L'horizon d'investissement optimal serait le **moyen terme (3-12 mois)**, permettant d'absorber une éventuelle correction technique avant de capitaliser sur la croissance fondamentale. Les investisseurs cherchant à entrer pourraient attendre un repli vers la zone des 29 000-30 000 FCFA pour optimiser leur point d'entrée.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14.41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2,768 titres</w:t>
            </w:r>
          </w:p>
        </w:tc>
        <w:tc>
          <w:tcPr>
            <w:tcW w:type="dxa" w:w="2268"/>
            <w:shd w:fill="FFF2CC" w:val="clear"/>
          </w:tcPr>
          <w:p>
            <w:r>
              <w:rPr>
                <w:b/>
                <w:color w:val="503200"/>
                <w:sz w:val="16"/>
              </w:rPr>
              <w:t xml:space="preserve">Cours actuel : </w:t>
            </w:r>
            <w:r>
              <w:rPr>
                <w:color w:val="000000"/>
                <w:sz w:val="17"/>
              </w:rPr>
              <w:t>2,175 FCFA</w:t>
            </w:r>
          </w:p>
          <w:p>
            <w:r>
              <w:rPr>
                <w:b/>
                <w:color w:val="503200"/>
                <w:sz w:val="16"/>
              </w:rPr>
              <w:t xml:space="preserve">Var. 100 jours : </w:t>
            </w:r>
            <w:r>
              <w:rPr>
                <w:b/>
                <w:color w:val="007800"/>
                <w:sz w:val="17"/>
              </w:rPr>
              <w:t>+37.66%</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13.30% (Moyenne) — μ=1,811 FCFA, σ=241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β=0.0562 (Défensif) — Cov=0.000002, Var(idx)=0.000037, ρ=0.011,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2,071</w:t>
            </w:r>
          </w:p>
        </w:tc>
        <w:tc>
          <w:tcPr>
            <w:tcW w:type="dxa" w:w="1440"/>
            <w:shd w:fill="FAFAFA" w:val="clear"/>
          </w:tcPr>
          <w:p>
            <w:r>
              <w:rPr>
                <w:b/>
                <w:sz w:val="17"/>
              </w:rPr>
              <w:t>2,170</w:t>
            </w:r>
          </w:p>
        </w:tc>
        <w:tc>
          <w:tcPr>
            <w:tcW w:type="dxa" w:w="1440"/>
            <w:shd w:fill="FAFAFA" w:val="clear"/>
          </w:tcPr>
          <w:p>
            <w:r>
              <w:rPr>
                <w:sz w:val="17"/>
              </w:rPr>
              <w:t>2,270</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2,025</w:t>
            </w:r>
          </w:p>
        </w:tc>
        <w:tc>
          <w:tcPr>
            <w:tcW w:type="dxa" w:w="1440"/>
            <w:shd w:fill="FAFAFA" w:val="clear"/>
          </w:tcPr>
          <w:p>
            <w:r>
              <w:rPr>
                <w:b/>
                <w:sz w:val="17"/>
              </w:rPr>
              <w:t>2,165</w:t>
            </w:r>
          </w:p>
        </w:tc>
        <w:tc>
          <w:tcPr>
            <w:tcW w:type="dxa" w:w="1440"/>
            <w:shd w:fill="FAFAFA" w:val="clear"/>
          </w:tcPr>
          <w:p>
            <w:r>
              <w:rPr>
                <w:sz w:val="17"/>
              </w:rPr>
              <w:t>2,305</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1,990</w:t>
            </w:r>
          </w:p>
        </w:tc>
        <w:tc>
          <w:tcPr>
            <w:tcW w:type="dxa" w:w="1440"/>
            <w:shd w:fill="FAFAFA" w:val="clear"/>
          </w:tcPr>
          <w:p>
            <w:r>
              <w:rPr>
                <w:b/>
                <w:sz w:val="17"/>
              </w:rPr>
              <w:t>2,161</w:t>
            </w:r>
          </w:p>
        </w:tc>
        <w:tc>
          <w:tcPr>
            <w:tcW w:type="dxa" w:w="1440"/>
            <w:shd w:fill="FAFAFA" w:val="clear"/>
          </w:tcPr>
          <w:p>
            <w:r>
              <w:rPr>
                <w:sz w:val="17"/>
              </w:rPr>
              <w:t>2,332</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1,959</w:t>
            </w:r>
          </w:p>
        </w:tc>
        <w:tc>
          <w:tcPr>
            <w:tcW w:type="dxa" w:w="1440"/>
            <w:shd w:fill="FAFAFA" w:val="clear"/>
          </w:tcPr>
          <w:p>
            <w:r>
              <w:rPr>
                <w:b/>
                <w:sz w:val="17"/>
              </w:rPr>
              <w:t>2,156</w:t>
            </w:r>
          </w:p>
        </w:tc>
        <w:tc>
          <w:tcPr>
            <w:tcW w:type="dxa" w:w="1440"/>
            <w:shd w:fill="FAFAFA" w:val="clear"/>
          </w:tcPr>
          <w:p>
            <w:r>
              <w:rPr>
                <w:sz w:val="17"/>
              </w:rPr>
              <w:t>2,354</w:t>
            </w:r>
          </w:p>
        </w:tc>
        <w:tc>
          <w:tcPr>
            <w:tcW w:type="dxa" w:w="1440"/>
            <w:shd w:fill="FAFAFA" w:val="clear"/>
          </w:tcPr>
          <w:p>
            <w:r>
              <w:rPr>
                <w:b/>
                <w:color w:val="C00000"/>
                <w:sz w:val="17"/>
              </w:rPr>
              <w:t>-0.9%</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1,931</w:t>
            </w:r>
          </w:p>
        </w:tc>
        <w:tc>
          <w:tcPr>
            <w:tcW w:type="dxa" w:w="1440"/>
            <w:shd w:fill="FAFAFA" w:val="clear"/>
          </w:tcPr>
          <w:p>
            <w:r>
              <w:rPr>
                <w:b/>
                <w:sz w:val="17"/>
              </w:rPr>
              <w:t>2,151</w:t>
            </w:r>
          </w:p>
        </w:tc>
        <w:tc>
          <w:tcPr>
            <w:tcW w:type="dxa" w:w="1440"/>
            <w:shd w:fill="FAFAFA" w:val="clear"/>
          </w:tcPr>
          <w:p>
            <w:r>
              <w:rPr>
                <w:sz w:val="17"/>
              </w:rPr>
              <w:t>2,371</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1,906</w:t>
            </w:r>
          </w:p>
        </w:tc>
        <w:tc>
          <w:tcPr>
            <w:tcW w:type="dxa" w:w="1440"/>
            <w:shd w:fill="FAFAFA" w:val="clear"/>
          </w:tcPr>
          <w:p>
            <w:r>
              <w:rPr>
                <w:b/>
                <w:sz w:val="17"/>
              </w:rPr>
              <w:t>2,146</w:t>
            </w:r>
          </w:p>
        </w:tc>
        <w:tc>
          <w:tcPr>
            <w:tcW w:type="dxa" w:w="1440"/>
            <w:shd w:fill="FAFAFA" w:val="clear"/>
          </w:tcPr>
          <w:p>
            <w:r>
              <w:rPr>
                <w:sz w:val="17"/>
              </w:rPr>
              <w:t>2,387</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1,883</w:t>
            </w:r>
          </w:p>
        </w:tc>
        <w:tc>
          <w:tcPr>
            <w:tcW w:type="dxa" w:w="1440"/>
            <w:shd w:fill="FAFAFA" w:val="clear"/>
          </w:tcPr>
          <w:p>
            <w:r>
              <w:rPr>
                <w:b/>
                <w:sz w:val="17"/>
              </w:rPr>
              <w:t>2,142</w:t>
            </w:r>
          </w:p>
        </w:tc>
        <w:tc>
          <w:tcPr>
            <w:tcW w:type="dxa" w:w="1440"/>
            <w:shd w:fill="FAFAFA" w:val="clear"/>
          </w:tcPr>
          <w:p>
            <w:r>
              <w:rPr>
                <w:sz w:val="17"/>
              </w:rPr>
              <w:t>2,401</w:t>
            </w:r>
          </w:p>
        </w:tc>
        <w:tc>
          <w:tcPr>
            <w:tcW w:type="dxa" w:w="1440"/>
            <w:shd w:fill="FAFAFA" w:val="clear"/>
          </w:tcPr>
          <w:p>
            <w:r>
              <w:rPr>
                <w:b/>
                <w:color w:val="C00000"/>
                <w:sz w:val="17"/>
              </w:rPr>
              <w:t>-1.5%</w:t>
            </w:r>
          </w:p>
        </w:tc>
      </w:tr>
      <w:tr>
        <w:tc>
          <w:tcPr>
            <w:tcW w:type="dxa" w:w="1440"/>
            <w:shd w:fill="FAFAFA" w:val="clear"/>
          </w:tcPr>
          <w:p>
            <w:r>
              <w:rPr>
                <w:sz w:val="17"/>
              </w:rPr>
              <w:t>J+8  ⭐</w:t>
            </w:r>
          </w:p>
        </w:tc>
        <w:tc>
          <w:tcPr>
            <w:tcW w:type="dxa" w:w="1440"/>
            <w:shd w:fill="FAFAFA" w:val="clear"/>
          </w:tcPr>
          <w:p>
            <w:r>
              <w:rPr>
                <w:sz w:val="17"/>
              </w:rPr>
              <w:t>2026-09-16</w:t>
            </w:r>
          </w:p>
        </w:tc>
        <w:tc>
          <w:tcPr>
            <w:tcW w:type="dxa" w:w="1440"/>
            <w:shd w:fill="FAFAFA" w:val="clear"/>
          </w:tcPr>
          <w:p>
            <w:r>
              <w:rPr>
                <w:sz w:val="17"/>
              </w:rPr>
              <w:t>1,861</w:t>
            </w:r>
          </w:p>
        </w:tc>
        <w:tc>
          <w:tcPr>
            <w:tcW w:type="dxa" w:w="1440"/>
            <w:shd w:fill="FAFAFA" w:val="clear"/>
          </w:tcPr>
          <w:p>
            <w:r>
              <w:rPr>
                <w:b/>
                <w:sz w:val="17"/>
              </w:rPr>
              <w:t>2,137</w:t>
            </w:r>
          </w:p>
        </w:tc>
        <w:tc>
          <w:tcPr>
            <w:tcW w:type="dxa" w:w="1440"/>
            <w:shd w:fill="FAFAFA" w:val="clear"/>
          </w:tcPr>
          <w:p>
            <w:r>
              <w:rPr>
                <w:sz w:val="17"/>
              </w:rPr>
              <w:t>2,413</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2026-09-17</w:t>
            </w:r>
          </w:p>
        </w:tc>
        <w:tc>
          <w:tcPr>
            <w:tcW w:type="dxa" w:w="1440"/>
            <w:shd w:fill="FAFAFA" w:val="clear"/>
          </w:tcPr>
          <w:p>
            <w:r>
              <w:rPr>
                <w:sz w:val="17"/>
              </w:rPr>
              <w:t>1,840</w:t>
            </w:r>
          </w:p>
        </w:tc>
        <w:tc>
          <w:tcPr>
            <w:tcW w:type="dxa" w:w="1440"/>
            <w:shd w:fill="FAFAFA" w:val="clear"/>
          </w:tcPr>
          <w:p>
            <w:r>
              <w:rPr>
                <w:b/>
                <w:sz w:val="17"/>
              </w:rPr>
              <w:t>2,133</w:t>
            </w:r>
          </w:p>
        </w:tc>
        <w:tc>
          <w:tcPr>
            <w:tcW w:type="dxa" w:w="1440"/>
            <w:shd w:fill="FAFAFA" w:val="clear"/>
          </w:tcPr>
          <w:p>
            <w:r>
              <w:rPr>
                <w:sz w:val="17"/>
              </w:rPr>
              <w:t>2,425</w:t>
            </w:r>
          </w:p>
        </w:tc>
        <w:tc>
          <w:tcPr>
            <w:tcW w:type="dxa" w:w="1440"/>
            <w:shd w:fill="FAFAFA"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1,820</w:t>
            </w:r>
          </w:p>
        </w:tc>
        <w:tc>
          <w:tcPr>
            <w:tcW w:type="dxa" w:w="1440"/>
            <w:shd w:fill="FFDCE0" w:val="clear"/>
          </w:tcPr>
          <w:p>
            <w:r>
              <w:rPr>
                <w:b/>
                <w:sz w:val="17"/>
              </w:rPr>
              <w:t>2,128</w:t>
            </w:r>
          </w:p>
        </w:tc>
        <w:tc>
          <w:tcPr>
            <w:tcW w:type="dxa" w:w="1440"/>
            <w:shd w:fill="FFDCE0" w:val="clear"/>
          </w:tcPr>
          <w:p>
            <w:r>
              <w:rPr>
                <w:sz w:val="17"/>
              </w:rPr>
              <w:t>2,436</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14,41 milliards FCFA, un niveau modeste qui la positionne comme une valeur de seconde ligne sur la BRVM. Le BPA de 3 FCFA par action est extrêmement faible, traduisant une capacité bénéficiaire très limitée. Le PER de 645,5x est considérablement supérieur à la moyenne du marché BRVM (8-12x), indiquant que les investisseurs paient un prix excessif pour des bénéfices quasi inexistants. En revanche, le P/B de 0,81x suggère que le marché valorise le titre sous sa valeur comptable, ce qui pourrait représenter une opportunité pour les investisseurs value. L'EV/EBITDA de 24,8x, nettement supérieur au seuil de 15x, confirme une valorisation exigeante par rapport à la capacité opérationnelle de l'entreprise. Ces ratios contrastés reflètent une situation où le marché semble anticiper une amélioration future des fondamentaux, mais où la réalité actuelle demeure fragile.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 enregistré une progression spectaculaire de +37,66%, avec un cours actuel de 2 175 FCFA, bien que la dernière séance affiche un repli de -1,14%. Le titre a évolué dans une fourchette large de 1 300 à 2 400 FCFA, démontrant une forte amplitude de trading. La moyenne de 1 811 FCFA est inférieure à la médiane de 1 880 FCFA, indiquant une distribution légèrement asymétrique avec des valeurs extrêmes basses ayant tiré la moyenne vers le bas. L'écart-type de 242 FCFA, représentant un coefficient de variation de 13,4%, témoigne d'une dispersion modérée des prix autour de la moyenne. Le kurtosis de -0,666 (mésokurtique) suggère une distribution proche de la normale sans risque de pics extrêmes, tandis que le skewness de -0,049 confirme une symétrie quasi parfaite. La volatilité annualisée de 51,1% classe le titre comme très volatil (&gt;30%), ce qui implique un risque élevé pour les investisseurs malgré la tendance haussière observée.</w:t>
      </w:r>
    </w:p>
    <w:p>
      <w:pPr>
        <w:spacing w:after="120" w:line="276" w:lineRule="auto" w:before="240"/>
      </w:pPr>
      <w:r>
        <w:rPr>
          <w:b/>
          <w:color w:val="003366"/>
          <w:sz w:val="24"/>
        </w:rPr>
        <w:t>**PARTIE 2 : ANALYSE TECHNIQUE DÉTAILLÉE**</w:t>
      </w:r>
    </w:p>
    <w:p>
      <w:pPr>
        <w:spacing w:after="120" w:line="276" w:lineRule="auto"/>
      </w:pPr>
      <w:r>
        <w:t>Les moyennes mobiles MM20 (2 087,25 FCFA) et MM50 (1 987,4 FCFA) sont toutes deux inférieures au cours actuel de 2 175 FCFA, confirmant une configuration haussière. Le croisement positif des MM20 au-dessus de la MM50 renforce le signal d'achat, indiquant que la tendance de court terme est soutenue par la dynamique de moyen terme. La position du cours au-dessus de ces moyennes suggère une poursuite probable de la tendance haussière.</w:t>
      </w:r>
    </w:p>
    <w:p>
      <w:pPr>
        <w:spacing w:after="120" w:line="276" w:lineRule="auto"/>
      </w:pPr>
      <w:r>
        <w:t>Le cours se situe entre les bornes de Bollinger (borne supérieure à 2 387,77 FCFA et borne inférieure à 1 786,73 FCFA), avec une position médiane qui indique une volatilité normale sans surachat ni survente. La décision neutre reflète l'absence de signal directionnel fort, le prix n'ayant pas encore atteint les extrêmes de la bande qui auraient suggéré un retournement potentiel.</w:t>
      </w:r>
    </w:p>
    <w:p>
      <w:pPr>
        <w:spacing w:after="120" w:line="276" w:lineRule="auto"/>
      </w:pPr>
      <w:r>
        <w:t>Le MACD affiche une valeur de 85,55 pour un signal de 74,12, avec un écart positif de 11,4 points. Cette divergence positive indique un momentum haussier soutenu, la ligne MACD évoluant au-dessus de sa ligne de signal. La décision d'achat est justifiée par cette configuration qui suggère une poursuite de la tendance haussière à court terme.</w:t>
      </w:r>
    </w:p>
    <w:p>
      <w:pPr>
        <w:spacing w:after="120" w:line="276" w:lineRule="auto"/>
      </w:pPr>
      <w:r>
        <w:t>Le RSI de 62,96 se positionne dans la zone neutre (30-70), sans atteindre le seuil de surachat de 70. Cette valeur indique une pression acheteuse modérée sans excès, laissant une marge de progression avant d'atteindre des niveaux de surachat qui pourraient précéder un repli technique.</w:t>
      </w:r>
    </w:p>
    <w:p>
      <w:pPr>
        <w:spacing w:after="120" w:line="276" w:lineRule="auto"/>
      </w:pPr>
      <w:r>
        <w:t>Les stochastiques montrent un %K à 45,78 et un %D à 51,41, avec un %K inférieur au %D, suggérant une légère dynamique baissière à très court terme. La décision neutre reflète l'absence de croisement significatif et une zone de valeurs intermédiaires sans signal directionnel clair.</w:t>
      </w:r>
    </w:p>
    <w:p>
      <w:pPr>
        <w:spacing w:after="120" w:line="276" w:lineRule="auto"/>
      </w:pPr>
      <w:r>
        <w:t>La convergence des indicateurs techniques est globalement positive, avec les moyennes mobiles et le MACD en configuration haussière, tandis que le RSI et les stochastiques adoptent une position neutre. Cette combinaison suggère une tendance haussière soutenue mais potentiellement en phase de consolidation à court terme, le prix ayant besoin de digérer ses récents gains avant une éventuelle poursuite.</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42,454 milliards FCFA, en baisse de 6,31% par rapport à 2024 (45,312 milliards FCFA), avec un résultat net dérisoire de 22,32 millions FCFA, soit une marge nette de 0,05%. Le ROE s'établit à 0,13% et le ROA à 0,05%, des niveaux extrêmement faibles qui traduisent une incapacité structurelle à générer de la rentabilité. La société présente un BFR de 29,373 milliards FCFA, avec un délai clients de 104 jours et une durée de stockage de 339 jours, des niveaux très élevés qui immobilisent la trésorerie. Le ratio d'endettement de 105,48% et la trésorerie nette négative de 16,689 milliards FCFA confirment la fragilité financière. Les rapports trimestriels 2025 montrent une dégradation progressive : le T1 2025 était bénéficiaire à hauteur de 16,15 millions FCFA, mais le S1 2025 affichait une perte de 139,57 millions FCFA, aggravée à -157,03 millions sur les neuf premiers mois. Le rapport T1 2026 (daté du 31 mars 2026) révèle une perte de 65,57 millions FCFA malgré un chiffre d'affaires stable à 11,194 milliards FCFA, impacté par l'intégration de la division Équipement en phase de démarrage. On estime que l'exercice 2026 pourrait rester déficitaire si la montée en puissance de cette nouvelle division est plus lente que prévu, malgré les investissements dans le showroom Technibat KM4 et les divisions Power et Matériaux. La recommandation fondamentale est négative compte tenu de la rentabilité anémique, de la dégradation de la trésorerie et des perspectives incertaines.</w:t>
      </w:r>
    </w:p>
    <w:p>
      <w:pPr>
        <w:spacing w:after="120" w:line="276" w:lineRule="auto" w:before="240"/>
      </w:pPr>
      <w:r>
        <w:rPr>
          <w:b/>
          <w:color w:val="003366"/>
          <w:sz w:val="24"/>
        </w:rPr>
        <w:t>**PARTIE 4 : CONCLUSION D'INVESTISSEMENT**</w:t>
      </w:r>
    </w:p>
    <w:p>
      <w:pPr>
        <w:spacing w:after="120" w:line="276" w:lineRule="auto"/>
      </w:pPr>
      <w:r>
        <w:t>La valorisation de BNBC apparaît extrêmement exigeante avec un PER de 645,5x et un EV/EBITDA de 24,8x, bien que le P/B de 0,81x offre un certain soutien. Le comportement du cours sur 100 jours montre une tendance haussière de +37,66%, mais avec une volatilité annualisée de 51,1% qui implique un risque élevé. Les signaux techniques sont majoritairement positifs (MM et MACD en achat), mais le RSI neutre et les stochastiques hésitants suggèrent une possible consolidation. Les fondamentaux sont préoccupants : rentabilité quasi nulle, trésorerie négative de 16,7 milliards FCFA, chiffre d'affaires en baisse et pertes récurrentes sur les exercices récents. Les prédictions IA pour les 10 prochains jours indiquent une légère tendance baissière de 2 170 à 2 151 FCFA, contredisant le momentum haussier observé. La divergence entre la performance boursière récente et la réalité économique de l'entreprise est frappante. Recommandation finale : VENTE, avec un niveau de confiance Moyen et un risque global Élevé. L'horizon d'investissement optimal serait à court terme (&lt;3 mois) pour les investisseurs cherchant à profiter d'un éventuel rebond technique, mais la détention à moyen ou long terme est déconseillée compte tenu de la détérioration des fondamentaux et de l'absence de perspectives de redressement claires.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417.78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6,003 titres</w:t>
            </w:r>
          </w:p>
        </w:tc>
        <w:tc>
          <w:tcPr>
            <w:tcW w:type="dxa" w:w="2268"/>
            <w:shd w:fill="FFF2CC" w:val="clear"/>
          </w:tcPr>
          <w:p>
            <w:r>
              <w:rPr>
                <w:b/>
                <w:color w:val="503200"/>
                <w:sz w:val="16"/>
              </w:rPr>
              <w:t xml:space="preserve">Cours actuel : </w:t>
            </w:r>
            <w:r>
              <w:rPr>
                <w:color w:val="000000"/>
                <w:sz w:val="17"/>
              </w:rPr>
              <w:t>10,300 FCFA</w:t>
            </w:r>
          </w:p>
          <w:p>
            <w:r>
              <w:rPr>
                <w:b/>
                <w:color w:val="503200"/>
                <w:sz w:val="16"/>
              </w:rPr>
              <w:t xml:space="preserve">Var. 100 jours : </w:t>
            </w:r>
            <w:r>
              <w:rPr>
                <w:b/>
                <w:color w:val="007800"/>
                <w:sz w:val="17"/>
              </w:rPr>
              <w:t>+37.33%</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6.64% (Moyenne) — μ=8,915 FCFA, σ=592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β=-0.3058 (Contre-cyclique) — Cov=-0.000011, Var(idx)=0.000037, ρ=-0.109,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9,500</w:t>
            </w:r>
          </w:p>
        </w:tc>
        <w:tc>
          <w:tcPr>
            <w:tcW w:type="dxa" w:w="1440"/>
            <w:shd w:fill="FFDCE0" w:val="clear"/>
          </w:tcPr>
          <w:p>
            <w:r>
              <w:rPr>
                <w:b/>
                <w:sz w:val="17"/>
              </w:rPr>
              <w:t>9,840</w:t>
            </w:r>
          </w:p>
        </w:tc>
        <w:tc>
          <w:tcPr>
            <w:tcW w:type="dxa" w:w="1440"/>
            <w:shd w:fill="FFDCE0" w:val="clear"/>
          </w:tcPr>
          <w:p>
            <w:r>
              <w:rPr>
                <w:sz w:val="17"/>
              </w:rPr>
              <w:t>10,179</w:t>
            </w:r>
          </w:p>
        </w:tc>
        <w:tc>
          <w:tcPr>
            <w:tcW w:type="dxa" w:w="1440"/>
            <w:shd w:fill="FFDCE0" w:val="clear"/>
          </w:tcPr>
          <w:p>
            <w:r>
              <w:rPr>
                <w:b/>
                <w:color w:val="C00000"/>
                <w:sz w:val="17"/>
              </w:rPr>
              <w:t>-4.5%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9,117</w:t>
            </w:r>
          </w:p>
        </w:tc>
        <w:tc>
          <w:tcPr>
            <w:tcW w:type="dxa" w:w="1440"/>
            <w:shd w:fill="FFDCE0" w:val="clear"/>
          </w:tcPr>
          <w:p>
            <w:r>
              <w:rPr>
                <w:b/>
                <w:sz w:val="17"/>
              </w:rPr>
              <w:t>9,584</w:t>
            </w:r>
          </w:p>
        </w:tc>
        <w:tc>
          <w:tcPr>
            <w:tcW w:type="dxa" w:w="1440"/>
            <w:shd w:fill="FFDCE0" w:val="clear"/>
          </w:tcPr>
          <w:p>
            <w:r>
              <w:rPr>
                <w:sz w:val="17"/>
              </w:rPr>
              <w:t>10,052</w:t>
            </w:r>
          </w:p>
        </w:tc>
        <w:tc>
          <w:tcPr>
            <w:tcW w:type="dxa" w:w="1440"/>
            <w:shd w:fill="FFDCE0" w:val="clear"/>
          </w:tcPr>
          <w:p>
            <w:r>
              <w:rPr>
                <w:b/>
                <w:color w:val="C00000"/>
                <w:sz w:val="17"/>
              </w:rPr>
              <w:t>-6.9%</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8,813</w:t>
            </w:r>
          </w:p>
        </w:tc>
        <w:tc>
          <w:tcPr>
            <w:tcW w:type="dxa" w:w="1440"/>
            <w:shd w:fill="FFDCE0" w:val="clear"/>
          </w:tcPr>
          <w:p>
            <w:r>
              <w:rPr>
                <w:b/>
                <w:sz w:val="17"/>
              </w:rPr>
              <w:t>9,373</w:t>
            </w:r>
          </w:p>
        </w:tc>
        <w:tc>
          <w:tcPr>
            <w:tcW w:type="dxa" w:w="1440"/>
            <w:shd w:fill="FFDCE0" w:val="clear"/>
          </w:tcPr>
          <w:p>
            <w:r>
              <w:rPr>
                <w:sz w:val="17"/>
              </w:rPr>
              <w:t>9,933</w:t>
            </w:r>
          </w:p>
        </w:tc>
        <w:tc>
          <w:tcPr>
            <w:tcW w:type="dxa" w:w="1440"/>
            <w:shd w:fill="FFDCE0" w:val="clear"/>
          </w:tcPr>
          <w:p>
            <w:r>
              <w:rPr>
                <w:b/>
                <w:color w:val="C00000"/>
                <w:sz w:val="17"/>
              </w:rPr>
              <w:t>-9.0%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8,571</w:t>
            </w:r>
          </w:p>
        </w:tc>
        <w:tc>
          <w:tcPr>
            <w:tcW w:type="dxa" w:w="1440"/>
            <w:shd w:fill="FFDCE0" w:val="clear"/>
          </w:tcPr>
          <w:p>
            <w:r>
              <w:rPr>
                <w:b/>
                <w:sz w:val="17"/>
              </w:rPr>
              <w:t>9,206</w:t>
            </w:r>
          </w:p>
        </w:tc>
        <w:tc>
          <w:tcPr>
            <w:tcW w:type="dxa" w:w="1440"/>
            <w:shd w:fill="FFDCE0" w:val="clear"/>
          </w:tcPr>
          <w:p>
            <w:r>
              <w:rPr>
                <w:sz w:val="17"/>
              </w:rPr>
              <w:t>9,841</w:t>
            </w:r>
          </w:p>
        </w:tc>
        <w:tc>
          <w:tcPr>
            <w:tcW w:type="dxa" w:w="1440"/>
            <w:shd w:fill="FFDCE0" w:val="clear"/>
          </w:tcPr>
          <w:p>
            <w:r>
              <w:rPr>
                <w:b/>
                <w:color w:val="C00000"/>
                <w:sz w:val="17"/>
              </w:rPr>
              <w:t>-10.6%</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8,360</w:t>
            </w:r>
          </w:p>
        </w:tc>
        <w:tc>
          <w:tcPr>
            <w:tcW w:type="dxa" w:w="1440"/>
            <w:shd w:fill="FFDCE0" w:val="clear"/>
          </w:tcPr>
          <w:p>
            <w:r>
              <w:rPr>
                <w:b/>
                <w:sz w:val="17"/>
              </w:rPr>
              <w:t>9,058</w:t>
            </w:r>
          </w:p>
        </w:tc>
        <w:tc>
          <w:tcPr>
            <w:tcW w:type="dxa" w:w="1440"/>
            <w:shd w:fill="FFDCE0" w:val="clear"/>
          </w:tcPr>
          <w:p>
            <w:r>
              <w:rPr>
                <w:sz w:val="17"/>
              </w:rPr>
              <w:t>9,757</w:t>
            </w:r>
          </w:p>
        </w:tc>
        <w:tc>
          <w:tcPr>
            <w:tcW w:type="dxa" w:w="1440"/>
            <w:shd w:fill="FFDCE0" w:val="clear"/>
          </w:tcPr>
          <w:p>
            <w:r>
              <w:rPr>
                <w:b/>
                <w:color w:val="C00000"/>
                <w:sz w:val="17"/>
              </w:rPr>
              <w:t>-12.1%</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8,169</w:t>
            </w:r>
          </w:p>
        </w:tc>
        <w:tc>
          <w:tcPr>
            <w:tcW w:type="dxa" w:w="1440"/>
            <w:shd w:fill="FFDCE0" w:val="clear"/>
          </w:tcPr>
          <w:p>
            <w:r>
              <w:rPr>
                <w:b/>
                <w:sz w:val="17"/>
              </w:rPr>
              <w:t>8,923</w:t>
            </w:r>
          </w:p>
        </w:tc>
        <w:tc>
          <w:tcPr>
            <w:tcW w:type="dxa" w:w="1440"/>
            <w:shd w:fill="FFDCE0" w:val="clear"/>
          </w:tcPr>
          <w:p>
            <w:r>
              <w:rPr>
                <w:sz w:val="17"/>
              </w:rPr>
              <w:t>9,676</w:t>
            </w:r>
          </w:p>
        </w:tc>
        <w:tc>
          <w:tcPr>
            <w:tcW w:type="dxa" w:w="1440"/>
            <w:shd w:fill="FFDCE0" w:val="clear"/>
          </w:tcPr>
          <w:p>
            <w:r>
              <w:rPr>
                <w:b/>
                <w:color w:val="C00000"/>
                <w:sz w:val="17"/>
              </w:rPr>
              <w:t>-13.4%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7,993</w:t>
            </w:r>
          </w:p>
        </w:tc>
        <w:tc>
          <w:tcPr>
            <w:tcW w:type="dxa" w:w="1440"/>
            <w:shd w:fill="FFDCE0" w:val="clear"/>
          </w:tcPr>
          <w:p>
            <w:r>
              <w:rPr>
                <w:b/>
                <w:sz w:val="17"/>
              </w:rPr>
              <w:t>8,796</w:t>
            </w:r>
          </w:p>
        </w:tc>
        <w:tc>
          <w:tcPr>
            <w:tcW w:type="dxa" w:w="1440"/>
            <w:shd w:fill="FFDCE0" w:val="clear"/>
          </w:tcPr>
          <w:p>
            <w:r>
              <w:rPr>
                <w:sz w:val="17"/>
              </w:rPr>
              <w:t>9,599</w:t>
            </w:r>
          </w:p>
        </w:tc>
        <w:tc>
          <w:tcPr>
            <w:tcW w:type="dxa" w:w="1440"/>
            <w:shd w:fill="FFDCE0" w:val="clear"/>
          </w:tcPr>
          <w:p>
            <w:r>
              <w:rPr>
                <w:b/>
                <w:color w:val="C00000"/>
                <w:sz w:val="17"/>
              </w:rPr>
              <w:t>-14.6%</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7,831</w:t>
            </w:r>
          </w:p>
        </w:tc>
        <w:tc>
          <w:tcPr>
            <w:tcW w:type="dxa" w:w="1440"/>
            <w:shd w:fill="FFDCE0" w:val="clear"/>
          </w:tcPr>
          <w:p>
            <w:r>
              <w:rPr>
                <w:b/>
                <w:sz w:val="17"/>
              </w:rPr>
              <w:t>8,677</w:t>
            </w:r>
          </w:p>
        </w:tc>
        <w:tc>
          <w:tcPr>
            <w:tcW w:type="dxa" w:w="1440"/>
            <w:shd w:fill="FFDCE0" w:val="clear"/>
          </w:tcPr>
          <w:p>
            <w:r>
              <w:rPr>
                <w:sz w:val="17"/>
              </w:rPr>
              <w:t>9,524</w:t>
            </w:r>
          </w:p>
        </w:tc>
        <w:tc>
          <w:tcPr>
            <w:tcW w:type="dxa" w:w="1440"/>
            <w:shd w:fill="FFDCE0" w:val="clear"/>
          </w:tcPr>
          <w:p>
            <w:r>
              <w:rPr>
                <w:b/>
                <w:color w:val="C00000"/>
                <w:sz w:val="17"/>
              </w:rPr>
              <w:t>-15.8%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7,680</w:t>
            </w:r>
          </w:p>
        </w:tc>
        <w:tc>
          <w:tcPr>
            <w:tcW w:type="dxa" w:w="1440"/>
            <w:shd w:fill="FFDCE0" w:val="clear"/>
          </w:tcPr>
          <w:p>
            <w:r>
              <w:rPr>
                <w:b/>
                <w:sz w:val="17"/>
              </w:rPr>
              <w:t>8,566</w:t>
            </w:r>
          </w:p>
        </w:tc>
        <w:tc>
          <w:tcPr>
            <w:tcW w:type="dxa" w:w="1440"/>
            <w:shd w:fill="FFDCE0" w:val="clear"/>
          </w:tcPr>
          <w:p>
            <w:r>
              <w:rPr>
                <w:sz w:val="17"/>
              </w:rPr>
              <w:t>9,452</w:t>
            </w:r>
          </w:p>
        </w:tc>
        <w:tc>
          <w:tcPr>
            <w:tcW w:type="dxa" w:w="1440"/>
            <w:shd w:fill="FFDCE0" w:val="clear"/>
          </w:tcPr>
          <w:p>
            <w:r>
              <w:rPr>
                <w:b/>
                <w:color w:val="C00000"/>
                <w:sz w:val="17"/>
              </w:rPr>
              <w:t>-16.8%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7,538</w:t>
            </w:r>
          </w:p>
        </w:tc>
        <w:tc>
          <w:tcPr>
            <w:tcW w:type="dxa" w:w="1440"/>
            <w:shd w:fill="FFDCE0" w:val="clear"/>
          </w:tcPr>
          <w:p>
            <w:r>
              <w:rPr>
                <w:b/>
                <w:sz w:val="17"/>
              </w:rPr>
              <w:t>8,461</w:t>
            </w:r>
          </w:p>
        </w:tc>
        <w:tc>
          <w:tcPr>
            <w:tcW w:type="dxa" w:w="1440"/>
            <w:shd w:fill="FFDCE0" w:val="clear"/>
          </w:tcPr>
          <w:p>
            <w:r>
              <w:rPr>
                <w:sz w:val="17"/>
              </w:rPr>
              <w:t>9,383</w:t>
            </w:r>
          </w:p>
        </w:tc>
        <w:tc>
          <w:tcPr>
            <w:tcW w:type="dxa" w:w="1440"/>
            <w:shd w:fill="FFDCE0" w:val="clear"/>
          </w:tcPr>
          <w:p>
            <w:r>
              <w:rPr>
                <w:b/>
                <w:color w:val="C00000"/>
                <w:sz w:val="17"/>
              </w:rPr>
              <w:t>-17.9%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Absolument. Voici un rapport d'analyse professionnel structuré en quatre parties,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 s'établit à 417,78 milliards FCFA, ce qui en fait une valeur de première importance sur la BRVM. Avec un BPA de 496 FCFA, le PER de 20,8x est nettement supérieur à la moyenne historique de la place (~8-12x), indiquant que le marché intègre des attentes de croissance future élevées ou une prime de rareté. Le P/B de 3,56x confirme cette prime, le marché valorisant la société bien au-delà de sa valeur comptable (2 à 4x est déjà considéré comme une prime de croissance). Enfin, un EV/EBITDA de 21,0x (&gt;15x) est un signal très exigeant, signifiant que l'investisseur paie un prix élevé pour la capacité opérationnelle de la banque. Ces ratios suggèrent une valorisation qui anticipe une poursuite de la performance, laissant peu de marge d'erreur en cas de déception.</w:t>
      </w:r>
    </w:p>
    <w:p>
      <w:pPr>
        <w:spacing w:after="120" w:line="276" w:lineRule="auto"/>
      </w:pPr>
      <w:r>
        <w:t>### PARTIE 1 : ANALYSE DU COURS — STATISTIQUES ET ÉVOLUTION (100 derniers jours)</w:t>
      </w:r>
    </w:p>
    <w:p>
      <w:pPr>
        <w:spacing w:after="120" w:line="276" w:lineRule="auto"/>
      </w:pPr>
      <w:r>
        <w:t>Sur les 100 derniers jours, l'action BOAB a connu une forte appréciation de +37,33%, passant d'un plus bas de 7 400 FCFA à un plus haut de 10 350 FCFA, pour clôturer à 10 300 FCFA, avec une légère consolidation de -0,48% lors de la dernière séance. Cette tendance est résolument haussière. La moyenne (8 915 FCFA) étant supérieure à la médiane (8 800 FCFA) suggère une distribution légèrement asymétrique positive, tirée par la récente accélération du cours. L'écart-type de 595 FCFA (CV=6,7%) indique une dispersion modérée autour de la moyenne. Le kurtosis excédentaire de 1,055 signale un risque de mouvements de prix extrêmes (queues épaisses), tandis que le skewness de 0,323, proche de zéro, confirme une distribution relativement symétrique. La volatilité annualisée de 27,1% classe le titre comme modérément à hautement volatil, un niveau qui requiert une gestion de risque attentive.</w:t>
      </w:r>
    </w:p>
    <w:p>
      <w:pPr>
        <w:spacing w:after="120" w:line="276" w:lineRule="auto"/>
      </w:pPr>
      <w:r>
        <w:t>### PARTIE 2 : ANALYSE TECHNIQUE DÉTAILLÉE</w:t>
      </w:r>
    </w:p>
    <w:p>
      <w:pPr>
        <w:spacing w:after="120" w:line="276" w:lineRule="auto"/>
      </w:pPr>
      <w:r>
        <w:t>**Moyennes Mobiles** : Le cours actuel (10 300 FCFA) se situe nettement au-dessus de sa MM20 (9 539,75 FCFA) et de sa MM50 (9 102,5 FCFA). Cette configuration haussière, où les moyennes sont orientées à la hausse, confirme la solidité de la tendance de fond et justifie la décision d'**Achat**.</w:t>
      </w:r>
    </w:p>
    <w:p>
      <w:pPr>
        <w:spacing w:after="120" w:line="276" w:lineRule="auto"/>
      </w:pPr>
      <w:r>
        <w:t>**Bandes de Bollinger** : Le prix évolue dans la partie supérieure du canal, proche de la borne haute (10 968,77 FCFA), sans toutefois la toucher. Cela indique une pression acheteuse soutenue mais non extrême. La décision est **Neutre**, car le titre n'est pas encore en situation de surachat technique absolu, mais la prudence est de mise à ces niveaux.</w:t>
      </w:r>
    </w:p>
    <w:p>
      <w:pPr>
        <w:spacing w:after="120" w:line="276" w:lineRule="auto"/>
      </w:pPr>
      <w:r>
        <w:t>**MACD** : Le MACD (413,047) est nettement au-dessus de son signal (342,037), avec une divergence positive. Ce croisement haussier indique un momentum positif toujours en vigueur, justifiant la décision d'**Achat**. La dynamique reste favorable au titre.</w:t>
      </w:r>
    </w:p>
    <w:p>
      <w:pPr>
        <w:spacing w:after="120" w:line="276" w:lineRule="auto"/>
      </w:pPr>
      <w:r>
        <w:t>**RSI** : Avec une valeur de 76,667, le RSI est entré en zone de surachat (&gt;70). Cela signale que le titre a fortement monté et qu'un essoufflement ou une correction technique est probable à court terme. La décision de **Vente** est un signal de prudence pour les investisseurs à court terme.</w:t>
      </w:r>
    </w:p>
    <w:p>
      <w:pPr>
        <w:spacing w:after="120" w:line="276" w:lineRule="auto"/>
      </w:pPr>
      <w:r>
        <w:t>**Stochastique** : Le %K (96,774) et le %D (96,816) sont tous deux à des niveaux extrêmement élevés, en zone de surachat profond. Cela renforce le signal du RSI et indique que le mouvement haussier est peut-être arrivé à maturité à très court terme. La décision est **Vente**.</w:t>
      </w:r>
    </w:p>
    <w:p>
      <w:pPr>
        <w:spacing w:after="120" w:line="276" w:lineRule="auto"/>
      </w:pPr>
      <w:r>
        <w:t>**Conclusion technique** : Les indicateurs de tendance (MM, MACD) sont positifs, mais les oscillateurs de momentum (RSI, Stochastique) sont en zone de surachat extrême. Cette divergence classique suggère que la tendance de fond reste haussière, mais qu'une consolidation ou un repli technique est de plus en plus probable dans l'immédiat. Un investisseur pourrait attendre un repli vers les moyennes mobiles pour renforcer une position.</w:t>
      </w:r>
    </w:p>
    <w:p>
      <w:pPr>
        <w:spacing w:after="120" w:line="276" w:lineRule="auto"/>
      </w:pPr>
      <w:r>
        <w:t>### PARTIE 3 : ANALYSE FONDAMENTALE (SECTION CRITIQUE)</w:t>
      </w:r>
    </w:p>
    <w:p>
      <w:pPr>
        <w:spacing w:after="120" w:line="276" w:lineRule="auto"/>
      </w:pPr>
      <w:r>
        <w:t>En 2025, les données structurées annuelles de BOAB font état d'un Produit Net Bancaire (PNB) de 51,274 milliards FCFA et d'un résultat net de 20,107 milliards FCFA. La banque affiche une rentabilité financière (ROE) de 17,11%, un niveau excellent, et un coefficient d'exploitation de 49,53%, témoignant d'une très grande efficacité opérationnelle. Le coût du risque, à 22,50% des charges financières, reste un point de vigilance, indiquant un risque de crédit significatif. Les dépôts clients (711,642 Mds FCFA) financent largement les crédits à la clientèle (391,724 Mds FCFA), montrant une transformation saine. Les rapports trimestriels de 2025 confirment cette dynamique : au T3 2025, le PNB progressait de 9% et le résultat net de 13% sur un an, malgré une contraction du bilan. Sur la base du rapport T1 2026 (PNB +11% à 12,329 Mds FCFA), on estime que l'exercice 2026 pourrait voir une poursuite de la croissance des revenus, portée par les commissions (+18,9%), mais avec une pression sur le résultat net (+1% seulement au T1 2026). La banque privilégie la rentabilité à la croissance volumique, une stratégie payante à court terme mais qui devra être surveillée.</w:t>
      </w:r>
    </w:p>
    <w:p>
      <w:pPr>
        <w:spacing w:after="120" w:line="276" w:lineRule="auto"/>
      </w:pPr>
      <w:r>
        <w:t>### PARTIE 4 : CONCLUSION D'INVESTISSEMENT</w:t>
      </w:r>
    </w:p>
    <w:p>
      <w:pPr>
        <w:spacing w:after="120" w:line="276" w:lineRule="auto"/>
      </w:pPr>
      <w:r>
        <w:t>La valorisation de BOAB (PER 20,8x, P/B 3,56x) est exigeante, intégrant des attentes élevées qui laissent peu de marge d'erreur. Le comportement du cours sur 100 jours est fortement haussier, avec une volatilité modérée, mais les statistiques (kurtosis) suggèrent un risque de mouvements brusques. Les signaux techniques sont contradictoires : la tendance (MM, MACD) est positive, mais les oscillateurs (RSI, Stochastique) crient au surachat, annonçant une probable consolidation. Les fondamentaux sont solides, avec une excellente rentabilité (ROE &gt;17%) et une banque efficace, mais le coût du risque et la contraction du bilan sont des points de vigilance. Enfin, les prédictions IA (J+1 à J+10) montrent une trajectoire baissière, de 9 840 à 9 058 FCFA, contredisant la tendance récente et confirmant le signal de surachat technique. La convergence des signaux de surachat technique et des prédictions IA baissières, face à une valorisation élevée, conduit à une recommandation de **CONSERVER** le titre pour les détenteurs actuels, avec un niveau de confiance **Moyen**. Le risque global est **Élevé** à court terme en raison de la surchauffe technique. L'horizon d'investissement optimal serait de **moyen terme (3-12 mois)**, attendant une correction technique pour renforcer les positions sur une valeur aux fondamentaux sains.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390.72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6,836 titres</w:t>
            </w:r>
          </w:p>
        </w:tc>
        <w:tc>
          <w:tcPr>
            <w:tcW w:type="dxa" w:w="2268"/>
            <w:shd w:fill="FFF2CC" w:val="clear"/>
          </w:tcPr>
          <w:p>
            <w:r>
              <w:rPr>
                <w:b/>
                <w:color w:val="503200"/>
                <w:sz w:val="16"/>
              </w:rPr>
              <w:t xml:space="preserve">Cours actuel : </w:t>
            </w:r>
            <w:r>
              <w:rPr>
                <w:color w:val="000000"/>
                <w:sz w:val="17"/>
              </w:rPr>
              <w:t>8,880 FCFA</w:t>
            </w:r>
          </w:p>
          <w:p>
            <w:r>
              <w:rPr>
                <w:b/>
                <w:color w:val="503200"/>
                <w:sz w:val="16"/>
              </w:rPr>
              <w:t xml:space="preserve">Var. 100 jours : </w:t>
            </w:r>
            <w:r>
              <w:rPr>
                <w:b/>
                <w:color w:val="007800"/>
                <w:sz w:val="17"/>
              </w:rPr>
              <w:t>+56.34%</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16.92% (Élevée) — μ=6,314 FCFA, σ=1,068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β=0.1625 (Défensif) — Cov=0.000006, Var(idx)=0.000037, ρ=0.047,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8,184</w:t>
            </w:r>
          </w:p>
        </w:tc>
        <w:tc>
          <w:tcPr>
            <w:tcW w:type="dxa" w:w="1440"/>
            <w:shd w:fill="FFDCE0" w:val="clear"/>
          </w:tcPr>
          <w:p>
            <w:r>
              <w:rPr>
                <w:b/>
                <w:sz w:val="17"/>
              </w:rPr>
              <w:t>8,520</w:t>
            </w:r>
          </w:p>
        </w:tc>
        <w:tc>
          <w:tcPr>
            <w:tcW w:type="dxa" w:w="1440"/>
            <w:shd w:fill="FFDCE0" w:val="clear"/>
          </w:tcPr>
          <w:p>
            <w:r>
              <w:rPr>
                <w:sz w:val="17"/>
              </w:rPr>
              <w:t>8,856</w:t>
            </w:r>
          </w:p>
        </w:tc>
        <w:tc>
          <w:tcPr>
            <w:tcW w:type="dxa" w:w="1440"/>
            <w:shd w:fill="FFDCE0" w:val="clear"/>
          </w:tcPr>
          <w:p>
            <w:r>
              <w:rPr>
                <w:b/>
                <w:color w:val="C00000"/>
                <w:sz w:val="17"/>
              </w:rPr>
              <w:t>-4.1%</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7,803</w:t>
            </w:r>
          </w:p>
        </w:tc>
        <w:tc>
          <w:tcPr>
            <w:tcW w:type="dxa" w:w="1440"/>
            <w:shd w:fill="FFDCE0" w:val="clear"/>
          </w:tcPr>
          <w:p>
            <w:r>
              <w:rPr>
                <w:b/>
                <w:sz w:val="17"/>
              </w:rPr>
              <w:t>8,264</w:t>
            </w:r>
          </w:p>
        </w:tc>
        <w:tc>
          <w:tcPr>
            <w:tcW w:type="dxa" w:w="1440"/>
            <w:shd w:fill="FFDCE0" w:val="clear"/>
          </w:tcPr>
          <w:p>
            <w:r>
              <w:rPr>
                <w:sz w:val="17"/>
              </w:rPr>
              <w:t>8,725</w:t>
            </w:r>
          </w:p>
        </w:tc>
        <w:tc>
          <w:tcPr>
            <w:tcW w:type="dxa" w:w="1440"/>
            <w:shd w:fill="FFDCE0" w:val="clear"/>
          </w:tcPr>
          <w:p>
            <w:r>
              <w:rPr>
                <w:b/>
                <w:color w:val="C00000"/>
                <w:sz w:val="17"/>
              </w:rPr>
              <w:t>-6.9%</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7,526</w:t>
            </w:r>
          </w:p>
        </w:tc>
        <w:tc>
          <w:tcPr>
            <w:tcW w:type="dxa" w:w="1440"/>
            <w:shd w:fill="FFDCE0" w:val="clear"/>
          </w:tcPr>
          <w:p>
            <w:r>
              <w:rPr>
                <w:b/>
                <w:sz w:val="17"/>
              </w:rPr>
              <w:t>8,078</w:t>
            </w:r>
          </w:p>
        </w:tc>
        <w:tc>
          <w:tcPr>
            <w:tcW w:type="dxa" w:w="1440"/>
            <w:shd w:fill="FFDCE0" w:val="clear"/>
          </w:tcPr>
          <w:p>
            <w:r>
              <w:rPr>
                <w:sz w:val="17"/>
              </w:rPr>
              <w:t>8,630</w:t>
            </w:r>
          </w:p>
        </w:tc>
        <w:tc>
          <w:tcPr>
            <w:tcW w:type="dxa" w:w="1440"/>
            <w:shd w:fill="FFDCE0" w:val="clear"/>
          </w:tcPr>
          <w:p>
            <w:r>
              <w:rPr>
                <w:b/>
                <w:color w:val="C00000"/>
                <w:sz w:val="17"/>
              </w:rPr>
              <w:t>-9.0%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7,318</w:t>
            </w:r>
          </w:p>
        </w:tc>
        <w:tc>
          <w:tcPr>
            <w:tcW w:type="dxa" w:w="1440"/>
            <w:shd w:fill="FFDCE0" w:val="clear"/>
          </w:tcPr>
          <w:p>
            <w:r>
              <w:rPr>
                <w:b/>
                <w:sz w:val="17"/>
              </w:rPr>
              <w:t>7,945</w:t>
            </w:r>
          </w:p>
        </w:tc>
        <w:tc>
          <w:tcPr>
            <w:tcW w:type="dxa" w:w="1440"/>
            <w:shd w:fill="FFDCE0" w:val="clear"/>
          </w:tcPr>
          <w:p>
            <w:r>
              <w:rPr>
                <w:sz w:val="17"/>
              </w:rPr>
              <w:t>8,571</w:t>
            </w:r>
          </w:p>
        </w:tc>
        <w:tc>
          <w:tcPr>
            <w:tcW w:type="dxa" w:w="1440"/>
            <w:shd w:fill="FFDCE0" w:val="clear"/>
          </w:tcPr>
          <w:p>
            <w:r>
              <w:rPr>
                <w:b/>
                <w:color w:val="C00000"/>
                <w:sz w:val="17"/>
              </w:rPr>
              <w:t>-10.5%</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7,145</w:t>
            </w:r>
          </w:p>
        </w:tc>
        <w:tc>
          <w:tcPr>
            <w:tcW w:type="dxa" w:w="1440"/>
            <w:shd w:fill="FFDCE0" w:val="clear"/>
          </w:tcPr>
          <w:p>
            <w:r>
              <w:rPr>
                <w:b/>
                <w:sz w:val="17"/>
              </w:rPr>
              <w:t>7,836</w:t>
            </w:r>
          </w:p>
        </w:tc>
        <w:tc>
          <w:tcPr>
            <w:tcW w:type="dxa" w:w="1440"/>
            <w:shd w:fill="FFDCE0" w:val="clear"/>
          </w:tcPr>
          <w:p>
            <w:r>
              <w:rPr>
                <w:sz w:val="17"/>
              </w:rPr>
              <w:t>8,527</w:t>
            </w:r>
          </w:p>
        </w:tc>
        <w:tc>
          <w:tcPr>
            <w:tcW w:type="dxa" w:w="1440"/>
            <w:shd w:fill="FFDCE0" w:val="clear"/>
          </w:tcPr>
          <w:p>
            <w:r>
              <w:rPr>
                <w:b/>
                <w:color w:val="C00000"/>
                <w:sz w:val="17"/>
              </w:rPr>
              <w:t>-11.8%</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6,990</w:t>
            </w:r>
          </w:p>
        </w:tc>
        <w:tc>
          <w:tcPr>
            <w:tcW w:type="dxa" w:w="1440"/>
            <w:shd w:fill="FFDCE0" w:val="clear"/>
          </w:tcPr>
          <w:p>
            <w:r>
              <w:rPr>
                <w:b/>
                <w:sz w:val="17"/>
              </w:rPr>
              <w:t>7,738</w:t>
            </w:r>
          </w:p>
        </w:tc>
        <w:tc>
          <w:tcPr>
            <w:tcW w:type="dxa" w:w="1440"/>
            <w:shd w:fill="FFDCE0" w:val="clear"/>
          </w:tcPr>
          <w:p>
            <w:r>
              <w:rPr>
                <w:sz w:val="17"/>
              </w:rPr>
              <w:t>8,486</w:t>
            </w:r>
          </w:p>
        </w:tc>
        <w:tc>
          <w:tcPr>
            <w:tcW w:type="dxa" w:w="1440"/>
            <w:shd w:fill="FFDCE0" w:val="clear"/>
          </w:tcPr>
          <w:p>
            <w:r>
              <w:rPr>
                <w:b/>
                <w:color w:val="C00000"/>
                <w:sz w:val="17"/>
              </w:rPr>
              <w:t>-12.9%</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6,848</w:t>
            </w:r>
          </w:p>
        </w:tc>
        <w:tc>
          <w:tcPr>
            <w:tcW w:type="dxa" w:w="1440"/>
            <w:shd w:fill="FFDCE0" w:val="clear"/>
          </w:tcPr>
          <w:p>
            <w:r>
              <w:rPr>
                <w:b/>
                <w:sz w:val="17"/>
              </w:rPr>
              <w:t>7,646</w:t>
            </w:r>
          </w:p>
        </w:tc>
        <w:tc>
          <w:tcPr>
            <w:tcW w:type="dxa" w:w="1440"/>
            <w:shd w:fill="FFDCE0" w:val="clear"/>
          </w:tcPr>
          <w:p>
            <w:r>
              <w:rPr>
                <w:sz w:val="17"/>
              </w:rPr>
              <w:t>8,444</w:t>
            </w:r>
          </w:p>
        </w:tc>
        <w:tc>
          <w:tcPr>
            <w:tcW w:type="dxa" w:w="1440"/>
            <w:shd w:fill="FFDCE0" w:val="clear"/>
          </w:tcPr>
          <w:p>
            <w:r>
              <w:rPr>
                <w:b/>
                <w:color w:val="C00000"/>
                <w:sz w:val="17"/>
              </w:rPr>
              <w:t>-13.9%</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6,714</w:t>
            </w:r>
          </w:p>
        </w:tc>
        <w:tc>
          <w:tcPr>
            <w:tcW w:type="dxa" w:w="1440"/>
            <w:shd w:fill="FFDCE0" w:val="clear"/>
          </w:tcPr>
          <w:p>
            <w:r>
              <w:rPr>
                <w:b/>
                <w:sz w:val="17"/>
              </w:rPr>
              <w:t>7,558</w:t>
            </w:r>
          </w:p>
        </w:tc>
        <w:tc>
          <w:tcPr>
            <w:tcW w:type="dxa" w:w="1440"/>
            <w:shd w:fill="FFDCE0" w:val="clear"/>
          </w:tcPr>
          <w:p>
            <w:r>
              <w:rPr>
                <w:sz w:val="17"/>
              </w:rPr>
              <w:t>8,401</w:t>
            </w:r>
          </w:p>
        </w:tc>
        <w:tc>
          <w:tcPr>
            <w:tcW w:type="dxa" w:w="1440"/>
            <w:shd w:fill="FFDCE0" w:val="clear"/>
          </w:tcPr>
          <w:p>
            <w:r>
              <w:rPr>
                <w:b/>
                <w:color w:val="C00000"/>
                <w:sz w:val="17"/>
              </w:rPr>
              <w:t>-14.9%</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6,588</w:t>
            </w:r>
          </w:p>
        </w:tc>
        <w:tc>
          <w:tcPr>
            <w:tcW w:type="dxa" w:w="1440"/>
            <w:shd w:fill="FFDCE0" w:val="clear"/>
          </w:tcPr>
          <w:p>
            <w:r>
              <w:rPr>
                <w:b/>
                <w:sz w:val="17"/>
              </w:rPr>
              <w:t>7,473</w:t>
            </w:r>
          </w:p>
        </w:tc>
        <w:tc>
          <w:tcPr>
            <w:tcW w:type="dxa" w:w="1440"/>
            <w:shd w:fill="FFDCE0" w:val="clear"/>
          </w:tcPr>
          <w:p>
            <w:r>
              <w:rPr>
                <w:sz w:val="17"/>
              </w:rPr>
              <w:t>8,357</w:t>
            </w:r>
          </w:p>
        </w:tc>
        <w:tc>
          <w:tcPr>
            <w:tcW w:type="dxa" w:w="1440"/>
            <w:shd w:fill="FFDCE0" w:val="clear"/>
          </w:tcPr>
          <w:p>
            <w:r>
              <w:rPr>
                <w:b/>
                <w:color w:val="C00000"/>
                <w:sz w:val="17"/>
              </w:rPr>
              <w:t>-15.8%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6,469</w:t>
            </w:r>
          </w:p>
        </w:tc>
        <w:tc>
          <w:tcPr>
            <w:tcW w:type="dxa" w:w="1440"/>
            <w:shd w:fill="FFDCE0" w:val="clear"/>
          </w:tcPr>
          <w:p>
            <w:r>
              <w:rPr>
                <w:b/>
                <w:sz w:val="17"/>
              </w:rPr>
              <w:t>7,391</w:t>
            </w:r>
          </w:p>
        </w:tc>
        <w:tc>
          <w:tcPr>
            <w:tcW w:type="dxa" w:w="1440"/>
            <w:shd w:fill="FFDCE0" w:val="clear"/>
          </w:tcPr>
          <w:p>
            <w:r>
              <w:rPr>
                <w:sz w:val="17"/>
              </w:rPr>
              <w:t>8,313</w:t>
            </w:r>
          </w:p>
        </w:tc>
        <w:tc>
          <w:tcPr>
            <w:tcW w:type="dxa" w:w="1440"/>
            <w:shd w:fill="FFDCE0" w:val="clear"/>
          </w:tcPr>
          <w:p>
            <w:r>
              <w:rPr>
                <w:b/>
                <w:color w:val="C00000"/>
                <w:sz w:val="17"/>
              </w:rPr>
              <w:t>-16.8%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05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390,72 milliards FCFA, BOABF s'impose comme une valeur de premier plan sur la BRVM, reflétant la confiance des investisseurs dans l'une des principales banques de l'UEMOA. Le BPA de 438 FCFA indique que chaque action génère un bénéfice net substantiel, mais le PER de 20,3x est nettement supérieur à la moyenne historique de la BRVM (8-12x). Ce niveau de valorisation suggère que le marché anticipe une croissance future des bénéfices, ou signale une possible surévaluation à court terme. Le P/B de 3,09x, bien que dans la fourchette de 2-4x, confirme que les investisseurs paient une prime de croissance significative par rapport à la valeur comptable des actifs. Enfin, l'EV/EBITDA de 9,4x, dans le haut de la fourchette raisonnable (5-10x), indique une valorisation de l'activité opérationnelle qui intègre déjà des perspectives de redressement.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BOABF a connu une appréciation spectaculaire de +56,34%, passant d'un plus bas de 5 235 FCFA à un plus haut de 9 090 FCFA, avant de clôturer à 8 880 FCFA. La légère baisse de -0,78% lors de la dernière séance pourrait marquer une pause après ce rallye impressionnant. La moyenne du cours sur la période (6 314 FCFA) est nettement inférieure à la médiane (5 680 FCFA), et le skewness positif de 1.107 confirme une distribution asymétrique avec des journées de forte hausse concentrées en fin de période. L'écart-type de 1 073 FCFA (CV de 17%) témoigne d'une dispersion modérée, tandis que le kurtosis de 0.201 (mésokurtique) indique une distribution des rendements proche de la normale, sans risque de pics extrêmes particulier. La volatilité annualisée de 33,6% classe le titre dans la catégorie "élevée" (&gt;30%), reflétant un niveau de risque significatif pour les investisseurs,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(8 880 FCFA) se positionne nettement au-dessus de la MM20 (7 973,25 FCFA) et de la MM50 (7 127,1 FCFA), dans une configuration haussière classique. La MM20 étant au-dessus de la MM50, la tendance de fond est clairement positive, justifiant la décision d'achat.</w:t>
      </w:r>
    </w:p>
    <w:p>
      <w:pPr>
        <w:spacing w:after="120" w:line="276" w:lineRule="auto"/>
      </w:pPr>
      <w:r>
        <w:t>**Bandes de Bollinger** : Le prix se situe à 8 880 FCFA, dans la partie supérieure de l'enveloppe (borne supérieure à 9 585,98 FCFA, borne inférieure à 6 360,52 FCFA). Cette position, sans toucher la borne supérieure, suggère une volatilité élevée mais sans condition de surachat extrême, d'où la décision neutre.</w:t>
      </w:r>
    </w:p>
    <w:p>
      <w:pPr>
        <w:spacing w:after="120" w:line="276" w:lineRule="auto"/>
      </w:pPr>
      <w:r>
        <w:t>**MACD** : La valeur du MACD (565,11) est supérieure à son signal (487,38), indiquant un momentum haussier toujours actif. Cette divergence positive confirme la dynamique de hausse en cours et justifie la décision d'achat.</w:t>
      </w:r>
    </w:p>
    <w:p>
      <w:pPr>
        <w:spacing w:after="120" w:line="276" w:lineRule="auto"/>
      </w:pPr>
      <w:r>
        <w:t>**RSI** : À 82,96, le RSI est profondément en zone de surachat (&gt;70). Ce niveau extrême signale que le titre a fortement monté et qu'un repli technique est probable à court terme, d'où la décision de vente.</w:t>
      </w:r>
    </w:p>
    <w:p>
      <w:pPr>
        <w:spacing w:after="120" w:line="276" w:lineRule="auto"/>
      </w:pPr>
      <w:r>
        <w:t>**Stochastique** : Le %K (88,27) et le %D (92,07) sont tous deux en zone de surachat, avec un %D au-dessus du %K. Cette configuration indique que la pression acheteuse s'essouffle, justifiant la décision de vente.</w:t>
      </w:r>
    </w:p>
    <w:p>
      <w:pPr>
        <w:spacing w:after="120" w:line="276" w:lineRule="auto"/>
      </w:pPr>
      <w:r>
        <w:t>**Conclusion technique** : Les indicateurs de tendance (MM, MACD) sont haussiers, mais les oscillateurs (RSI, Stochastique) signalent des conditions de surachat extrême. Cette divergence suggère qu'un repli technique est probable à court terme avant une éventuelle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BOABF font état d'un Produit Net Bancaire (PNB) de 57,820 milliards FCFA, quasi stable par rapport à 2024 (+0,6%). Le résultat net s'établit à 19,252 milliards FCFA, en recul de -14,1% par rapport à 2024 (22,419 milliards), principalement en raison d'un coût du risque qui a quasiment doublé (passant de -4,303 à -8,355 milliards FCFA). Les ratios de rentabilité restent néanmoins solides avec un ROE de 15,2% (excellent, &gt;15%) et un ROA de 1,68%. Le coefficient d'exploitation de 47,2% témoigne d'une excellente maîtrise des charges (&lt;50%). **Les rapports trimestriels de 2026** montrent une normalisation du coût du risque : au S1 2026, il s'améliore de 65,2% (-2,396 milliards vs -6,876 milliards au S1 2025), permettant au résultat net semestriel de bondir de +31% à 10,770 milliards FCFA, malgré un PNB en repli de -5,2% (27,539 milliards). **On estime que** si cette tendance se confirme au S2 2026, le résultat net annuel pourrait dépasser les 20 milliards FCFA. La banque maintient une collecte de dépôts dynamique (+7,4% à 942,692 milliards au S1 2026), mais la contraction des crédits nets (-19,3% en 2025) et la stagnation du PNB restent des points de vigilance. Le dividende de 397 FCFA par action au titre de 2025 offre un rendement d'environ 4,5% au cours actuel.</w:t>
      </w:r>
    </w:p>
    <w:p>
      <w:pPr>
        <w:spacing w:after="120" w:line="276" w:lineRule="auto"/>
      </w:pPr>
      <w:r>
        <w:t>---</w:t>
      </w:r>
    </w:p>
    <w:p>
      <w:pPr>
        <w:spacing w:after="120" w:line="276" w:lineRule="auto"/>
      </w:pPr>
      <w:r>
        <w:t>### PARTIE 4 : CONCLUSION D'INVESTISSEMENT</w:t>
      </w:r>
    </w:p>
    <w:p>
      <w:pPr>
        <w:spacing w:after="120" w:line="276" w:lineRule="auto"/>
      </w:pPr>
      <w:r>
        <w:t>La valorisation actuelle de BOABF (PER 20,3x, P/B 3,09x) apparaît exigeante, intégrant déjà un scénario de redressement de la rentabilité. Le comportement du cours (+56,34% en 100 jours) et la volatilité élevée (33,6%) reflètent un optimisme marqué des investisseurs, mais les statistiques (skewness positif) suggèrent que ce rallye pourrait être suracheté. Les signaux techniques sont partagés : la tendance de fond (MM, MACD) reste haussière, mais les oscillateurs (RSI à 83, Stochastique à 92) indiquent un risque élevé de correction à court terme. Les fondamentaux, bien que marqués par une stagnation du PNB, montrent une nette amélioration du coût du risque au S1 2026, laissant présager un exercice 2026 plus rentable. Les prédictions IA (baisse progressive vers 7 836 FCFA à J+10) confirment ce scénario de consolidation. **Recommandation finale : CONSERVER**, avec un niveau de confiance **Moyen** et un risque global **Élevé**. L'horizon d'investissement optimal serait le **moyen terme (3-12 mois)**, en attendant soit un repli du cours vers des niveaux plus attractifs (autour de 7 500-8 000 FCFA), soit la confirmation d'une croissance durable du PNB dans les prochains trimestres.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11,688 titres</w:t>
            </w:r>
          </w:p>
        </w:tc>
        <w:tc>
          <w:tcPr>
            <w:tcW w:type="dxa" w:w="2268"/>
            <w:shd w:fill="FFF2CC" w:val="clear"/>
          </w:tcPr>
          <w:p>
            <w:r>
              <w:rPr>
                <w:b/>
                <w:color w:val="503200"/>
                <w:sz w:val="16"/>
              </w:rPr>
              <w:t xml:space="preserve">Cours actuel : </w:t>
            </w:r>
            <w:r>
              <w:rPr>
                <w:color w:val="000000"/>
                <w:sz w:val="17"/>
              </w:rPr>
              <w:t>12,500 FCFA</w:t>
            </w:r>
          </w:p>
          <w:p>
            <w:r>
              <w:rPr>
                <w:b/>
                <w:color w:val="503200"/>
                <w:sz w:val="16"/>
              </w:rPr>
              <w:t xml:space="preserve">Var. 100 jours : </w:t>
            </w:r>
            <w:r>
              <w:rPr>
                <w:b/>
                <w:color w:val="007800"/>
                <w:sz w:val="17"/>
              </w:rPr>
              <w:t>+47.32%</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8,400 FCFA</w:t>
            </w:r>
          </w:p>
          <w:p>
            <w:r>
              <w:rPr>
                <w:b/>
                <w:color w:val="503200"/>
                <w:sz w:val="16"/>
              </w:rPr>
              <w:t xml:space="preserve">Volatilité ann. : </w:t>
            </w:r>
            <w:r>
              <w:rPr>
                <w:color w:val="000000"/>
                <w:sz w:val="17"/>
              </w:rPr>
              <w:t>25.8%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15.44% (Élevée) — μ=9,921 FCFA, σ=1,532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β=0.0117 (Défensif) — Cov=0.000000, Var(idx)=0.000037, ρ=0.004,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11,688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11,398</w:t>
            </w:r>
          </w:p>
        </w:tc>
        <w:tc>
          <w:tcPr>
            <w:tcW w:type="dxa" w:w="1440"/>
            <w:shd w:fill="FFDCE0" w:val="clear"/>
          </w:tcPr>
          <w:p>
            <w:r>
              <w:rPr>
                <w:b/>
                <w:sz w:val="17"/>
              </w:rPr>
              <w:t>11,826</w:t>
            </w:r>
          </w:p>
        </w:tc>
        <w:tc>
          <w:tcPr>
            <w:tcW w:type="dxa" w:w="1440"/>
            <w:shd w:fill="FFDCE0" w:val="clear"/>
          </w:tcPr>
          <w:p>
            <w:r>
              <w:rPr>
                <w:sz w:val="17"/>
              </w:rPr>
              <w:t>12,253</w:t>
            </w:r>
          </w:p>
        </w:tc>
        <w:tc>
          <w:tcPr>
            <w:tcW w:type="dxa" w:w="1440"/>
            <w:shd w:fill="FFDCE0" w:val="clear"/>
          </w:tcPr>
          <w:p>
            <w:r>
              <w:rPr>
                <w:b/>
                <w:color w:val="C00000"/>
                <w:sz w:val="17"/>
              </w:rPr>
              <w:t>-5.4%</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10,755</w:t>
            </w:r>
          </w:p>
        </w:tc>
        <w:tc>
          <w:tcPr>
            <w:tcW w:type="dxa" w:w="1440"/>
            <w:shd w:fill="FFDCE0" w:val="clear"/>
          </w:tcPr>
          <w:p>
            <w:r>
              <w:rPr>
                <w:b/>
                <w:sz w:val="17"/>
              </w:rPr>
              <w:t>11,335</w:t>
            </w:r>
          </w:p>
        </w:tc>
        <w:tc>
          <w:tcPr>
            <w:tcW w:type="dxa" w:w="1440"/>
            <w:shd w:fill="FFDCE0" w:val="clear"/>
          </w:tcPr>
          <w:p>
            <w:r>
              <w:rPr>
                <w:sz w:val="17"/>
              </w:rPr>
              <w:t>11,914</w:t>
            </w:r>
          </w:p>
        </w:tc>
        <w:tc>
          <w:tcPr>
            <w:tcW w:type="dxa" w:w="1440"/>
            <w:shd w:fill="FFDCE0" w:val="clear"/>
          </w:tcPr>
          <w:p>
            <w:r>
              <w:rPr>
                <w:b/>
                <w:color w:val="C00000"/>
                <w:sz w:val="17"/>
              </w:rPr>
              <w:t>-9.3%</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10,163</w:t>
            </w:r>
          </w:p>
        </w:tc>
        <w:tc>
          <w:tcPr>
            <w:tcW w:type="dxa" w:w="1440"/>
            <w:shd w:fill="FFDCE0" w:val="clear"/>
          </w:tcPr>
          <w:p>
            <w:r>
              <w:rPr>
                <w:b/>
                <w:sz w:val="17"/>
              </w:rPr>
              <w:t>10,842</w:t>
            </w:r>
          </w:p>
        </w:tc>
        <w:tc>
          <w:tcPr>
            <w:tcW w:type="dxa" w:w="1440"/>
            <w:shd w:fill="FFDCE0" w:val="clear"/>
          </w:tcPr>
          <w:p>
            <w:r>
              <w:rPr>
                <w:sz w:val="17"/>
              </w:rPr>
              <w:t>11,521</w:t>
            </w:r>
          </w:p>
        </w:tc>
        <w:tc>
          <w:tcPr>
            <w:tcW w:type="dxa" w:w="1440"/>
            <w:shd w:fill="FFDCE0" w:val="clear"/>
          </w:tcPr>
          <w:p>
            <w:r>
              <w:rPr>
                <w:b/>
                <w:color w:val="C00000"/>
                <w:sz w:val="17"/>
              </w:rPr>
              <w:t>-13.3%</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9,655</w:t>
            </w:r>
          </w:p>
        </w:tc>
        <w:tc>
          <w:tcPr>
            <w:tcW w:type="dxa" w:w="1440"/>
            <w:shd w:fill="FFDCE0" w:val="clear"/>
          </w:tcPr>
          <w:p>
            <w:r>
              <w:rPr>
                <w:b/>
                <w:sz w:val="17"/>
              </w:rPr>
              <w:t>10,408</w:t>
            </w:r>
          </w:p>
        </w:tc>
        <w:tc>
          <w:tcPr>
            <w:tcW w:type="dxa" w:w="1440"/>
            <w:shd w:fill="FFDCE0" w:val="clear"/>
          </w:tcPr>
          <w:p>
            <w:r>
              <w:rPr>
                <w:sz w:val="17"/>
              </w:rPr>
              <w:t>11,160</w:t>
            </w:r>
          </w:p>
        </w:tc>
        <w:tc>
          <w:tcPr>
            <w:tcW w:type="dxa" w:w="1440"/>
            <w:shd w:fill="FFDCE0" w:val="clear"/>
          </w:tcPr>
          <w:p>
            <w:r>
              <w:rPr>
                <w:b/>
                <w:color w:val="C00000"/>
                <w:sz w:val="17"/>
              </w:rPr>
              <w:t>-16.7%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9,221</w:t>
            </w:r>
          </w:p>
        </w:tc>
        <w:tc>
          <w:tcPr>
            <w:tcW w:type="dxa" w:w="1440"/>
            <w:shd w:fill="FFDCE0" w:val="clear"/>
          </w:tcPr>
          <w:p>
            <w:r>
              <w:rPr>
                <w:b/>
                <w:sz w:val="17"/>
              </w:rPr>
              <w:t>10,032</w:t>
            </w:r>
          </w:p>
        </w:tc>
        <w:tc>
          <w:tcPr>
            <w:tcW w:type="dxa" w:w="1440"/>
            <w:shd w:fill="FFDCE0" w:val="clear"/>
          </w:tcPr>
          <w:p>
            <w:r>
              <w:rPr>
                <w:sz w:val="17"/>
              </w:rPr>
              <w:t>10,843</w:t>
            </w:r>
          </w:p>
        </w:tc>
        <w:tc>
          <w:tcPr>
            <w:tcW w:type="dxa" w:w="1440"/>
            <w:shd w:fill="FFDCE0" w:val="clear"/>
          </w:tcPr>
          <w:p>
            <w:r>
              <w:rPr>
                <w:b/>
                <w:color w:val="C00000"/>
                <w:sz w:val="17"/>
              </w:rPr>
              <w:t>-19.7%</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8,848</w:t>
            </w:r>
          </w:p>
        </w:tc>
        <w:tc>
          <w:tcPr>
            <w:tcW w:type="dxa" w:w="1440"/>
            <w:shd w:fill="FFDCE0" w:val="clear"/>
          </w:tcPr>
          <w:p>
            <w:r>
              <w:rPr>
                <w:b/>
                <w:sz w:val="17"/>
              </w:rPr>
              <w:t>9,707</w:t>
            </w:r>
          </w:p>
        </w:tc>
        <w:tc>
          <w:tcPr>
            <w:tcW w:type="dxa" w:w="1440"/>
            <w:shd w:fill="FFDCE0" w:val="clear"/>
          </w:tcPr>
          <w:p>
            <w:r>
              <w:rPr>
                <w:sz w:val="17"/>
              </w:rPr>
              <w:t>10,567</w:t>
            </w:r>
          </w:p>
        </w:tc>
        <w:tc>
          <w:tcPr>
            <w:tcW w:type="dxa" w:w="1440"/>
            <w:shd w:fill="FFDCE0" w:val="clear"/>
          </w:tcPr>
          <w:p>
            <w:r>
              <w:rPr>
                <w:b/>
                <w:color w:val="C00000"/>
                <w:sz w:val="17"/>
              </w:rPr>
              <w:t>-22.3%</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8,524</w:t>
            </w:r>
          </w:p>
        </w:tc>
        <w:tc>
          <w:tcPr>
            <w:tcW w:type="dxa" w:w="1440"/>
            <w:shd w:fill="FFDCE0" w:val="clear"/>
          </w:tcPr>
          <w:p>
            <w:r>
              <w:rPr>
                <w:b/>
                <w:sz w:val="17"/>
              </w:rPr>
              <w:t>9,425</w:t>
            </w:r>
          </w:p>
        </w:tc>
        <w:tc>
          <w:tcPr>
            <w:tcW w:type="dxa" w:w="1440"/>
            <w:shd w:fill="FFDCE0" w:val="clear"/>
          </w:tcPr>
          <w:p>
            <w:r>
              <w:rPr>
                <w:sz w:val="17"/>
              </w:rPr>
              <w:t>10,326</w:t>
            </w:r>
          </w:p>
        </w:tc>
        <w:tc>
          <w:tcPr>
            <w:tcW w:type="dxa" w:w="1440"/>
            <w:shd w:fill="FFDCE0" w:val="clear"/>
          </w:tcPr>
          <w:p>
            <w:r>
              <w:rPr>
                <w:b/>
                <w:color w:val="C00000"/>
                <w:sz w:val="17"/>
              </w:rPr>
              <w:t>-24.6%</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8,240</w:t>
            </w:r>
          </w:p>
        </w:tc>
        <w:tc>
          <w:tcPr>
            <w:tcW w:type="dxa" w:w="1440"/>
            <w:shd w:fill="FFDCE0" w:val="clear"/>
          </w:tcPr>
          <w:p>
            <w:r>
              <w:rPr>
                <w:b/>
                <w:sz w:val="17"/>
              </w:rPr>
              <w:t>9,178</w:t>
            </w:r>
          </w:p>
        </w:tc>
        <w:tc>
          <w:tcPr>
            <w:tcW w:type="dxa" w:w="1440"/>
            <w:shd w:fill="FFDCE0" w:val="clear"/>
          </w:tcPr>
          <w:p>
            <w:r>
              <w:rPr>
                <w:sz w:val="17"/>
              </w:rPr>
              <w:t>10,116</w:t>
            </w:r>
          </w:p>
        </w:tc>
        <w:tc>
          <w:tcPr>
            <w:tcW w:type="dxa" w:w="1440"/>
            <w:shd w:fill="FFDCE0" w:val="clear"/>
          </w:tcPr>
          <w:p>
            <w:r>
              <w:rPr>
                <w:b/>
                <w:color w:val="C00000"/>
                <w:sz w:val="17"/>
              </w:rPr>
              <w:t>-26.6%</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7,988</w:t>
            </w:r>
          </w:p>
        </w:tc>
        <w:tc>
          <w:tcPr>
            <w:tcW w:type="dxa" w:w="1440"/>
            <w:shd w:fill="FFDCE0" w:val="clear"/>
          </w:tcPr>
          <w:p>
            <w:r>
              <w:rPr>
                <w:b/>
                <w:sz w:val="17"/>
              </w:rPr>
              <w:t>8,960</w:t>
            </w:r>
          </w:p>
        </w:tc>
        <w:tc>
          <w:tcPr>
            <w:tcW w:type="dxa" w:w="1440"/>
            <w:shd w:fill="FFDCE0" w:val="clear"/>
          </w:tcPr>
          <w:p>
            <w:r>
              <w:rPr>
                <w:sz w:val="17"/>
              </w:rPr>
              <w:t>9,932</w:t>
            </w:r>
          </w:p>
        </w:tc>
        <w:tc>
          <w:tcPr>
            <w:tcW w:type="dxa" w:w="1440"/>
            <w:shd w:fill="FFDCE0" w:val="clear"/>
          </w:tcPr>
          <w:p>
            <w:r>
              <w:rPr>
                <w:b/>
                <w:color w:val="C00000"/>
                <w:sz w:val="17"/>
              </w:rPr>
              <w:t>-28.3%</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7,764</w:t>
            </w:r>
          </w:p>
        </w:tc>
        <w:tc>
          <w:tcPr>
            <w:tcW w:type="dxa" w:w="1440"/>
            <w:shd w:fill="FFDCE0" w:val="clear"/>
          </w:tcPr>
          <w:p>
            <w:r>
              <w:rPr>
                <w:b/>
                <w:sz w:val="17"/>
              </w:rPr>
              <w:t>8,767</w:t>
            </w:r>
          </w:p>
        </w:tc>
        <w:tc>
          <w:tcPr>
            <w:tcW w:type="dxa" w:w="1440"/>
            <w:shd w:fill="FFDCE0" w:val="clear"/>
          </w:tcPr>
          <w:p>
            <w:r>
              <w:rPr>
                <w:sz w:val="17"/>
              </w:rPr>
              <w:t>9,769</w:t>
            </w:r>
          </w:p>
        </w:tc>
        <w:tc>
          <w:tcPr>
            <w:tcW w:type="dxa" w:w="1440"/>
            <w:shd w:fill="FFDCE0" w:val="clear"/>
          </w:tcPr>
          <w:p>
            <w:r>
              <w:rPr>
                <w:b/>
                <w:color w:val="C00000"/>
                <w:sz w:val="17"/>
              </w:rPr>
              <w:t>-29.9%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500 milliards FCFA positionne BOAC parmi les valeurs à grande capitalisation de la BRVM, reflétant son statut de banque systémique en Côte d'Ivoire. Avec un BPA de 888 FCFA, chaque action génère un bénéfice substantiel, justifiant un PER de 14,1x, légèrement supérieur à la moyenne historique de la place (~8-12x), ce qui traduit une prime de confiance des investisseurs dans la qualité de la gestion. Le P/B de 3,93x indique que le marché valorise la banque près de 4 fois sa valeur comptable, une prime significative qui récompense la forte rentabilité des capitaux propres (ROE de 27,9%). En revanche, l'EV/EBITDA de 27,4x apparaît très exigeant, signalant que la valeur totale de l'entreprise (capitalisation + dette nette) est élevée par rapport à sa capacité opérationnelle, un niveau qui laisse peu de marge d'erreur en cas de déception sur les résultats futurs.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BOAC a enregistré une progression spectaculaire de +47,32%, passant d'un plus bas de 8 400 FCFA à un plus haut de 13 450 FCFA, avec un cours actuel de 12 500 FCFA, en légère consolidation après ce rallye haussier. La moyenne de 9 921 FCFA, nettement inférieure à la médiane de 9 200 FCFA, confirme une distribution asymétrique positive (skewness de 1,055), avec une majorité de séances sous la moyenne mais quelques fortes journées de hausse qui tirent la moyenne vers le haut. L'écart-type de 1 539 FCFA (CV de 15,5%) indique une dispersion modérée des cours autour de la moyenne, tandis que le kurtosis de -0,386 (mésokurtique) suggère l'absence de mouvements extrêmes ou de "pics" anormaux, avec une distribution proche de la normale. La volatilité annualisée de 25,8% classe le titre dans une zone de risque modéré à élevé, cohérente avec la forte appréciation récente et les prises de bénéfices possibles. La stagnation à J-1 (+0,00%) après une hausse aussi marquée pourrait signaler une phase d'essoufflement temporaire.</w:t>
      </w:r>
    </w:p>
    <w:p>
      <w:pPr>
        <w:spacing w:after="120" w:line="276" w:lineRule="auto" w:before="240"/>
      </w:pPr>
      <w:r>
        <w:rPr>
          <w:b/>
          <w:color w:val="003366"/>
          <w:sz w:val="24"/>
        </w:rPr>
        <w:t>**PARTIE 2 : ANALYSE TECHNIQUE DÉTAILLÉE**</w:t>
      </w:r>
    </w:p>
    <w:p>
      <w:pPr>
        <w:spacing w:after="120" w:line="276" w:lineRule="auto"/>
      </w:pPr>
      <w:r>
        <w:t>**Moyennes Mobiles** : Le cours actuel de 12 500 FCFA se positionne au-dessus de la MM20 (12 632,5 FCFA) et nettement au-dessus de la MM50 (11 034,8 FCFA), confirmant une tendance haussière de fond. La MM20 étant supérieure à la MM50, la configuration en "courbe ascendante" est positive, mais le cours légèrement sous la MM20 suggère un essoufflement à court terme. La décision d'achat émise par cet indicateur reste valide tant que le cours ne casse pas la MM50.</w:t>
      </w:r>
    </w:p>
    <w:p>
      <w:pPr>
        <w:spacing w:after="120" w:line="276" w:lineRule="auto"/>
      </w:pPr>
      <w:r>
        <w:t>**Bandes de Bollinger** : Le cours à 12 500 FCFA se situe dans la partie médiane-haute du canal formé par les bornes (11 559,6 FCFA à 13 705,4 FCFA), indiquant une volatilité modérée sans excès. La décision neutre reflète une phase de consolidation après la forte hausse, le titre n'étant ni en zone de surachat (proche de la borne supérieure) ni en zone de survente (proche de la borne inférieure). Un rebond sur la borne inférieure serait un signal d'achat, tandis qu'un test de la borne supérieure nécessiterait un volume important.</w:t>
      </w:r>
    </w:p>
    <w:p>
      <w:pPr>
        <w:spacing w:after="120" w:line="276" w:lineRule="auto"/>
      </w:pPr>
      <w:r>
        <w:t>**MACD** : La valeur du MACD (403,4) est inférieure à son signal (563,2), générant une décision de vente. Cette configuration indique un ralentissement du momentum haussier, avec une possible divergence baissière en formation. Le croisement négatif récent du MACD sous son signal est un avertissement technique qui suggère une prudence accrue à court terme, même si la tendance de fond reste positive.</w:t>
      </w:r>
    </w:p>
    <w:p>
      <w:pPr>
        <w:spacing w:after="120" w:line="276" w:lineRule="auto"/>
      </w:pPr>
      <w:r>
        <w:t>**RSI** : À 39,5, le RSI se situe en zone neutre (30-70), sans signal extrême de surachat ou de survente. Cette valeur reflète une perte de dynamisme haussière après la forte progression, mais sans pression vendeuse excessive. La décision neutre est cohérente avec une phase de consolidation où les acheteurs et vendeurs s'équilibrent, laissant place à une possible poursuite de la tendance ou à un repli vers les supports.</w:t>
      </w:r>
    </w:p>
    <w:p>
      <w:pPr>
        <w:spacing w:after="120" w:line="276" w:lineRule="auto"/>
      </w:pPr>
      <w:r>
        <w:t>**Stochastique** : Le %K (17,7) et le %D (17,6) sont tous deux en zone de survente (&lt;20), avec un croisement haussier en formation. Cette configuration suggère qu'un rebond technique est probable à très court terme, les vendeurs semblant épuisés. La décision d'achat émise par cet indicateur contraste avec le signal de vente du MACD, créant une divergence qui devra être résolue par le marché.</w:t>
      </w:r>
    </w:p>
    <w:p>
      <w:pPr>
        <w:spacing w:after="120" w:line="276" w:lineRule="auto"/>
      </w:pPr>
      <w:r>
        <w:t>**Conclusion technique** : La tendance de fond reste haussière (MM20 &gt; MM50, prix &gt; MM50), mais les indicateurs de momentum (MACD négatif, RSI neutre-baissier) signalent une perte de vigueur après la hausse de 47%. Le stochastique en survente suggère un rebond imminent, mais la prudence est de mise. Un scénario de consolidation entre 11 500 et 13 000 FCFA semble probable avant la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BOAC affiche un Produit Net Bancaire de 73,545 milliards FCFA (+1,1% vs 2024), un résultat net de 35,540 milliards FCFA (+10,9%), et un ROE exceptionnel de 27,9%, confirmant une création de valeur remarquable pour les actionnaires. Le coefficient d'exploitation de 36,7% témoigne d'une excellente maîtrise des charges, tandis que le coût du risque s'est nettement amélioré à 6,67% (provisions en baisse de 27,8% à 4,902 milliards FCFA). La structure de bilan est solide avec des dépôts clientèle de 850,548 milliards FCFA (+21,4% au T1 2026 par rapport au T1 2025) contre des crédits de 430,433 milliards FCFA, créant un important excédent de liquidité (trésorerie nette de 161,55 milliards FCFA). Le ratio de solvabilité générale de 113% et la couverture des intérêts de 225% confirment la robustesse financière. Les rapports trimestriels montrent une dynamique contrastée : le T1 2026 (rapport du 31/03/2026) enregistre un PNB de 18,96 milliards FCFA (+3,09%), mais le coût net du risque bondit de +314,75% (-652 millions vs -157 millions), signalant une dégradation de la qualité du portefeuille. Le rapport annuel 2025 (31/12/2025) note une hausse de +52,1% des créances en souffrance, avec un taux de sinistralité de 8,59%, un point de vigilance majeur. Sur la base du T1 2026, on estime que l'exercice 2026 pourrait voir un PNB autour de 75-76 milliards FCFA (+2-3%), mais le résultat net pourrait stagner ou reculer si le coût du risque continue de se dégrader. La recommandation fondamentale est nuancée : la banque est solide et rentable, mais la détérioration du risque de crédit et la stagnation des crédits nets (-0,29% au T1 2026) appellent à la prudence.</w:t>
      </w:r>
    </w:p>
    <w:p>
      <w:pPr>
        <w:spacing w:after="120" w:line="276" w:lineRule="auto" w:before="240"/>
      </w:pPr>
      <w:r>
        <w:rPr>
          <w:b/>
          <w:color w:val="003366"/>
          <w:sz w:val="24"/>
        </w:rPr>
        <w:t>**PARTIE 4 : CONCLUSION D'INVESTISSEMENT**</w:t>
      </w:r>
    </w:p>
    <w:p>
      <w:pPr>
        <w:spacing w:after="120" w:line="276" w:lineRule="auto"/>
      </w:pPr>
      <w:r>
        <w:t>La valorisation de BOAC (PER 14,1x, P/B 3,93x, EV/EBITDA 27,4x) intègre déjà une prime de croissance significative, rendant le titre exigeant en termes de prix par rapport aux bénéfices et à la valeur comptable. Le comportement du cours sur 100 jours (+47,32%) avec une volatilité de 25,8% et un skewness positif témoigne d'un fort intérêt acheteur, mais les statistiques suggèrent une distribution proche de la normale, limitant le risque de mouvements extrêmes. Les signaux techniques sont mitigés : la tendance de fond reste haussière (MM), mais le MACD vendeur et le RSI neutre indiquent une consolidation nécessaire, tandis que le stochastique en survente suggère un rebond imminent. Les fondamentaux sont solides avec un ROE de 27,9% et un coefficient d'exploitation de 36,7%, mais la dégradation du coût du risque au T1 2026 (+314,75%) et la hausse des créances en souffrance (+52,1% en 2025) constituent des signaux d'alerte. Les prédictions IA (J+1 à J+10) projetant une baisse continue de 11 826 à 10 032 FCFA contredisent la tendance haussière de fond et suggèrent une correction profonde à court terme, probablement liée à la réalisation de bénéfices après la forte hausse. La divergence entre la solidité fondamentale à long terme et les signaux techniques/predictifs baissiers à court terme justifie une recommandation de **CONSERVER** avec un niveau de confiance **Moyen**, un risque global **Élevé** (volatilité + dégradation du coût du risque), et un horizon d'investissement optimal à **moyen terme (3-12 mois)** pour laisser le temps à la banque de démontrer sa capacité à maîtriser le risque de crédit tout en capitalisant sur sa collecte de dépôts record.</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175.68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6,221 titres</w:t>
            </w:r>
          </w:p>
        </w:tc>
        <w:tc>
          <w:tcPr>
            <w:tcW w:type="dxa" w:w="2268"/>
            <w:shd w:fill="FFF2CC" w:val="clear"/>
          </w:tcPr>
          <w:p>
            <w:r>
              <w:rPr>
                <w:b/>
                <w:color w:val="503200"/>
                <w:sz w:val="16"/>
              </w:rPr>
              <w:t xml:space="preserve">Cours actuel : </w:t>
            </w:r>
            <w:r>
              <w:rPr>
                <w:color w:val="000000"/>
                <w:sz w:val="17"/>
              </w:rPr>
              <w:t>6,400 FCFA</w:t>
            </w:r>
          </w:p>
          <w:p>
            <w:r>
              <w:rPr>
                <w:b/>
                <w:color w:val="503200"/>
                <w:sz w:val="16"/>
              </w:rPr>
              <w:t xml:space="preserve">Var. 100 jours : </w:t>
            </w:r>
            <w:r>
              <w:rPr>
                <w:b/>
                <w:color w:val="007800"/>
                <w:sz w:val="17"/>
              </w:rPr>
              <w:t>+38.23%</w:t>
            </w:r>
          </w:p>
          <w:p>
            <w:r>
              <w:rPr>
                <w:b/>
                <w:color w:val="503200"/>
                <w:sz w:val="16"/>
              </w:rPr>
              <w:t xml:space="preserve">Plus haut 100j : </w:t>
            </w:r>
            <w:r>
              <w:rPr>
                <w:color w:val="000000"/>
                <w:sz w:val="17"/>
              </w:rPr>
              <w:t>6,700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12.50% (Moyenne) — μ=5,234 FCFA, σ=654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β=0.2737 (Défensif) — Cov=0.000010, Var(idx)=0.000037, ρ=0.082,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6,067</w:t>
            </w:r>
          </w:p>
        </w:tc>
        <w:tc>
          <w:tcPr>
            <w:tcW w:type="dxa" w:w="1440"/>
            <w:shd w:fill="FFDCE0" w:val="clear"/>
          </w:tcPr>
          <w:p>
            <w:r>
              <w:rPr>
                <w:b/>
                <w:sz w:val="17"/>
              </w:rPr>
              <w:t>6,257</w:t>
            </w:r>
          </w:p>
        </w:tc>
        <w:tc>
          <w:tcPr>
            <w:tcW w:type="dxa" w:w="1440"/>
            <w:shd w:fill="FFDCE0" w:val="clear"/>
          </w:tcPr>
          <w:p>
            <w:r>
              <w:rPr>
                <w:sz w:val="17"/>
              </w:rPr>
              <w:t>6,446</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5,851</w:t>
            </w:r>
          </w:p>
        </w:tc>
        <w:tc>
          <w:tcPr>
            <w:tcW w:type="dxa" w:w="1440"/>
            <w:shd w:fill="FFDCE0" w:val="clear"/>
          </w:tcPr>
          <w:p>
            <w:r>
              <w:rPr>
                <w:b/>
                <w:sz w:val="17"/>
              </w:rPr>
              <w:t>6,112</w:t>
            </w:r>
          </w:p>
        </w:tc>
        <w:tc>
          <w:tcPr>
            <w:tcW w:type="dxa" w:w="1440"/>
            <w:shd w:fill="FFDCE0" w:val="clear"/>
          </w:tcPr>
          <w:p>
            <w:r>
              <w:rPr>
                <w:sz w:val="17"/>
              </w:rPr>
              <w:t>6,374</w:t>
            </w:r>
          </w:p>
        </w:tc>
        <w:tc>
          <w:tcPr>
            <w:tcW w:type="dxa" w:w="1440"/>
            <w:shd w:fill="FFDCE0" w:val="clear"/>
          </w:tcPr>
          <w:p>
            <w:r>
              <w:rPr>
                <w:b/>
                <w:color w:val="C00000"/>
                <w:sz w:val="17"/>
              </w:rPr>
              <w:t>-4.5%</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5,672</w:t>
            </w:r>
          </w:p>
        </w:tc>
        <w:tc>
          <w:tcPr>
            <w:tcW w:type="dxa" w:w="1440"/>
            <w:shd w:fill="FFDCE0" w:val="clear"/>
          </w:tcPr>
          <w:p>
            <w:r>
              <w:rPr>
                <w:b/>
                <w:sz w:val="17"/>
              </w:rPr>
              <w:t>5,986</w:t>
            </w:r>
          </w:p>
        </w:tc>
        <w:tc>
          <w:tcPr>
            <w:tcW w:type="dxa" w:w="1440"/>
            <w:shd w:fill="FFDCE0" w:val="clear"/>
          </w:tcPr>
          <w:p>
            <w:r>
              <w:rPr>
                <w:sz w:val="17"/>
              </w:rPr>
              <w:t>6,300</w:t>
            </w:r>
          </w:p>
        </w:tc>
        <w:tc>
          <w:tcPr>
            <w:tcW w:type="dxa" w:w="1440"/>
            <w:shd w:fill="FFDCE0" w:val="clear"/>
          </w:tcPr>
          <w:p>
            <w:r>
              <w:rPr>
                <w:b/>
                <w:color w:val="C00000"/>
                <w:sz w:val="17"/>
              </w:rPr>
              <w:t>-6.5%</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5,522</w:t>
            </w:r>
          </w:p>
        </w:tc>
        <w:tc>
          <w:tcPr>
            <w:tcW w:type="dxa" w:w="1440"/>
            <w:shd w:fill="FFDCE0" w:val="clear"/>
          </w:tcPr>
          <w:p>
            <w:r>
              <w:rPr>
                <w:b/>
                <w:sz w:val="17"/>
              </w:rPr>
              <w:t>5,878</w:t>
            </w:r>
          </w:p>
        </w:tc>
        <w:tc>
          <w:tcPr>
            <w:tcW w:type="dxa" w:w="1440"/>
            <w:shd w:fill="FFDCE0" w:val="clear"/>
          </w:tcPr>
          <w:p>
            <w:r>
              <w:rPr>
                <w:sz w:val="17"/>
              </w:rPr>
              <w:t>6,234</w:t>
            </w:r>
          </w:p>
        </w:tc>
        <w:tc>
          <w:tcPr>
            <w:tcW w:type="dxa" w:w="1440"/>
            <w:shd w:fill="FFDCE0" w:val="clear"/>
          </w:tcPr>
          <w:p>
            <w:r>
              <w:rPr>
                <w:b/>
                <w:color w:val="C00000"/>
                <w:sz w:val="17"/>
              </w:rPr>
              <w:t>-8.2%</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5,391</w:t>
            </w:r>
          </w:p>
        </w:tc>
        <w:tc>
          <w:tcPr>
            <w:tcW w:type="dxa" w:w="1440"/>
            <w:shd w:fill="FFDCE0" w:val="clear"/>
          </w:tcPr>
          <w:p>
            <w:r>
              <w:rPr>
                <w:b/>
                <w:sz w:val="17"/>
              </w:rPr>
              <w:t>5,782</w:t>
            </w:r>
          </w:p>
        </w:tc>
        <w:tc>
          <w:tcPr>
            <w:tcW w:type="dxa" w:w="1440"/>
            <w:shd w:fill="FFDCE0" w:val="clear"/>
          </w:tcPr>
          <w:p>
            <w:r>
              <w:rPr>
                <w:sz w:val="17"/>
              </w:rPr>
              <w:t>6,173</w:t>
            </w:r>
          </w:p>
        </w:tc>
        <w:tc>
          <w:tcPr>
            <w:tcW w:type="dxa" w:w="1440"/>
            <w:shd w:fill="FFDCE0" w:val="clear"/>
          </w:tcPr>
          <w:p>
            <w:r>
              <w:rPr>
                <w:b/>
                <w:color w:val="C00000"/>
                <w:sz w:val="17"/>
              </w:rPr>
              <w:t>-9.7%</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5,272</w:t>
            </w:r>
          </w:p>
        </w:tc>
        <w:tc>
          <w:tcPr>
            <w:tcW w:type="dxa" w:w="1440"/>
            <w:shd w:fill="FFDCE0" w:val="clear"/>
          </w:tcPr>
          <w:p>
            <w:r>
              <w:rPr>
                <w:b/>
                <w:sz w:val="17"/>
              </w:rPr>
              <w:t>5,694</w:t>
            </w:r>
          </w:p>
        </w:tc>
        <w:tc>
          <w:tcPr>
            <w:tcW w:type="dxa" w:w="1440"/>
            <w:shd w:fill="FFDCE0" w:val="clear"/>
          </w:tcPr>
          <w:p>
            <w:r>
              <w:rPr>
                <w:sz w:val="17"/>
              </w:rPr>
              <w:t>6,116</w:t>
            </w:r>
          </w:p>
        </w:tc>
        <w:tc>
          <w:tcPr>
            <w:tcW w:type="dxa" w:w="1440"/>
            <w:shd w:fill="FFDCE0" w:val="clear"/>
          </w:tcPr>
          <w:p>
            <w:r>
              <w:rPr>
                <w:b/>
                <w:color w:val="C00000"/>
                <w:sz w:val="17"/>
              </w:rPr>
              <w:t>-11.0%</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5,164</w:t>
            </w:r>
          </w:p>
        </w:tc>
        <w:tc>
          <w:tcPr>
            <w:tcW w:type="dxa" w:w="1440"/>
            <w:shd w:fill="FFDCE0" w:val="clear"/>
          </w:tcPr>
          <w:p>
            <w:r>
              <w:rPr>
                <w:b/>
                <w:sz w:val="17"/>
              </w:rPr>
              <w:t>5,613</w:t>
            </w:r>
          </w:p>
        </w:tc>
        <w:tc>
          <w:tcPr>
            <w:tcW w:type="dxa" w:w="1440"/>
            <w:shd w:fill="FFDCE0" w:val="clear"/>
          </w:tcPr>
          <w:p>
            <w:r>
              <w:rPr>
                <w:sz w:val="17"/>
              </w:rPr>
              <w:t>6,062</w:t>
            </w:r>
          </w:p>
        </w:tc>
        <w:tc>
          <w:tcPr>
            <w:tcW w:type="dxa" w:w="1440"/>
            <w:shd w:fill="FFDCE0" w:val="clear"/>
          </w:tcPr>
          <w:p>
            <w:r>
              <w:rPr>
                <w:b/>
                <w:color w:val="C00000"/>
                <w:sz w:val="17"/>
              </w:rPr>
              <w:t>-12.3%</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5,063</w:t>
            </w:r>
          </w:p>
        </w:tc>
        <w:tc>
          <w:tcPr>
            <w:tcW w:type="dxa" w:w="1440"/>
            <w:shd w:fill="FFDCE0" w:val="clear"/>
          </w:tcPr>
          <w:p>
            <w:r>
              <w:rPr>
                <w:b/>
                <w:sz w:val="17"/>
              </w:rPr>
              <w:t>5,537</w:t>
            </w:r>
          </w:p>
        </w:tc>
        <w:tc>
          <w:tcPr>
            <w:tcW w:type="dxa" w:w="1440"/>
            <w:shd w:fill="FFDCE0" w:val="clear"/>
          </w:tcPr>
          <w:p>
            <w:r>
              <w:rPr>
                <w:sz w:val="17"/>
              </w:rPr>
              <w:t>6,011</w:t>
            </w:r>
          </w:p>
        </w:tc>
        <w:tc>
          <w:tcPr>
            <w:tcW w:type="dxa" w:w="1440"/>
            <w:shd w:fill="FFDCE0" w:val="clear"/>
          </w:tcPr>
          <w:p>
            <w:r>
              <w:rPr>
                <w:b/>
                <w:color w:val="C00000"/>
                <w:sz w:val="17"/>
              </w:rPr>
              <w:t>-13.5%</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4,970</w:t>
            </w:r>
          </w:p>
        </w:tc>
        <w:tc>
          <w:tcPr>
            <w:tcW w:type="dxa" w:w="1440"/>
            <w:shd w:fill="FFDCE0" w:val="clear"/>
          </w:tcPr>
          <w:p>
            <w:r>
              <w:rPr>
                <w:b/>
                <w:sz w:val="17"/>
              </w:rPr>
              <w:t>5,466</w:t>
            </w:r>
          </w:p>
        </w:tc>
        <w:tc>
          <w:tcPr>
            <w:tcW w:type="dxa" w:w="1440"/>
            <w:shd w:fill="FFDCE0" w:val="clear"/>
          </w:tcPr>
          <w:p>
            <w:r>
              <w:rPr>
                <w:sz w:val="17"/>
              </w:rPr>
              <w:t>5,962</w:t>
            </w:r>
          </w:p>
        </w:tc>
        <w:tc>
          <w:tcPr>
            <w:tcW w:type="dxa" w:w="1440"/>
            <w:shd w:fill="FFDCE0" w:val="clear"/>
          </w:tcPr>
          <w:p>
            <w:r>
              <w:rPr>
                <w:b/>
                <w:color w:val="C00000"/>
                <w:sz w:val="17"/>
              </w:rPr>
              <w:t>-14.6%</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4,883</w:t>
            </w:r>
          </w:p>
        </w:tc>
        <w:tc>
          <w:tcPr>
            <w:tcW w:type="dxa" w:w="1440"/>
            <w:shd w:fill="FFDCE0" w:val="clear"/>
          </w:tcPr>
          <w:p>
            <w:r>
              <w:rPr>
                <w:b/>
                <w:sz w:val="17"/>
              </w:rPr>
              <w:t>5,399</w:t>
            </w:r>
          </w:p>
        </w:tc>
        <w:tc>
          <w:tcPr>
            <w:tcW w:type="dxa" w:w="1440"/>
            <w:shd w:fill="FFDCE0" w:val="clear"/>
          </w:tcPr>
          <w:p>
            <w:r>
              <w:rPr>
                <w:sz w:val="17"/>
              </w:rPr>
              <w:t>5,916</w:t>
            </w:r>
          </w:p>
        </w:tc>
        <w:tc>
          <w:tcPr>
            <w:tcW w:type="dxa" w:w="1440"/>
            <w:shd w:fill="FFDCE0" w:val="clear"/>
          </w:tcPr>
          <w:p>
            <w:r>
              <w:rPr>
                <w:b/>
                <w:color w:val="C00000"/>
                <w:sz w:val="17"/>
              </w:rPr>
              <w:t>-15.6%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175,68 milliards FCFA, ce qui positionne la banque parmi les valeurs moyennes à grandes capitalisations de la BRVM, lui conférant une liquidité et une visibilité appréciables. Avec un BPA de 404 FCFA, chaque action génère un bénéfice substantiel, justifiant un PER de 15,9x. Ce ratio, bien que supérieur à la moyenne historique de la BRVM (8-12x), reflète la prime de croissance et de résilience accordée à la banque dans un contexte régional difficile. Le P/B de 3,53x confirme cette prime, le marché valorisant significativement les actifs nets de la banque, tandis que l'EV/EBITDA de 8,3x reste dans une fourchette raisonnable, indiquant une valorisation globale cohérente avec sa capacité opérationnelle à générer de la richesse.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performance remarquable de +38,23%, avec un cours actuel de 6 400 FCFA, bien que la dernière séance ait clôturé en léger repli de -1,39%. Le titre a évolué dans une fourchette large de 4 425 à 6 700 FCFA, démontrant un fort dynamisme haussier. La moyenne (5 234 FCFA) étant inférieure à la médiane (4 975 FCFA) et le skewness positif (0.707) indiquent une distribution asymétrique avec des épisodes de forte hausse concentrés en fin de période. L'écart-type de 658 FCFA (CV=12,6%) révèle une dispersion modérée autour de la moyenne, tandis que le kurtosis de -0.776 (mésokurtique) suggère l'absence de risques de pics extrêmes. La volatilité annualisée de 32,1% classe le titre comme très volatil, reflétant un risque de marché élevé mais récompensé par une forte appréciation.</w:t>
      </w:r>
    </w:p>
    <w:p>
      <w:pPr>
        <w:spacing w:after="120" w:line="276" w:lineRule="auto" w:before="240"/>
      </w:pPr>
      <w:r>
        <w:rPr>
          <w:b/>
          <w:color w:val="003366"/>
          <w:sz w:val="24"/>
        </w:rPr>
        <w:t>**PARTIE 2 : ANALYSE TECHNIQUE DÉTAILLÉE**</w:t>
      </w:r>
    </w:p>
    <w:p>
      <w:pPr>
        <w:spacing w:after="120" w:line="276" w:lineRule="auto"/>
      </w:pPr>
      <w:r>
        <w:t>**Moyennes Mobiles**: Le cours actuel (6 400 FCFA) se positionne nettement au-dessus de la MM20 (6 280,25 FCFA) et de la MM50 (5 764,6 FCFA), confirmant une tendance haussière solide à court et moyen terme. La configuration des MM, avec la MM20 au-dessus de la MM50, valide la dynamique positive et justifie la décision d'Achat.</w:t>
      </w:r>
    </w:p>
    <w:p>
      <w:pPr>
        <w:spacing w:after="120" w:line="276" w:lineRule="auto"/>
      </w:pPr>
      <w:r>
        <w:t>**Bandes de Bollinger**: Le prix évolue entre la borne inférieure (5 670,34 FCFA) et la borne supérieure (6 890,16 FCFA), se situant dans la moitié supérieure de l'enveloppe. Cette position indique une volatilité normale sans condition de surachat extrême, d'où une décision Neutre, mais avec un biais haussier latent.</w:t>
      </w:r>
    </w:p>
    <w:p>
      <w:pPr>
        <w:spacing w:after="120" w:line="276" w:lineRule="auto"/>
      </w:pPr>
      <w:r>
        <w:t>**MACD**: Le MACD (230,27) est positif mais légèrement sous sa ligne de signal (255,45), suggérant un ralentissement du momentum haussier à très court terme. Cette divergence négative, bien que modérée, justifie la décision de Vente, signalant une possible consolidation ou correction technique après la forte hausse récente.</w:t>
      </w:r>
    </w:p>
    <w:p>
      <w:pPr>
        <w:spacing w:after="120" w:line="276" w:lineRule="auto"/>
      </w:pPr>
      <w:r>
        <w:t>**RSI**: À 62,89, le RSI se situe en zone neutre, sous le seuil de surachat de 70. Cette valeur indique que le titre dispose encore d'un potentiel haussier sans pression vendeuse excessive, justifiant une décision Neutre avec un biais positif.</w:t>
      </w:r>
    </w:p>
    <w:p>
      <w:pPr>
        <w:spacing w:after="120" w:line="276" w:lineRule="auto"/>
      </w:pPr>
      <w:r>
        <w:t>**Stochastique**: Le %K (42,86) est inférieur au %D (55,73), indiquant un croisement baissier récent. Cette configuration suggère un essoufflement du momentum à court terme, justifiant la décision Neutre, mais ne remettant pas en cause la tendance de fond haussière.</w:t>
      </w:r>
    </w:p>
    <w:p>
      <w:pPr>
        <w:spacing w:after="120" w:line="276" w:lineRule="auto"/>
      </w:pPr>
      <w:r>
        <w:t>**Conclusion technique**: La tendance de fond reste résolument haussière, portée par des moyennes mobiles orientées à la hausse. Cependant, les indicateurs de momentum (MACD, Stochastique) montrent des signes de fatigue à court terme, suggérant une phase de consolidation probable avant une reprise de la tendance. Le RSI neutre offre une marge de manœuvre pour un nouveau mouvement haussier.</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BOAM font état d'un Produit Net Bancaire (PNB) de 37,996 milliards FCFA, en croissance de 5,08%, et d'un résultat net de 11,081 milliards FCFA, démontrant une excellente rentabilité avec un ROE de 22,24% et un ROA de 1,87%. Le coefficient d'exploitation de 63,14%, bien que légèrement au-dessus du seuil d'efficacité de 60%, reflète une gestion opérationnelle correcte. Le coût du risque de 43,39% reste élevé, indiquant un portefeuille de crédits encore fragile, mais en amélioration. La banque affiche une collecte de dépôts massive (502,89 milliards FCFA) par rapport aux créances clientèle (253,65 milliards FCFA), illustrant une forte capacité de transformation. Les rapports trimestriels 2025 confirment cette trajectoire : au T1 (31/03/2025), le résultat net a bondi de 91,18% à 3,021 milliards FCFA malgré un PNB en baisse ; au S1 (30/06/2025), le PNB atteint 18,71 milliards (+2,7%) et le résultat net 6,21 milliards (+28,8%) ; au T3 (30/09/2025), le PNB cumulé s'élève à 28,52 milliards (+5,8%) et le résultat net à 9,16 milliards (+26,2%). Sur la base de ces tendances, on estime que l'exercice 2025 devrait confirmer un résultat net supérieur à 11 milliards FCFA, porté par une amélioration continue de la qualité des actifs et une maîtrise des charges, malgré un environnement macroéconomique malien difficile.</w:t>
      </w:r>
    </w:p>
    <w:p>
      <w:pPr>
        <w:spacing w:after="120" w:line="276" w:lineRule="auto" w:before="240"/>
      </w:pPr>
      <w:r>
        <w:rPr>
          <w:b/>
          <w:color w:val="003366"/>
          <w:sz w:val="24"/>
        </w:rPr>
        <w:t>**PARTIE 4 : CONCLUSION D'INVESTISSEMENT**</w:t>
      </w:r>
    </w:p>
    <w:p>
      <w:pPr>
        <w:spacing w:after="120" w:line="276" w:lineRule="auto"/>
      </w:pPr>
      <w:r>
        <w:t>La valorisation de BOAM (PER 15,9x, P/B 3,53x) intègre une prime de croissance justifiée par des fondamentaux solides, mais le cours a déjà fortement progressé (+38,23% sur 100 jours). Le comportement du cours, bien que volatil (32,1%), montre une tendance haussière robuste, avec des statistiques (skewness positif, kurtosis normal) indiquant une progression saine sans risque de krach statistique. Les signaux techniques sont mitigés : la tendance de fond reste haussière (MM), mais les indicateurs de momentum (MACD, Stochastique) suggèrent une consolidation à court terme. Les fondamentaux sont excellents avec un ROE de 22,24%, une croissance soutenue du résultat net (+26,2% sur 9 mois) et une amélioration de la qualité des actifs. Les prédictions IA (J+1 à J+10) anticipent un repli progressif vers 5 782 FCFA, contredisant la tendance haussière récente et suggérant une correction technique. La convergence entre les signaux techniques de court terme (vente) et les prédictions IA indique une probabilité de repli temporaire. Recommandation finale : **CONSERVER**, avec un niveau de confiance **Moyen**, un risque global **Élevé** (volatilité et contexte pays), et un horizon d'investissement optimal à **moyen terme (3-12 mois)** pour capitaliser sur la solidité fondamentale après une éventuelle correction.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113.36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10,131 titres</w:t>
            </w:r>
          </w:p>
        </w:tc>
        <w:tc>
          <w:tcPr>
            <w:tcW w:type="dxa" w:w="2268"/>
            <w:shd w:fill="FFF2CC" w:val="clear"/>
          </w:tcPr>
          <w:p>
            <w:r>
              <w:rPr>
                <w:b/>
                <w:color w:val="503200"/>
                <w:sz w:val="16"/>
              </w:rPr>
              <w:t xml:space="preserve">Cours actuel : </w:t>
            </w:r>
            <w:r>
              <w:rPr>
                <w:color w:val="000000"/>
                <w:sz w:val="17"/>
              </w:rPr>
              <w:t>5,450 FCFA</w:t>
            </w:r>
          </w:p>
          <w:p>
            <w:r>
              <w:rPr>
                <w:b/>
                <w:color w:val="503200"/>
                <w:sz w:val="16"/>
              </w:rPr>
              <w:t xml:space="preserve">Var. 100 jours : </w:t>
            </w:r>
            <w:r>
              <w:rPr>
                <w:b/>
                <w:color w:val="007800"/>
                <w:sz w:val="17"/>
              </w:rPr>
              <w:t>+92.92%</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2,825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19.23% (Élevée) — μ=4,283 FCFA, σ=824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β=0.2582 (Défensif) — Cov=0.000010, Var(idx)=0.000037, ρ=0.063,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10,131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5,266</w:t>
            </w:r>
          </w:p>
        </w:tc>
        <w:tc>
          <w:tcPr>
            <w:tcW w:type="dxa" w:w="1440"/>
            <w:shd w:fill="FAFAFA" w:val="clear"/>
          </w:tcPr>
          <w:p>
            <w:r>
              <w:rPr>
                <w:b/>
                <w:sz w:val="17"/>
              </w:rPr>
              <w:t>5,413</w:t>
            </w:r>
          </w:p>
        </w:tc>
        <w:tc>
          <w:tcPr>
            <w:tcW w:type="dxa" w:w="1440"/>
            <w:shd w:fill="FAFAFA" w:val="clear"/>
          </w:tcPr>
          <w:p>
            <w:r>
              <w:rPr>
                <w:sz w:val="17"/>
              </w:rPr>
              <w:t>5,561</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5,196</w:t>
            </w:r>
          </w:p>
        </w:tc>
        <w:tc>
          <w:tcPr>
            <w:tcW w:type="dxa" w:w="1440"/>
            <w:shd w:fill="FAFAFA" w:val="clear"/>
          </w:tcPr>
          <w:p>
            <w:r>
              <w:rPr>
                <w:b/>
                <w:sz w:val="17"/>
              </w:rPr>
              <w:t>5,404</w:t>
            </w:r>
          </w:p>
        </w:tc>
        <w:tc>
          <w:tcPr>
            <w:tcW w:type="dxa" w:w="1440"/>
            <w:shd w:fill="FAFAFA" w:val="clear"/>
          </w:tcPr>
          <w:p>
            <w:r>
              <w:rPr>
                <w:sz w:val="17"/>
              </w:rPr>
              <w:t>5,612</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5,136</w:t>
            </w:r>
          </w:p>
        </w:tc>
        <w:tc>
          <w:tcPr>
            <w:tcW w:type="dxa" w:w="1440"/>
            <w:shd w:fill="FAFAFA" w:val="clear"/>
          </w:tcPr>
          <w:p>
            <w:r>
              <w:rPr>
                <w:b/>
                <w:sz w:val="17"/>
              </w:rPr>
              <w:t>5,391</w:t>
            </w:r>
          </w:p>
        </w:tc>
        <w:tc>
          <w:tcPr>
            <w:tcW w:type="dxa" w:w="1440"/>
            <w:shd w:fill="FAFAFA" w:val="clear"/>
          </w:tcPr>
          <w:p>
            <w:r>
              <w:rPr>
                <w:sz w:val="17"/>
              </w:rPr>
              <w:t>5,645</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5,084</w:t>
            </w:r>
          </w:p>
        </w:tc>
        <w:tc>
          <w:tcPr>
            <w:tcW w:type="dxa" w:w="1440"/>
            <w:shd w:fill="FAFAFA" w:val="clear"/>
          </w:tcPr>
          <w:p>
            <w:r>
              <w:rPr>
                <w:b/>
                <w:sz w:val="17"/>
              </w:rPr>
              <w:t>5,377</w:t>
            </w:r>
          </w:p>
        </w:tc>
        <w:tc>
          <w:tcPr>
            <w:tcW w:type="dxa" w:w="1440"/>
            <w:shd w:fill="FAFAFA" w:val="clear"/>
          </w:tcPr>
          <w:p>
            <w:r>
              <w:rPr>
                <w:sz w:val="17"/>
              </w:rPr>
              <w:t>5,670</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5,037</w:t>
            </w:r>
          </w:p>
        </w:tc>
        <w:tc>
          <w:tcPr>
            <w:tcW w:type="dxa" w:w="1440"/>
            <w:shd w:fill="FAFAFA" w:val="clear"/>
          </w:tcPr>
          <w:p>
            <w:r>
              <w:rPr>
                <w:b/>
                <w:sz w:val="17"/>
              </w:rPr>
              <w:t>5,363</w:t>
            </w:r>
          </w:p>
        </w:tc>
        <w:tc>
          <w:tcPr>
            <w:tcW w:type="dxa" w:w="1440"/>
            <w:shd w:fill="FAFAFA" w:val="clear"/>
          </w:tcPr>
          <w:p>
            <w:r>
              <w:rPr>
                <w:sz w:val="17"/>
              </w:rPr>
              <w:t>5,690</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4,993</w:t>
            </w:r>
          </w:p>
        </w:tc>
        <w:tc>
          <w:tcPr>
            <w:tcW w:type="dxa" w:w="1440"/>
            <w:shd w:fill="FAFAFA" w:val="clear"/>
          </w:tcPr>
          <w:p>
            <w:r>
              <w:rPr>
                <w:b/>
                <w:sz w:val="17"/>
              </w:rPr>
              <w:t>5,350</w:t>
            </w:r>
          </w:p>
        </w:tc>
        <w:tc>
          <w:tcPr>
            <w:tcW w:type="dxa" w:w="1440"/>
            <w:shd w:fill="FAFAFA" w:val="clear"/>
          </w:tcPr>
          <w:p>
            <w:r>
              <w:rPr>
                <w:sz w:val="17"/>
              </w:rPr>
              <w:t>5,707</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4,952</w:t>
            </w:r>
          </w:p>
        </w:tc>
        <w:tc>
          <w:tcPr>
            <w:tcW w:type="dxa" w:w="1440"/>
            <w:shd w:fill="FFDCE0" w:val="clear"/>
          </w:tcPr>
          <w:p>
            <w:r>
              <w:rPr>
                <w:b/>
                <w:sz w:val="17"/>
              </w:rPr>
              <w:t>5,337</w:t>
            </w:r>
          </w:p>
        </w:tc>
        <w:tc>
          <w:tcPr>
            <w:tcW w:type="dxa" w:w="1440"/>
            <w:shd w:fill="FFDCE0" w:val="clear"/>
          </w:tcPr>
          <w:p>
            <w:r>
              <w:rPr>
                <w:sz w:val="17"/>
              </w:rPr>
              <w:t>5,721</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4,914</w:t>
            </w:r>
          </w:p>
        </w:tc>
        <w:tc>
          <w:tcPr>
            <w:tcW w:type="dxa" w:w="1440"/>
            <w:shd w:fill="FFDCE0" w:val="clear"/>
          </w:tcPr>
          <w:p>
            <w:r>
              <w:rPr>
                <w:b/>
                <w:sz w:val="17"/>
              </w:rPr>
              <w:t>5,324</w:t>
            </w:r>
          </w:p>
        </w:tc>
        <w:tc>
          <w:tcPr>
            <w:tcW w:type="dxa" w:w="1440"/>
            <w:shd w:fill="FFDCE0" w:val="clear"/>
          </w:tcPr>
          <w:p>
            <w:r>
              <w:rPr>
                <w:sz w:val="17"/>
              </w:rPr>
              <w:t>5,734</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4,877</w:t>
            </w:r>
          </w:p>
        </w:tc>
        <w:tc>
          <w:tcPr>
            <w:tcW w:type="dxa" w:w="1440"/>
            <w:shd w:fill="FFDCE0" w:val="clear"/>
          </w:tcPr>
          <w:p>
            <w:r>
              <w:rPr>
                <w:b/>
                <w:sz w:val="17"/>
              </w:rPr>
              <w:t>5,311</w:t>
            </w:r>
          </w:p>
        </w:tc>
        <w:tc>
          <w:tcPr>
            <w:tcW w:type="dxa" w:w="1440"/>
            <w:shd w:fill="FFDCE0" w:val="clear"/>
          </w:tcPr>
          <w:p>
            <w:r>
              <w:rPr>
                <w:sz w:val="17"/>
              </w:rPr>
              <w:t>5,745</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4,842</w:t>
            </w:r>
          </w:p>
        </w:tc>
        <w:tc>
          <w:tcPr>
            <w:tcW w:type="dxa" w:w="1440"/>
            <w:shd w:fill="FFDCE0" w:val="clear"/>
          </w:tcPr>
          <w:p>
            <w:r>
              <w:rPr>
                <w:b/>
                <w:sz w:val="17"/>
              </w:rPr>
              <w:t>5,298</w:t>
            </w:r>
          </w:p>
        </w:tc>
        <w:tc>
          <w:tcPr>
            <w:tcW w:type="dxa" w:w="1440"/>
            <w:shd w:fill="FFDCE0" w:val="clear"/>
          </w:tcPr>
          <w:p>
            <w:r>
              <w:rPr>
                <w:sz w:val="17"/>
              </w:rPr>
              <w:t>5,755</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113,36 milliards FCFA, positionnant la banque comme une valeur de taille moyenne sur la BRVM. Le BPA de 20 FCFA par action est extrêmement faible, ce qui explique le PER de 277,2x, un niveau exceptionnellement élevé comparé à la moyenne du marché BRVM (8-12x). Les investisseurs paient donc un prix très élevé pour des bénéfices actuels minimes, ce qui traduit une anticipation de redressement futur. Le P/B de 3,14x indique que le marché valorise la banque à plus de trois fois sa valeur comptable, une prime de croissance significative qui semble difficile à justifier au regard des fondamentaux actuels. Enfin, l'EV/EBITDA de 40,9x est très exigeant, suggérant que la valeur d'entreprise est largement supérieure à la capacité opérationnelle de génération de cash-flow de la banque. Ces ratios de valorisation sont tous à des niveaux qui appellent à une grande prudence.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BOAN a enregistré une progression spectaculaire de +92,92%, avec une légère hausse de +0,28% lors de la dernière séance, pour s'établir à 5 450 FCFA. Le cours a évolué dans une fourchette très large, entre un plus bas de 2 825 FCFA et un plus haut de 5 645 FCFA, démontrant une forte dynamique haussière. La moyenne du cours sur la période est de 4 283 FCFA, tandis que la médiane est de 4 080 FCFA, l'écart entre les deux indiquant une distribution légèrement asymétrique avec des valeurs extrêmes élevées. L'écart-type de 828 FCFA (CV=19,3%) révèle une dispersion modérée des prix autour de la moyenne. Le kurtosis négatif de -1,445 (platykurtique) indique une distribution aplatie avec une faible concentration des valeurs, tandis que le skewness de 0,153 confirme une distribution quasi symétrique. La volatilité annualisée de 39,5% est élevée (&gt;30%), ce qui positionne BOAN comme un titre à risque important, mais offrant un potentiel de rendement substantiel.</w:t>
      </w:r>
    </w:p>
    <w:p>
      <w:pPr>
        <w:spacing w:after="120" w:line="276" w:lineRule="auto" w:before="240"/>
      </w:pPr>
      <w:r>
        <w:rPr>
          <w:b/>
          <w:color w:val="003366"/>
          <w:sz w:val="24"/>
        </w:rPr>
        <w:t>**PARTIE 2 : ANALYSE TECHNIQUE DÉTAILLÉE**</w:t>
      </w:r>
    </w:p>
    <w:p>
      <w:pPr>
        <w:spacing w:after="120" w:line="276" w:lineRule="auto"/>
      </w:pPr>
      <w:r>
        <w:t>**Moyennes Mobiles** : Le cours actuel de 5 450 FCFA se situe nettement au-dessus de la MM20 (5 293 FCFA) et de la MM50 (5 013,4 FCFA), confirmant une tendance haussière solide à court et moyen terme. La configuration des moyennes mobiles, avec la MM20 au-dessus de la MM50, valide la dynamique positive et justifie la décision d'Achat.</w:t>
      </w:r>
    </w:p>
    <w:p>
      <w:pPr>
        <w:spacing w:after="120" w:line="276" w:lineRule="auto"/>
      </w:pPr>
      <w:r>
        <w:t>**Bandes de Bollinger** : Le prix évolue à 5 450 FCFA, proche de la borne supérieure (5 621 FCFA) et nettement au-dessus de la borne inférieure (4 964,7 FCFA). Cette position suggère une pression acheteuse soutenue, mais le resserrement des bandes indique une possible consolidation à venir. La décision Neutre reflète l'absence de signal directionnel fort.</w:t>
      </w:r>
    </w:p>
    <w:p>
      <w:pPr>
        <w:spacing w:after="120" w:line="276" w:lineRule="auto"/>
      </w:pPr>
      <w:r>
        <w:t>**MACD** : La valeur du MACD (129,48) est inférieure à son signal (137,08), indiquant un momentum baissier à court terme malgré la tendance haussière globale. Cette divergence négative suggère un essoufflement potentiel de la dynamique haussière, justifiant la décision de Vente.</w:t>
      </w:r>
    </w:p>
    <w:p>
      <w:pPr>
        <w:spacing w:after="120" w:line="276" w:lineRule="auto"/>
      </w:pPr>
      <w:r>
        <w:t>**RSI** : Avec une valeur de 69,88, le RSI est proche du seuil de surachat (70), indiquant que le titre est fortement sollicité mais pas encore en zone extrême. Cette situation appelle à la prudence, car un dépassement du seuil de 70 pourrait déclencher une correction. La décision Neutre est donc appropriée.</w:t>
      </w:r>
    </w:p>
    <w:p>
      <w:pPr>
        <w:spacing w:after="120" w:line="276" w:lineRule="auto"/>
      </w:pPr>
      <w:r>
        <w:t>**Stochastique** : Le %K (60,61) est légèrement supérieur au %D (58,25), indiquant un momentum haussier modéré sans croisement significatif. Les deux lignes évoluent en territoire neutre, ce qui ne fournit pas de signal directionnel clair, justifiant la décision Neutre.</w:t>
      </w:r>
    </w:p>
    <w:p>
      <w:pPr>
        <w:spacing w:after="120" w:line="276" w:lineRule="auto"/>
      </w:pPr>
      <w:r>
        <w:t>**Conclusion technique** : Les indicateurs techniques sont mitigés, avec une tendance haussière confirmée par les moyennes mobiles, mais des signaux de prudence émanant du MACD et du RSI proche du surachat. La configuration suggère que le titre pourrait consolider à court terme avant de poursuivre sa tendance haussière, ou subir une correction technique.</w:t>
      </w:r>
    </w:p>
    <w:p>
      <w:pPr>
        <w:spacing w:after="120" w:line="276" w:lineRule="auto" w:before="240"/>
      </w:pPr>
      <w:r>
        <w:rPr>
          <w:b/>
          <w:color w:val="003366"/>
          <w:sz w:val="24"/>
        </w:rPr>
        <w:t>**PARTIE 3 : ANALYSE FONDAMENTALE (SECTION CRITIQUE)**</w:t>
      </w:r>
    </w:p>
    <w:p>
      <w:pPr>
        <w:spacing w:after="120" w:line="276" w:lineRule="auto"/>
      </w:pPr>
      <w:r>
        <w:t>En 2025, le Produit Net Bancaire (PNB) de BOAN s'établit à 21,125 milliards FCFA, en légère baisse de -1,2% par rapport à 2024 (21,38 milliards FCFA). Le résultat net s'effondre à 409 millions FCFA, contre 5 002 millions FCFA en 2024, soit une chute vertigineuse de -91,8%. Cette dégradation se reflète dans les ratios de rentabilité : le ROE chute à 1,13% (contre 11,39% en 2024) et le ROA à 0,14% (contre 1,49% en 2024). Le coefficient d'exploitation de 74,37% est élevé (&gt;60%), indiquant une efficacité opérationnelle insuffisante. Le coût du risque de 67,30% est préoccupant, reflétant un portefeuille de crédits de qualité dégradée, avec un taux de créances en souffrance sectoriel de 24%. Les dépôts clientèle (183,28 milliards FCFA) couvrent les créances sur la clientèle (128,45 milliards FCFA), mais la banque affiche une trésorerie nette négative de -43,52 milliards FCFA. Le rapport annuel 2025 (daté du 31 décembre 2025) souligne l'impact d'une provision exceptionnelle de 4,8 milliards FCFA et d'une erreur comptable de 1,821 milliard FCFA. Cependant, le rapport du T1 2026 (daté du 31 mars 2026) montre un net redressement : le PNB progresse de +7,9% à 5 170 millions FCFA et le résultat net bondit de +28,9% à 1 467,3 millions FCFA, avec un coefficient d'exploitation ramené à 56,2%. Sur cette base, on estime que l'exercice 2026 pourrait voir un PNB autour de 22,3 milliards FCFA et un résultat net potentiellement multiplié par 6, conformément aux objectifs budgétaires de la direction.</w:t>
      </w:r>
    </w:p>
    <w:p>
      <w:pPr>
        <w:spacing w:after="120" w:line="276" w:lineRule="auto" w:before="240"/>
      </w:pPr>
      <w:r>
        <w:rPr>
          <w:b/>
          <w:color w:val="003366"/>
          <w:sz w:val="24"/>
        </w:rPr>
        <w:t>**PARTIE 4 : CONCLUSION D'INVESTISSEMENT**</w:t>
      </w:r>
    </w:p>
    <w:p>
      <w:pPr>
        <w:spacing w:after="120" w:line="276" w:lineRule="auto"/>
      </w:pPr>
      <w:r>
        <w:t>La valorisation de BOAN (PER de 277,2x, P/B de 3,14x, EV/EBITDA de 40,9x) est extrêmement exigeante et reflète une anticipation de redressement qui ne s'est pas encore matérialisée dans les bénéfices. Le comportement du cours (+92,9% sur 100 jours) montre une dynamique haussière spectaculaire, mais la volatilité élevée (39,5%) et le kurtosis platykurtique signalent un risque de retournement. Les signaux techniques sont mitigés : les moyennes mobiles confirment la tendance haussière, mais le MACD en divergence négative et le RSI proche du surachat suggèrent une consolidation à court terme. Les fondamentaux, bien que dégradés en 2025, montrent des signes encourageants de redressement au T1 2026, avec une amélioration notable de la rentabilité et de l'efficacité opérationnelle. Les prédictions IA (5 413 FCFA à J+1, puis baisse progressive à 5 363 FCFA à J+10) indiquent une légère correction à court terme, contredisant partiellement la tendance haussière récente. En synthèse, la convergence entre la valorisation excessive, les signaux techniques mitigés et les prédictions IA baissières suggère une prudence accrue. **Recommandation : CONSERVER**, avec un niveau de confiance Moyen et un risque global Élevé. L'horizon d'investissement optimal serait à moyen terme (3-12 mois), en attendant la confirmation du redressement fondamental sur plusieurs trimestres.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296.64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10,037 titres</w:t>
            </w:r>
          </w:p>
        </w:tc>
        <w:tc>
          <w:tcPr>
            <w:tcW w:type="dxa" w:w="2268"/>
            <w:shd w:fill="FFF2CC" w:val="clear"/>
          </w:tcPr>
          <w:p>
            <w:r>
              <w:rPr>
                <w:b/>
                <w:color w:val="503200"/>
                <w:sz w:val="16"/>
              </w:rPr>
              <w:t xml:space="preserve">Cours actuel : </w:t>
            </w:r>
            <w:r>
              <w:rPr>
                <w:color w:val="000000"/>
                <w:sz w:val="17"/>
              </w:rPr>
              <w:t>8,240 FCFA</w:t>
            </w:r>
          </w:p>
          <w:p>
            <w:r>
              <w:rPr>
                <w:b/>
                <w:color w:val="503200"/>
                <w:sz w:val="16"/>
              </w:rPr>
              <w:t xml:space="preserve">Var. 100 jours : </w:t>
            </w:r>
            <w:r>
              <w:rPr>
                <w:b/>
                <w:color w:val="007800"/>
                <w:sz w:val="17"/>
              </w:rPr>
              <w:t>+23.17%</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6,690 FCFA</w:t>
            </w:r>
          </w:p>
          <w:p>
            <w:r>
              <w:rPr>
                <w:b/>
                <w:color w:val="503200"/>
                <w:sz w:val="16"/>
              </w:rPr>
              <w:t xml:space="preserve">Volatilité ann. : </w:t>
            </w:r>
            <w:r>
              <w:rPr>
                <w:color w:val="000000"/>
                <w:sz w:val="17"/>
              </w:rPr>
              <w:t>24.5%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5.63% (Moyenne) — μ=7,497 FCFA, σ=422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β=0.2662 (Défensif) — Cov=0.000010, Var(idx)=0.000037, ρ=0.105,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10,037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7,816</w:t>
            </w:r>
          </w:p>
        </w:tc>
        <w:tc>
          <w:tcPr>
            <w:tcW w:type="dxa" w:w="1440"/>
            <w:shd w:fill="FFDCE0" w:val="clear"/>
          </w:tcPr>
          <w:p>
            <w:r>
              <w:rPr>
                <w:b/>
                <w:sz w:val="17"/>
              </w:rPr>
              <w:t>8,035</w:t>
            </w:r>
          </w:p>
        </w:tc>
        <w:tc>
          <w:tcPr>
            <w:tcW w:type="dxa" w:w="1440"/>
            <w:shd w:fill="FFDCE0" w:val="clear"/>
          </w:tcPr>
          <w:p>
            <w:r>
              <w:rPr>
                <w:sz w:val="17"/>
              </w:rPr>
              <w:t>8,254</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7,583</w:t>
            </w:r>
          </w:p>
        </w:tc>
        <w:tc>
          <w:tcPr>
            <w:tcW w:type="dxa" w:w="1440"/>
            <w:shd w:fill="FFDCE0" w:val="clear"/>
          </w:tcPr>
          <w:p>
            <w:r>
              <w:rPr>
                <w:b/>
                <w:sz w:val="17"/>
              </w:rPr>
              <w:t>7,887</w:t>
            </w:r>
          </w:p>
        </w:tc>
        <w:tc>
          <w:tcPr>
            <w:tcW w:type="dxa" w:w="1440"/>
            <w:shd w:fill="FFDCE0" w:val="clear"/>
          </w:tcPr>
          <w:p>
            <w:r>
              <w:rPr>
                <w:sz w:val="17"/>
              </w:rPr>
              <w:t>8,192</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7,382</w:t>
            </w:r>
          </w:p>
        </w:tc>
        <w:tc>
          <w:tcPr>
            <w:tcW w:type="dxa" w:w="1440"/>
            <w:shd w:fill="FFDCE0" w:val="clear"/>
          </w:tcPr>
          <w:p>
            <w:r>
              <w:rPr>
                <w:b/>
                <w:sz w:val="17"/>
              </w:rPr>
              <w:t>7,748</w:t>
            </w:r>
          </w:p>
        </w:tc>
        <w:tc>
          <w:tcPr>
            <w:tcW w:type="dxa" w:w="1440"/>
            <w:shd w:fill="FFDCE0" w:val="clear"/>
          </w:tcPr>
          <w:p>
            <w:r>
              <w:rPr>
                <w:sz w:val="17"/>
              </w:rPr>
              <w:t>8,114</w:t>
            </w:r>
          </w:p>
        </w:tc>
        <w:tc>
          <w:tcPr>
            <w:tcW w:type="dxa" w:w="1440"/>
            <w:shd w:fill="FFDCE0" w:val="clear"/>
          </w:tcPr>
          <w:p>
            <w:r>
              <w:rPr>
                <w:b/>
                <w:color w:val="C00000"/>
                <w:sz w:val="17"/>
              </w:rPr>
              <w:t>-6.0%</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7,205</w:t>
            </w:r>
          </w:p>
        </w:tc>
        <w:tc>
          <w:tcPr>
            <w:tcW w:type="dxa" w:w="1440"/>
            <w:shd w:fill="FFDCE0" w:val="clear"/>
          </w:tcPr>
          <w:p>
            <w:r>
              <w:rPr>
                <w:b/>
                <w:sz w:val="17"/>
              </w:rPr>
              <w:t>7,621</w:t>
            </w:r>
          </w:p>
        </w:tc>
        <w:tc>
          <w:tcPr>
            <w:tcW w:type="dxa" w:w="1440"/>
            <w:shd w:fill="FFDCE0" w:val="clear"/>
          </w:tcPr>
          <w:p>
            <w:r>
              <w:rPr>
                <w:sz w:val="17"/>
              </w:rPr>
              <w:t>8,036</w:t>
            </w:r>
          </w:p>
        </w:tc>
        <w:tc>
          <w:tcPr>
            <w:tcW w:type="dxa" w:w="1440"/>
            <w:shd w:fill="FFDCE0" w:val="clear"/>
          </w:tcPr>
          <w:p>
            <w:r>
              <w:rPr>
                <w:b/>
                <w:color w:val="C00000"/>
                <w:sz w:val="17"/>
              </w:rPr>
              <w:t>-7.5%</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7,045</w:t>
            </w:r>
          </w:p>
        </w:tc>
        <w:tc>
          <w:tcPr>
            <w:tcW w:type="dxa" w:w="1440"/>
            <w:shd w:fill="FFDCE0" w:val="clear"/>
          </w:tcPr>
          <w:p>
            <w:r>
              <w:rPr>
                <w:b/>
                <w:sz w:val="17"/>
              </w:rPr>
              <w:t>7,502</w:t>
            </w:r>
          </w:p>
        </w:tc>
        <w:tc>
          <w:tcPr>
            <w:tcW w:type="dxa" w:w="1440"/>
            <w:shd w:fill="FFDCE0" w:val="clear"/>
          </w:tcPr>
          <w:p>
            <w:r>
              <w:rPr>
                <w:sz w:val="17"/>
              </w:rPr>
              <w:t>7,960</w:t>
            </w:r>
          </w:p>
        </w:tc>
        <w:tc>
          <w:tcPr>
            <w:tcW w:type="dxa" w:w="1440"/>
            <w:shd w:fill="FFDCE0" w:val="clear"/>
          </w:tcPr>
          <w:p>
            <w:r>
              <w:rPr>
                <w:b/>
                <w:color w:val="C00000"/>
                <w:sz w:val="17"/>
              </w:rPr>
              <w:t>-9.0%</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6,897</w:t>
            </w:r>
          </w:p>
        </w:tc>
        <w:tc>
          <w:tcPr>
            <w:tcW w:type="dxa" w:w="1440"/>
            <w:shd w:fill="FFDCE0" w:val="clear"/>
          </w:tcPr>
          <w:p>
            <w:r>
              <w:rPr>
                <w:b/>
                <w:sz w:val="17"/>
              </w:rPr>
              <w:t>7,391</w:t>
            </w:r>
          </w:p>
        </w:tc>
        <w:tc>
          <w:tcPr>
            <w:tcW w:type="dxa" w:w="1440"/>
            <w:shd w:fill="FFDCE0" w:val="clear"/>
          </w:tcPr>
          <w:p>
            <w:r>
              <w:rPr>
                <w:sz w:val="17"/>
              </w:rPr>
              <w:t>7,885</w:t>
            </w:r>
          </w:p>
        </w:tc>
        <w:tc>
          <w:tcPr>
            <w:tcW w:type="dxa" w:w="1440"/>
            <w:shd w:fill="FFDCE0" w:val="clear"/>
          </w:tcPr>
          <w:p>
            <w:r>
              <w:rPr>
                <w:b/>
                <w:color w:val="C00000"/>
                <w:sz w:val="17"/>
              </w:rPr>
              <w:t>-10.3%</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6,761</w:t>
            </w:r>
          </w:p>
        </w:tc>
        <w:tc>
          <w:tcPr>
            <w:tcW w:type="dxa" w:w="1440"/>
            <w:shd w:fill="FFDCE0" w:val="clear"/>
          </w:tcPr>
          <w:p>
            <w:r>
              <w:rPr>
                <w:b/>
                <w:sz w:val="17"/>
              </w:rPr>
              <w:t>7,286</w:t>
            </w:r>
          </w:p>
        </w:tc>
        <w:tc>
          <w:tcPr>
            <w:tcW w:type="dxa" w:w="1440"/>
            <w:shd w:fill="FFDCE0" w:val="clear"/>
          </w:tcPr>
          <w:p>
            <w:r>
              <w:rPr>
                <w:sz w:val="17"/>
              </w:rPr>
              <w:t>7,812</w:t>
            </w:r>
          </w:p>
        </w:tc>
        <w:tc>
          <w:tcPr>
            <w:tcW w:type="dxa" w:w="1440"/>
            <w:shd w:fill="FFDCE0" w:val="clear"/>
          </w:tcPr>
          <w:p>
            <w:r>
              <w:rPr>
                <w:b/>
                <w:color w:val="C00000"/>
                <w:sz w:val="17"/>
              </w:rPr>
              <w:t>-11.6%</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6,633</w:t>
            </w:r>
          </w:p>
        </w:tc>
        <w:tc>
          <w:tcPr>
            <w:tcW w:type="dxa" w:w="1440"/>
            <w:shd w:fill="FFDCE0" w:val="clear"/>
          </w:tcPr>
          <w:p>
            <w:r>
              <w:rPr>
                <w:b/>
                <w:sz w:val="17"/>
              </w:rPr>
              <w:t>7,188</w:t>
            </w:r>
          </w:p>
        </w:tc>
        <w:tc>
          <w:tcPr>
            <w:tcW w:type="dxa" w:w="1440"/>
            <w:shd w:fill="FFDCE0" w:val="clear"/>
          </w:tcPr>
          <w:p>
            <w:r>
              <w:rPr>
                <w:sz w:val="17"/>
              </w:rPr>
              <w:t>7,742</w:t>
            </w:r>
          </w:p>
        </w:tc>
        <w:tc>
          <w:tcPr>
            <w:tcW w:type="dxa" w:w="1440"/>
            <w:shd w:fill="FFDCE0" w:val="clear"/>
          </w:tcPr>
          <w:p>
            <w:r>
              <w:rPr>
                <w:b/>
                <w:color w:val="C00000"/>
                <w:sz w:val="17"/>
              </w:rPr>
              <w:t>-12.8%</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6,514</w:t>
            </w:r>
          </w:p>
        </w:tc>
        <w:tc>
          <w:tcPr>
            <w:tcW w:type="dxa" w:w="1440"/>
            <w:shd w:fill="FFDCE0" w:val="clear"/>
          </w:tcPr>
          <w:p>
            <w:r>
              <w:rPr>
                <w:b/>
                <w:sz w:val="17"/>
              </w:rPr>
              <w:t>7,094</w:t>
            </w:r>
          </w:p>
        </w:tc>
        <w:tc>
          <w:tcPr>
            <w:tcW w:type="dxa" w:w="1440"/>
            <w:shd w:fill="FFDCE0" w:val="clear"/>
          </w:tcPr>
          <w:p>
            <w:r>
              <w:rPr>
                <w:sz w:val="17"/>
              </w:rPr>
              <w:t>7,675</w:t>
            </w:r>
          </w:p>
        </w:tc>
        <w:tc>
          <w:tcPr>
            <w:tcW w:type="dxa" w:w="1440"/>
            <w:shd w:fill="FFDCE0" w:val="clear"/>
          </w:tcPr>
          <w:p>
            <w:r>
              <w:rPr>
                <w:b/>
                <w:color w:val="C00000"/>
                <w:sz w:val="17"/>
              </w:rPr>
              <w:t>-13.9%</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6,402</w:t>
            </w:r>
          </w:p>
        </w:tc>
        <w:tc>
          <w:tcPr>
            <w:tcW w:type="dxa" w:w="1440"/>
            <w:shd w:fill="FFDCE0" w:val="clear"/>
          </w:tcPr>
          <w:p>
            <w:r>
              <w:rPr>
                <w:b/>
                <w:sz w:val="17"/>
              </w:rPr>
              <w:t>7,006</w:t>
            </w:r>
          </w:p>
        </w:tc>
        <w:tc>
          <w:tcPr>
            <w:tcW w:type="dxa" w:w="1440"/>
            <w:shd w:fill="FFDCE0" w:val="clear"/>
          </w:tcPr>
          <w:p>
            <w:r>
              <w:rPr>
                <w:sz w:val="17"/>
              </w:rPr>
              <w:t>7,610</w:t>
            </w:r>
          </w:p>
        </w:tc>
        <w:tc>
          <w:tcPr>
            <w:tcW w:type="dxa" w:w="1440"/>
            <w:shd w:fill="FFDCE0" w:val="clear"/>
          </w:tcPr>
          <w:p>
            <w:r>
              <w:rPr>
                <w:b/>
                <w:color w:val="C00000"/>
                <w:sz w:val="17"/>
              </w:rPr>
              <w:t>-15.0%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Absolument. Voici un rapport d'analyse structuré et professionnel pour l'action BOAS,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296,64 milliards FCFA positionne BOAS comme une valeur de premier plan sur la BRVM. Avec un BPA de 608 FCFA, le titre se négocie à un PER de 13,5x, ce qui est légèrement supérieur à la moyenne historique de la place (~8-12x), suggérant que le marché intègre déjà une prime de croissance. Cette prime est confirmée par un P/B de 3,07x, signifiant que les investisseurs valorisent l'actif net comptable à plus de trois fois sa valeur, une marque de confiance dans la création de valeur future. Enfin, un EV/EBITDA de 8,8x, dans la fourchette haute mais raisonnable (5-10x), indique que la valeur totale de l'entreprise reste cohérente avec sa capacité opérationnelle à générer des bénéfices avant intérêts, impôts et amortissements.</w:t>
      </w:r>
    </w:p>
    <w:p>
      <w:pPr>
        <w:spacing w:after="120" w:line="276" w:lineRule="auto"/>
      </w:pPr>
      <w:r>
        <w:t>### PARTIE 1 : ANALYSE DU COURS — STATISTIQUES ET ÉVOLUTION (100 derniers jours)</w:t>
      </w:r>
    </w:p>
    <w:p>
      <w:pPr>
        <w:spacing w:after="120" w:line="276" w:lineRule="auto"/>
      </w:pPr>
      <w:r>
        <w:t>Sur les 100 derniers jours, l'action BOAS a affiché une performance remarquable de +23,17%, culminant à 8 500 FCFA avant de clôturer à 8 240 FCFA, avec un léger repli de -0,72% lors de la dernière séance. Cette tendance haussière est soutenue par une moyenne (7 497 FCFA) et une médiane (7 442 FCFA) très proches, indiquant une distribution des cours relativement symétrique, ce que confirme le skewness de 0,234. La dispersion des prix est faible (écart-type de 424 FCFA, CV de 5,7%), et le kurtosis négatif (-0,126) suggère une distribution mésokurtique sans risque de mouvements extrêmes. La volatilité annualisée de 24,5% classe le titre dans une catégorie modérée, offrant un équilibre entre potentiel de rendement et stabilité relative.</w:t>
      </w:r>
    </w:p>
    <w:p>
      <w:pPr>
        <w:spacing w:after="120" w:line="276" w:lineRule="auto"/>
      </w:pPr>
      <w:r>
        <w:t>### PARTIE 2 : ANALYSE TECHNIQUE DÉTAILLÉE</w:t>
      </w:r>
    </w:p>
    <w:p>
      <w:pPr>
        <w:spacing w:after="120" w:line="276" w:lineRule="auto"/>
      </w:pPr>
      <w:r>
        <w:t>**Moyennes Mobiles**: Le cours actuel (8 240 FCFA) est nettement au-dessus de sa MM20 (8 035,5 FCFA) et de sa MM50 (7 719,2 FCFA). Cette configuration haussière, où les moyennes sont orientées à la hausse et le prix les dépasse, confirme la solidité de la tendance de fond et justifie le signal d'achat.</w:t>
      </w:r>
    </w:p>
    <w:p>
      <w:pPr>
        <w:spacing w:after="120" w:line="276" w:lineRule="auto"/>
      </w:pPr>
      <w:r>
        <w:t>**Bandes de Bollinger**: Le prix se situe à l'intérieur des bandes, plus près de la borne supérieure (8 643,5 FCFA) que de la borne inférieure (7 427,4 FCFA). Cela indique une pression acheteuse persistante sans que le titre ne soit encore en situation de surachat extrême, d'où un signal neutre, mais avec un biais positif.</w:t>
      </w:r>
    </w:p>
    <w:p>
      <w:pPr>
        <w:spacing w:after="120" w:line="276" w:lineRule="auto"/>
      </w:pPr>
      <w:r>
        <w:t>**MACD**: Le MACD (176,06) est positif et évolue au-dessus de sa ligne de signal (172,51). Cette configuration, bien que récente, confirme la dynamique haussière du momentum. La convergence positive des deux lignes indique que la pression acheteuse reste dominante, justifiant le signal d'achat.</w:t>
      </w:r>
    </w:p>
    <w:p>
      <w:pPr>
        <w:spacing w:after="120" w:line="276" w:lineRule="auto"/>
      </w:pPr>
      <w:r>
        <w:t>**RSI**: Le RSI à 72,88 est un signal d'alerte majeur. Il franchit le seuil de surachat (70), indiquant que le titre est techniquement surévalué à court terme. Cela suggère un essoufflement potentiel de la hausse et un risque de correction, d'où le signal de vente.</w:t>
      </w:r>
    </w:p>
    <w:p>
      <w:pPr>
        <w:spacing w:after="120" w:line="276" w:lineRule="auto"/>
      </w:pPr>
      <w:r>
        <w:t>**Stochastique**: Avec un %K (62,86) inférieur à son %D (68,59), l'oscillateur stochastique montre un affaiblissement du momentum haussier à très court terme. Ce croisement baissant, bien que les deux lignes restent en zone positive, indique une consolidation probable, justifiant le signal neutre.</w:t>
      </w:r>
    </w:p>
    <w:p>
      <w:pPr>
        <w:spacing w:after="120" w:line="276" w:lineRule="auto"/>
      </w:pPr>
      <w:r>
        <w:t>**Conclusion technique**: Les indicateurs de tendance (MM, MACD) sont résolument positifs, mais les oscillateurs de momentum (RSI, Stochastique) signalent une fatigue du mouvement haussier à court terme. Le titre est dans une phase de consolidation saine après une forte progression. La tendance de fond reste haussière, mais un repli technique vers la zone des 8 000-8 035 FCFA (MM20) est envisageable avant la poursuite de la hausse.</w:t>
      </w:r>
    </w:p>
    <w:p>
      <w:pPr>
        <w:spacing w:after="120" w:line="276" w:lineRule="auto"/>
      </w:pPr>
      <w:r>
        <w:t>### PARTIE 3 : ANALYSE FONDAMENTALE (SECTION CRITIQUE)</w:t>
      </w:r>
    </w:p>
    <w:p>
      <w:pPr>
        <w:spacing w:after="120" w:line="276" w:lineRule="auto"/>
      </w:pPr>
      <w:r>
        <w:t>En 2025, la banque affiche des fondamentaux solides avec un Produit Net Bancaire (PNB) de 51,926 milliards FCFA et un résultat net de 21,905 milliards FCFA. Cette performance se traduit par un ROE exceptionnel de 22,69% et un ROA sain de 2,62%. L'efficacité opérationnelle est remarquable, avec un coefficient d'exploitation de 44,02%, signe d'une excellente maîtrise des charges. Le coût du risque, s'établissant à 23,3% des charges financières, reste un point de vigilance. Les dépôts clients (686,927 Mds) financent largement les crédits à la clientèle (386,424 Mds), démontrant une forte capacité de transformation. Les rapports trimestriels de 2025 confirment cette dynamique : au 30 septembre 2025, le PNB cumulé progressait de 6,71% et le résultat net de 10,01% sur un an. Cette tendance s'est accélérée au T1 2026, avec un PNB en hausse de 6,82% et un résultat net en progression de 9,78% par rapport au T1 2025, atteignant 5,741 milliards FCFA. Sur la base de cette performance trimestrielle, on estime que l'exercice 2026 pourrait voir le résultat net annuel dépasser les 23 milliards FCFA, confirmant la solidité et la croissance régulière de la banque.</w:t>
      </w:r>
    </w:p>
    <w:p>
      <w:pPr>
        <w:spacing w:after="120" w:line="276" w:lineRule="auto"/>
      </w:pPr>
      <w:r>
        <w:t>### PARTIE 4 : CONCLUSION D'INVESTISSEMENT</w:t>
      </w:r>
    </w:p>
    <w:p>
      <w:pPr>
        <w:spacing w:after="120" w:line="276" w:lineRule="auto"/>
      </w:pPr>
      <w:r>
        <w:t>La valorisation actuelle (PER 13,5x, P/B 3,07x) intègre une prime de croissance, mais celle-ci est justifiée par la qualité exceptionnelle des fondamentaux (ROE &gt;22%, coefficient d'exploitation &lt;45%) et une dynamique de croissance soutenue. Le comportement du cours est sain, avec une tendance haussière robuste et une volatilité modérée. Les signaux techniques sont partagés : la tendance de fond (MM, MACD) reste positive, mais le RSI en zone de surachat suggère un risque de consolidation à court terme. Les fondamentaux, appuyés par les excellents résultats du T1 2026, plaident pour une poursuite de la création de valeur à moyen et long terme. Les prédictions IA, qui anticipent un repli vers 7 500 FCFA, semblent refléter ce besoin de consolidation technique plutôt qu'une détérioration fondamentale. Par conséquent, notre recommandation est un **ACHAT** sur les replis, avec un niveau de confiance **Élevé**. Le risque global est jugé **Moyen**, principalement lié à un potentiel de correction technique et au coût du risque. L'horizon d'investissement optimal est le **moyen terme (3-12 mois)**, pour capitaliser sur la solidité des résultats après une éventuelle phase de digestion des gains récents.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2,186 titres</w:t>
            </w:r>
          </w:p>
        </w:tc>
        <w:tc>
          <w:tcPr>
            <w:tcW w:type="dxa" w:w="2268"/>
            <w:shd w:fill="FFF2CC" w:val="clear"/>
          </w:tcPr>
          <w:p>
            <w:r>
              <w:rPr>
                <w:b/>
                <w:color w:val="503200"/>
                <w:sz w:val="16"/>
              </w:rPr>
              <w:t xml:space="preserve">Cours actuel : </w:t>
            </w:r>
            <w:r>
              <w:rPr>
                <w:color w:val="000000"/>
                <w:sz w:val="17"/>
              </w:rPr>
              <w:t>3,540 FCFA</w:t>
            </w:r>
          </w:p>
          <w:p>
            <w:r>
              <w:rPr>
                <w:b/>
                <w:color w:val="503200"/>
                <w:sz w:val="16"/>
              </w:rPr>
              <w:t xml:space="preserve">Var. 100 jours : </w:t>
            </w:r>
            <w:r>
              <w:rPr>
                <w:b/>
                <w:color w:val="B40000"/>
                <w:sz w:val="17"/>
              </w:rPr>
              <w:t>-18.43%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49.0%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7.36% (Moyenne) — μ=3,742 FCFA, σ=275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β=0.3491 (Défensif) — Cov=0.000013, Var(idx)=0.000037, ρ=0.069,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σ_j=3.09%/j (Modérée) — Vol. annualisée≈49.0%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2026-09-07</w:t>
            </w:r>
          </w:p>
        </w:tc>
        <w:tc>
          <w:tcPr>
            <w:tcW w:type="dxa" w:w="1440"/>
            <w:shd w:fill="C6EFCE" w:val="clear"/>
          </w:tcPr>
          <w:p>
            <w:r>
              <w:rPr>
                <w:sz w:val="17"/>
              </w:rPr>
              <w:t>3,579</w:t>
            </w:r>
          </w:p>
        </w:tc>
        <w:tc>
          <w:tcPr>
            <w:tcW w:type="dxa" w:w="1440"/>
            <w:shd w:fill="C6EFCE" w:val="clear"/>
          </w:tcPr>
          <w:p>
            <w:r>
              <w:rPr>
                <w:b/>
                <w:sz w:val="17"/>
              </w:rPr>
              <w:t>3,702</w:t>
            </w:r>
          </w:p>
        </w:tc>
        <w:tc>
          <w:tcPr>
            <w:tcW w:type="dxa" w:w="1440"/>
            <w:shd w:fill="C6EFCE" w:val="clear"/>
          </w:tcPr>
          <w:p>
            <w:r>
              <w:rPr>
                <w:sz w:val="17"/>
              </w:rPr>
              <w:t>3,826</w:t>
            </w:r>
          </w:p>
        </w:tc>
        <w:tc>
          <w:tcPr>
            <w:tcW w:type="dxa" w:w="1440"/>
            <w:shd w:fill="C6EFCE" w:val="clear"/>
          </w:tcPr>
          <w:p>
            <w:r>
              <w:rPr>
                <w:b/>
                <w:color w:val="008000"/>
                <w:sz w:val="17"/>
              </w:rPr>
              <w:t>+4.6%</w:t>
            </w:r>
          </w:p>
        </w:tc>
      </w:tr>
      <w:tr>
        <w:tc>
          <w:tcPr>
            <w:tcW w:type="dxa" w:w="1440"/>
            <w:shd w:fill="C6EFCE" w:val="clear"/>
          </w:tcPr>
          <w:p>
            <w:r>
              <w:rPr>
                <w:sz w:val="17"/>
              </w:rPr>
              <w:t>J+2  Moyenne</w:t>
            </w:r>
          </w:p>
        </w:tc>
        <w:tc>
          <w:tcPr>
            <w:tcW w:type="dxa" w:w="1440"/>
            <w:shd w:fill="C6EFCE" w:val="clear"/>
          </w:tcPr>
          <w:p>
            <w:r>
              <w:rPr>
                <w:sz w:val="17"/>
              </w:rPr>
              <w:t>2026-09-08</w:t>
            </w:r>
          </w:p>
        </w:tc>
        <w:tc>
          <w:tcPr>
            <w:tcW w:type="dxa" w:w="1440"/>
            <w:shd w:fill="C6EFCE" w:val="clear"/>
          </w:tcPr>
          <w:p>
            <w:r>
              <w:rPr>
                <w:sz w:val="17"/>
              </w:rPr>
              <w:t>3,673</w:t>
            </w:r>
          </w:p>
        </w:tc>
        <w:tc>
          <w:tcPr>
            <w:tcW w:type="dxa" w:w="1440"/>
            <w:shd w:fill="C6EFCE" w:val="clear"/>
          </w:tcPr>
          <w:p>
            <w:r>
              <w:rPr>
                <w:b/>
                <w:sz w:val="17"/>
              </w:rPr>
              <w:t>3,855</w:t>
            </w:r>
          </w:p>
        </w:tc>
        <w:tc>
          <w:tcPr>
            <w:tcW w:type="dxa" w:w="1440"/>
            <w:shd w:fill="C6EFCE" w:val="clear"/>
          </w:tcPr>
          <w:p>
            <w:r>
              <w:rPr>
                <w:sz w:val="17"/>
              </w:rPr>
              <w:t>4,038</w:t>
            </w:r>
          </w:p>
        </w:tc>
        <w:tc>
          <w:tcPr>
            <w:tcW w:type="dxa" w:w="1440"/>
            <w:shd w:fill="C6EFCE" w:val="clear"/>
          </w:tcPr>
          <w:p>
            <w:r>
              <w:rPr>
                <w:b/>
                <w:color w:val="008000"/>
                <w:sz w:val="17"/>
              </w:rPr>
              <w:t>+8.9%</w:t>
            </w:r>
          </w:p>
        </w:tc>
      </w:tr>
      <w:tr>
        <w:tc>
          <w:tcPr>
            <w:tcW w:type="dxa" w:w="1440"/>
            <w:shd w:fill="C6EFCE" w:val="clear"/>
          </w:tcPr>
          <w:p>
            <w:r>
              <w:rPr>
                <w:sz w:val="17"/>
              </w:rPr>
              <w:t>J+3  Moyenne</w:t>
            </w:r>
          </w:p>
        </w:tc>
        <w:tc>
          <w:tcPr>
            <w:tcW w:type="dxa" w:w="1440"/>
            <w:shd w:fill="C6EFCE" w:val="clear"/>
          </w:tcPr>
          <w:p>
            <w:r>
              <w:rPr>
                <w:sz w:val="17"/>
              </w:rPr>
              <w:t>2026-09-09</w:t>
            </w:r>
          </w:p>
        </w:tc>
        <w:tc>
          <w:tcPr>
            <w:tcW w:type="dxa" w:w="1440"/>
            <w:shd w:fill="C6EFCE" w:val="clear"/>
          </w:tcPr>
          <w:p>
            <w:r>
              <w:rPr>
                <w:sz w:val="17"/>
              </w:rPr>
              <w:t>3,804</w:t>
            </w:r>
          </w:p>
        </w:tc>
        <w:tc>
          <w:tcPr>
            <w:tcW w:type="dxa" w:w="1440"/>
            <w:shd w:fill="C6EFCE" w:val="clear"/>
          </w:tcPr>
          <w:p>
            <w:r>
              <w:rPr>
                <w:b/>
                <w:sz w:val="17"/>
              </w:rPr>
              <w:t>4,038</w:t>
            </w:r>
          </w:p>
        </w:tc>
        <w:tc>
          <w:tcPr>
            <w:tcW w:type="dxa" w:w="1440"/>
            <w:shd w:fill="C6EFCE" w:val="clear"/>
          </w:tcPr>
          <w:p>
            <w:r>
              <w:rPr>
                <w:sz w:val="17"/>
              </w:rPr>
              <w:t>4,272</w:t>
            </w:r>
          </w:p>
        </w:tc>
        <w:tc>
          <w:tcPr>
            <w:tcW w:type="dxa" w:w="1440"/>
            <w:shd w:fill="C6EFCE" w:val="clear"/>
          </w:tcPr>
          <w:p>
            <w:r>
              <w:rPr>
                <w:b/>
                <w:color w:val="008000"/>
                <w:sz w:val="17"/>
              </w:rPr>
              <w:t>+14.1%</w:t>
            </w:r>
          </w:p>
        </w:tc>
      </w:tr>
      <w:tr>
        <w:tc>
          <w:tcPr>
            <w:tcW w:type="dxa" w:w="1440"/>
            <w:shd w:fill="C6EFCE" w:val="clear"/>
          </w:tcPr>
          <w:p>
            <w:r>
              <w:rPr>
                <w:sz w:val="17"/>
              </w:rPr>
              <w:t>J+4  ⭐</w:t>
            </w:r>
          </w:p>
        </w:tc>
        <w:tc>
          <w:tcPr>
            <w:tcW w:type="dxa" w:w="1440"/>
            <w:shd w:fill="C6EFCE" w:val="clear"/>
          </w:tcPr>
          <w:p>
            <w:r>
              <w:rPr>
                <w:sz w:val="17"/>
              </w:rPr>
              <w:t>2026-09-10</w:t>
            </w:r>
          </w:p>
        </w:tc>
        <w:tc>
          <w:tcPr>
            <w:tcW w:type="dxa" w:w="1440"/>
            <w:shd w:fill="C6EFCE" w:val="clear"/>
          </w:tcPr>
          <w:p>
            <w:r>
              <w:rPr>
                <w:sz w:val="17"/>
              </w:rPr>
              <w:t>3,962</w:t>
            </w:r>
          </w:p>
        </w:tc>
        <w:tc>
          <w:tcPr>
            <w:tcW w:type="dxa" w:w="1440"/>
            <w:shd w:fill="C6EFCE" w:val="clear"/>
          </w:tcPr>
          <w:p>
            <w:r>
              <w:rPr>
                <w:b/>
                <w:sz w:val="17"/>
              </w:rPr>
              <w:t>4,246</w:t>
            </w:r>
          </w:p>
        </w:tc>
        <w:tc>
          <w:tcPr>
            <w:tcW w:type="dxa" w:w="1440"/>
            <w:shd w:fill="C6EFCE" w:val="clear"/>
          </w:tcPr>
          <w:p>
            <w:r>
              <w:rPr>
                <w:sz w:val="17"/>
              </w:rPr>
              <w:t>4,530</w:t>
            </w:r>
          </w:p>
        </w:tc>
        <w:tc>
          <w:tcPr>
            <w:tcW w:type="dxa" w:w="1440"/>
            <w:shd w:fill="C6EFCE" w:val="clear"/>
          </w:tcPr>
          <w:p>
            <w:r>
              <w:rPr>
                <w:b/>
                <w:color w:val="008000"/>
                <w:sz w:val="17"/>
              </w:rPr>
              <w:t>+19.9%</w:t>
            </w:r>
          </w:p>
        </w:tc>
      </w:tr>
      <w:tr>
        <w:tc>
          <w:tcPr>
            <w:tcW w:type="dxa" w:w="1440"/>
            <w:shd w:fill="C6EFCE" w:val="clear"/>
          </w:tcPr>
          <w:p>
            <w:r>
              <w:rPr>
                <w:sz w:val="17"/>
              </w:rPr>
              <w:t>J+5  ⭐</w:t>
            </w:r>
          </w:p>
        </w:tc>
        <w:tc>
          <w:tcPr>
            <w:tcW w:type="dxa" w:w="1440"/>
            <w:shd w:fill="C6EFCE" w:val="clear"/>
          </w:tcPr>
          <w:p>
            <w:r>
              <w:rPr>
                <w:sz w:val="17"/>
              </w:rPr>
              <w:t>2026-09-11</w:t>
            </w:r>
          </w:p>
        </w:tc>
        <w:tc>
          <w:tcPr>
            <w:tcW w:type="dxa" w:w="1440"/>
            <w:shd w:fill="C6EFCE" w:val="clear"/>
          </w:tcPr>
          <w:p>
            <w:r>
              <w:rPr>
                <w:sz w:val="17"/>
              </w:rPr>
              <w:t>4,145</w:t>
            </w:r>
          </w:p>
        </w:tc>
        <w:tc>
          <w:tcPr>
            <w:tcW w:type="dxa" w:w="1440"/>
            <w:shd w:fill="C6EFCE" w:val="clear"/>
          </w:tcPr>
          <w:p>
            <w:r>
              <w:rPr>
                <w:b/>
                <w:sz w:val="17"/>
              </w:rPr>
              <w:t>4,480</w:t>
            </w:r>
          </w:p>
        </w:tc>
        <w:tc>
          <w:tcPr>
            <w:tcW w:type="dxa" w:w="1440"/>
            <w:shd w:fill="C6EFCE" w:val="clear"/>
          </w:tcPr>
          <w:p>
            <w:r>
              <w:rPr>
                <w:sz w:val="17"/>
              </w:rPr>
              <w:t>4,815</w:t>
            </w:r>
          </w:p>
        </w:tc>
        <w:tc>
          <w:tcPr>
            <w:tcW w:type="dxa" w:w="1440"/>
            <w:shd w:fill="C6EFCE" w:val="clear"/>
          </w:tcPr>
          <w:p>
            <w:r>
              <w:rPr>
                <w:b/>
                <w:color w:val="008000"/>
                <w:sz w:val="17"/>
              </w:rPr>
              <w:t>+26.6%</w:t>
            </w:r>
          </w:p>
        </w:tc>
      </w:tr>
      <w:tr>
        <w:tc>
          <w:tcPr>
            <w:tcW w:type="dxa" w:w="1440"/>
            <w:shd w:fill="C6EFCE" w:val="clear"/>
          </w:tcPr>
          <w:p>
            <w:r>
              <w:rPr>
                <w:sz w:val="17"/>
              </w:rPr>
              <w:t>J+6  ⭐</w:t>
            </w:r>
          </w:p>
        </w:tc>
        <w:tc>
          <w:tcPr>
            <w:tcW w:type="dxa" w:w="1440"/>
            <w:shd w:fill="C6EFCE" w:val="clear"/>
          </w:tcPr>
          <w:p>
            <w:r>
              <w:rPr>
                <w:sz w:val="17"/>
              </w:rPr>
              <w:t>2026-09-14</w:t>
            </w:r>
          </w:p>
        </w:tc>
        <w:tc>
          <w:tcPr>
            <w:tcW w:type="dxa" w:w="1440"/>
            <w:shd w:fill="C6EFCE" w:val="clear"/>
          </w:tcPr>
          <w:p>
            <w:r>
              <w:rPr>
                <w:sz w:val="17"/>
              </w:rPr>
              <w:t>4,359</w:t>
            </w:r>
          </w:p>
        </w:tc>
        <w:tc>
          <w:tcPr>
            <w:tcW w:type="dxa" w:w="1440"/>
            <w:shd w:fill="C6EFCE" w:val="clear"/>
          </w:tcPr>
          <w:p>
            <w:r>
              <w:rPr>
                <w:b/>
                <w:sz w:val="17"/>
              </w:rPr>
              <w:t>4,748</w:t>
            </w:r>
          </w:p>
        </w:tc>
        <w:tc>
          <w:tcPr>
            <w:tcW w:type="dxa" w:w="1440"/>
            <w:shd w:fill="C6EFCE" w:val="clear"/>
          </w:tcPr>
          <w:p>
            <w:r>
              <w:rPr>
                <w:sz w:val="17"/>
              </w:rPr>
              <w:t>5,137</w:t>
            </w:r>
          </w:p>
        </w:tc>
        <w:tc>
          <w:tcPr>
            <w:tcW w:type="dxa" w:w="1440"/>
            <w:shd w:fill="C6EFCE" w:val="clear"/>
          </w:tcPr>
          <w:p>
            <w:r>
              <w:rPr>
                <w:b/>
                <w:color w:val="008000"/>
                <w:sz w:val="17"/>
              </w:rPr>
              <w:t>+34.1%</w:t>
            </w:r>
          </w:p>
        </w:tc>
      </w:tr>
      <w:tr>
        <w:tc>
          <w:tcPr>
            <w:tcW w:type="dxa" w:w="1440"/>
            <w:shd w:fill="C6EFCE" w:val="clear"/>
          </w:tcPr>
          <w:p>
            <w:r>
              <w:rPr>
                <w:sz w:val="17"/>
              </w:rPr>
              <w:t>J+7  ⭐</w:t>
            </w:r>
          </w:p>
        </w:tc>
        <w:tc>
          <w:tcPr>
            <w:tcW w:type="dxa" w:w="1440"/>
            <w:shd w:fill="C6EFCE" w:val="clear"/>
          </w:tcPr>
          <w:p>
            <w:r>
              <w:rPr>
                <w:sz w:val="17"/>
              </w:rPr>
              <w:t>2026-09-15</w:t>
            </w:r>
          </w:p>
        </w:tc>
        <w:tc>
          <w:tcPr>
            <w:tcW w:type="dxa" w:w="1440"/>
            <w:shd w:fill="C6EFCE" w:val="clear"/>
          </w:tcPr>
          <w:p>
            <w:r>
              <w:rPr>
                <w:sz w:val="17"/>
              </w:rPr>
              <w:t>4,612</w:t>
            </w:r>
          </w:p>
        </w:tc>
        <w:tc>
          <w:tcPr>
            <w:tcW w:type="dxa" w:w="1440"/>
            <w:shd w:fill="C6EFCE" w:val="clear"/>
          </w:tcPr>
          <w:p>
            <w:r>
              <w:rPr>
                <w:b/>
                <w:sz w:val="17"/>
              </w:rPr>
              <w:t>5,059</w:t>
            </w:r>
          </w:p>
        </w:tc>
        <w:tc>
          <w:tcPr>
            <w:tcW w:type="dxa" w:w="1440"/>
            <w:shd w:fill="C6EFCE" w:val="clear"/>
          </w:tcPr>
          <w:p>
            <w:r>
              <w:rPr>
                <w:sz w:val="17"/>
              </w:rPr>
              <w:t>5,507</w:t>
            </w:r>
          </w:p>
        </w:tc>
        <w:tc>
          <w:tcPr>
            <w:tcW w:type="dxa" w:w="1440"/>
            <w:shd w:fill="C6EFCE" w:val="clear"/>
          </w:tcPr>
          <w:p>
            <w:r>
              <w:rPr>
                <w:b/>
                <w:color w:val="008000"/>
                <w:sz w:val="17"/>
              </w:rPr>
              <w:t>+42.9%</w:t>
            </w:r>
          </w:p>
        </w:tc>
      </w:tr>
      <w:tr>
        <w:tc>
          <w:tcPr>
            <w:tcW w:type="dxa" w:w="1440"/>
            <w:shd w:fill="C6EFCE" w:val="clear"/>
          </w:tcPr>
          <w:p>
            <w:r>
              <w:rPr>
                <w:sz w:val="17"/>
              </w:rPr>
              <w:t>J+8  ⭐</w:t>
            </w:r>
          </w:p>
        </w:tc>
        <w:tc>
          <w:tcPr>
            <w:tcW w:type="dxa" w:w="1440"/>
            <w:shd w:fill="C6EFCE" w:val="clear"/>
          </w:tcPr>
          <w:p>
            <w:r>
              <w:rPr>
                <w:sz w:val="17"/>
              </w:rPr>
              <w:t>2026-09-16</w:t>
            </w:r>
          </w:p>
        </w:tc>
        <w:tc>
          <w:tcPr>
            <w:tcW w:type="dxa" w:w="1440"/>
            <w:shd w:fill="C6EFCE" w:val="clear"/>
          </w:tcPr>
          <w:p>
            <w:r>
              <w:rPr>
                <w:sz w:val="17"/>
              </w:rPr>
              <w:t>4,915</w:t>
            </w:r>
          </w:p>
        </w:tc>
        <w:tc>
          <w:tcPr>
            <w:tcW w:type="dxa" w:w="1440"/>
            <w:shd w:fill="C6EFCE" w:val="clear"/>
          </w:tcPr>
          <w:p>
            <w:r>
              <w:rPr>
                <w:b/>
                <w:sz w:val="17"/>
              </w:rPr>
              <w:t>5,429</w:t>
            </w:r>
          </w:p>
        </w:tc>
        <w:tc>
          <w:tcPr>
            <w:tcW w:type="dxa" w:w="1440"/>
            <w:shd w:fill="C6EFCE" w:val="clear"/>
          </w:tcPr>
          <w:p>
            <w:r>
              <w:rPr>
                <w:sz w:val="17"/>
              </w:rPr>
              <w:t>5,942</w:t>
            </w:r>
          </w:p>
        </w:tc>
        <w:tc>
          <w:tcPr>
            <w:tcW w:type="dxa" w:w="1440"/>
            <w:shd w:fill="C6EFCE" w:val="clear"/>
          </w:tcPr>
          <w:p>
            <w:r>
              <w:rPr>
                <w:b/>
                <w:color w:val="008000"/>
                <w:sz w:val="17"/>
              </w:rPr>
              <w:t>+53.3%</w:t>
            </w:r>
          </w:p>
        </w:tc>
      </w:tr>
      <w:tr>
        <w:tc>
          <w:tcPr>
            <w:tcW w:type="dxa" w:w="1440"/>
            <w:shd w:fill="C6EFCE" w:val="clear"/>
          </w:tcPr>
          <w:p>
            <w:r>
              <w:rPr>
                <w:sz w:val="17"/>
              </w:rPr>
              <w:t>J+9  ⭐</w:t>
            </w:r>
          </w:p>
        </w:tc>
        <w:tc>
          <w:tcPr>
            <w:tcW w:type="dxa" w:w="1440"/>
            <w:shd w:fill="C6EFCE" w:val="clear"/>
          </w:tcPr>
          <w:p>
            <w:r>
              <w:rPr>
                <w:sz w:val="17"/>
              </w:rPr>
              <w:t>2026-09-17</w:t>
            </w:r>
          </w:p>
        </w:tc>
        <w:tc>
          <w:tcPr>
            <w:tcW w:type="dxa" w:w="1440"/>
            <w:shd w:fill="C6EFCE" w:val="clear"/>
          </w:tcPr>
          <w:p>
            <w:r>
              <w:rPr>
                <w:sz w:val="17"/>
              </w:rPr>
              <w:t>5,250</w:t>
            </w:r>
          </w:p>
        </w:tc>
        <w:tc>
          <w:tcPr>
            <w:tcW w:type="dxa" w:w="1440"/>
            <w:shd w:fill="C6EFCE" w:val="clear"/>
          </w:tcPr>
          <w:p>
            <w:r>
              <w:rPr>
                <w:b/>
                <w:sz w:val="17"/>
              </w:rPr>
              <w:t>5,836</w:t>
            </w:r>
          </w:p>
        </w:tc>
        <w:tc>
          <w:tcPr>
            <w:tcW w:type="dxa" w:w="1440"/>
            <w:shd w:fill="C6EFCE" w:val="clear"/>
          </w:tcPr>
          <w:p>
            <w:r>
              <w:rPr>
                <w:sz w:val="17"/>
              </w:rPr>
              <w:t>6,421</w:t>
            </w:r>
          </w:p>
        </w:tc>
        <w:tc>
          <w:tcPr>
            <w:tcW w:type="dxa" w:w="1440"/>
            <w:shd w:fill="C6EFCE" w:val="clear"/>
          </w:tcPr>
          <w:p>
            <w:r>
              <w:rPr>
                <w:b/>
                <w:color w:val="008000"/>
                <w:sz w:val="17"/>
              </w:rPr>
              <w:t>+64.9%</w:t>
            </w:r>
          </w:p>
        </w:tc>
      </w:tr>
      <w:tr>
        <w:tc>
          <w:tcPr>
            <w:tcW w:type="dxa" w:w="1440"/>
            <w:shd w:fill="C6EFCE" w:val="clear"/>
          </w:tcPr>
          <w:p>
            <w:r>
              <w:rPr>
                <w:sz w:val="17"/>
              </w:rPr>
              <w:t>J+10  ⭐</w:t>
            </w:r>
          </w:p>
        </w:tc>
        <w:tc>
          <w:tcPr>
            <w:tcW w:type="dxa" w:w="1440"/>
            <w:shd w:fill="C6EFCE" w:val="clear"/>
          </w:tcPr>
          <w:p>
            <w:r>
              <w:rPr>
                <w:sz w:val="17"/>
              </w:rPr>
              <w:t>2026-09-18</w:t>
            </w:r>
          </w:p>
        </w:tc>
        <w:tc>
          <w:tcPr>
            <w:tcW w:type="dxa" w:w="1440"/>
            <w:shd w:fill="C6EFCE" w:val="clear"/>
          </w:tcPr>
          <w:p>
            <w:r>
              <w:rPr>
                <w:sz w:val="17"/>
              </w:rPr>
              <w:t>5,610</w:t>
            </w:r>
          </w:p>
        </w:tc>
        <w:tc>
          <w:tcPr>
            <w:tcW w:type="dxa" w:w="1440"/>
            <w:shd w:fill="C6EFCE" w:val="clear"/>
          </w:tcPr>
          <w:p>
            <w:r>
              <w:rPr>
                <w:b/>
                <w:sz w:val="17"/>
              </w:rPr>
              <w:t>6,273</w:t>
            </w:r>
          </w:p>
        </w:tc>
        <w:tc>
          <w:tcPr>
            <w:tcW w:type="dxa" w:w="1440"/>
            <w:shd w:fill="C6EFCE" w:val="clear"/>
          </w:tcPr>
          <w:p>
            <w:r>
              <w:rPr>
                <w:sz w:val="17"/>
              </w:rPr>
              <w:t>6,937</w:t>
            </w:r>
          </w:p>
        </w:tc>
        <w:tc>
          <w:tcPr>
            <w:tcW w:type="dxa" w:w="1440"/>
            <w:shd w:fill="C6EFCE" w:val="clear"/>
          </w:tcPr>
          <w:p>
            <w:r>
              <w:rPr>
                <w:b/>
                <w:color w:val="008000"/>
                <w:sz w:val="17"/>
              </w:rPr>
              <w:t>+77.2%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20,96 milliards FCFA, un niveau modeste qui la classe parmi les valeurs moyennes de la cote. Avec un BPA de 243 FCFA, le titre se négocie à un PER de 14,6x, ce qui représente une prime notable par rapport à la moyenne historique du marché BRVM (environ 8-12x). Les investisseurs paient donc un prix relativement élevé pour les bénéfices actuels de la société. Le P/B de 2,24x indique que le marché valorise la société à plus du double de sa valeur comptable, suggérant une anticipation de croissance future. Enfin, un EV/EBITDA de 7,4x se situe dans la fourchette raisonnable (5-10x), indiquant que la valeur totale de l'entreprise (dette incluse)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baisse significative de -18,43%, avec un léger recul de -0,28% lors de la dernière séance, pour s'établir à 3 540 FCFA. Le titre a évolué dans une fourchette de 3 350 à 4 500 FCFA, illustrant une amplitude de trading considérable. La moyenne du cours sur la période est de 3 742 FCFA, tandis que la médiane est de 3 652 FCFA ; cet écart, couplé à un skewness positif de 0,910, confirme une asymétrie avec un plus grand nombre de journées sous la moyenne. L'écart-type de 277 FCFA (CV=7,4%) montre une dispersion modérée, et le kurtosis de 0,249 indique une distribution mésokurtique, sans risque de pics extrêmes. La volatilité annualisée de 49,0% classe le titre comme très volatil, un niveau élevé qui reflète une incertitude marquée des investisseurs sur la valeur.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(3 540 FCFA) est inférieur à la MM20 (3 548,5 FCFA) et nettement sous la MM50 (3 754,8 FCFA). Cette configuration baissière, où le prix évolue sous ses moyennes clés, confirme une tendance de fond négative. La décision de "Vente" est justifiée par cette dynamique défavorable.</w:t>
      </w:r>
    </w:p>
    <w:p>
      <w:pPr>
        <w:spacing w:after="120" w:line="276" w:lineRule="auto"/>
      </w:pPr>
      <w:r>
        <w:t>**Bandes de Bollinger** : Le prix se situe à l'intérieur des bandes, entre la borne inférieure (3 409,4 FCFA) et la borne supérieure (3 687,6 FCFA), proche de la moyenne. Cela indique une volatilité modérée et une absence de signal directionnel fort, d'où la décision "Neutre". Le marché semble chercher une direction après la récente baisse.</w:t>
      </w:r>
    </w:p>
    <w:p>
      <w:pPr>
        <w:spacing w:after="120" w:line="276" w:lineRule="auto"/>
      </w:pPr>
      <w:r>
        <w:t>**MACD** : Le MACD (-48,2) est négatif mais se situe au-dessus de sa ligne de signal (-56,3). Cette configuration, bien que toujours en territoire négatif, suggère un ralentissement de la dynamique baissière et une possible inversion de tendance. La décision "Achat" reflète ce potentiel de retournement haussier du momentum.</w:t>
      </w:r>
    </w:p>
    <w:p>
      <w:pPr>
        <w:spacing w:after="120" w:line="276" w:lineRule="auto"/>
      </w:pPr>
      <w:r>
        <w:t>**RSI** : À 54,2, le RSI se trouve en zone neutre (30-70), indiquant un équilibre entre les forces acheteuses et vendeuses. Il n'y a pas de conditions de surachat ou de survente, ce qui laisse de la place pour un mouvement dans les deux sens. La décision "Neutre" est donc cohérente.</w:t>
      </w:r>
    </w:p>
    <w:p>
      <w:pPr>
        <w:spacing w:after="120" w:line="276" w:lineRule="auto"/>
      </w:pPr>
      <w:r>
        <w:t>**Stochastique** : Le %K (21,4) est supérieur au %D (17,4), tous deux en zone de survente (&lt;20). Ce croisement haussier depuis des niveaux bas pourrait signaler un rebond technique imminent, mais la décision reste "Neutre" en attendant une confirmation plus forte.</w:t>
      </w:r>
    </w:p>
    <w:p>
      <w:pPr>
        <w:spacing w:after="120" w:line="276" w:lineRule="auto"/>
      </w:pPr>
      <w:r>
        <w:t>**Conclusion technique** : Les indicateurs sont mitigés. La tendance de fond (MM) reste baissière, mais les oscillateurs (MACD, Stochastique) montrent des signes de stabilisation et de potentiel rebond. Le RSI neutre et les bandes de Bollinger sans direction précise suggèrent une phase de consolidation. Le signal est donc partagé, avec un biais légèrement positif à court terme, mais une prudence reste de mise tant que le cours n'aura pas dépassé ses moyennes mobiles.</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font état d'un chiffre d'affaires de 21,263 milliards FCFA, en croissance de +11,2% par rapport à 2024. Le résultat net s'établit à 1,439 milliard FCFA, confirmant un retour à une forte profitabilité après les pertes de 2024 (-1,225 milliard FCFA selon le rapport annuel certifié). Cette performance est remarquable et contraste avec les années précédentes. La marge nette ressort à 6,77%, le ROE est excellent à 15,40%, et le ROA est sain à 6,10%. La structure financière est solide avec une autonomie financière de 39,58% et une solvabilité générale de 165,52%. Cependant, le BFR de 7,186 milliards FCFA et les délais clients (144,7 jours) et de stockage (152,1 jours) très élevés constituent des points de vigilance majeurs pour la trésorerie. Les rapports trimestriels de 2025 confirment cette dynamique : le S1 2025 (publié le 30/06/2025) montre un résultat net de 851,5 millions FCFA (+55,3%), et le T3 2025 (publié le 30/09/2025) un résultat net cumulé de 1 329,5 millions FCFA (+26%). Sur la base de ces rapports, on estime que l'exercice 2025 a été clôturé sur une performance solide, portée par une demande soutenue. Le rapport du T1 2026 (publié le 31/03/2026) indique toutefois une chute du CA (-26,5%) et une perte nette de 221,7 millions FCFA, attribuée à une maintenance planifiée et à l'inflation des métaux, laissant présager un début d'exercice 2026 difficile mais potentiellement temporaire.</w:t>
      </w:r>
    </w:p>
    <w:p>
      <w:pPr>
        <w:spacing w:after="120" w:line="276" w:lineRule="auto"/>
      </w:pPr>
      <w:r>
        <w:t>---</w:t>
      </w:r>
    </w:p>
    <w:p>
      <w:pPr>
        <w:spacing w:after="120" w:line="276" w:lineRule="auto"/>
      </w:pPr>
      <w:r>
        <w:t>### PARTIE 4 : CONCLUSION D'INVESTISSEMENT</w:t>
      </w:r>
    </w:p>
    <w:p>
      <w:pPr>
        <w:spacing w:after="120" w:line="276" w:lineRule="auto"/>
      </w:pPr>
      <w:r>
        <w:t>La valorisation actuelle de CABC (PER 14,6x, P/B 2,24x) apparaît exigeante au regard des bénéfices passés, mais elle est cohérente avec la forte reprise de la rentabilité enregistrée en 2025. Le comportement du cours sur 100 jours est préoccupant avec une baisse de 18,43% et une volatilité très élevée (49%), indiquant un risque marqué. Les signaux techniques sont partagés : la tendance de fond reste baissière, mais des signes de stabilisation (MACD, Stochastique) suggèrent un potentiel de rebond à court terme. Les fondamentaux, bien que solides sur l'exercice 2025 (ROE &gt;15%, croissance du CA), sont assombris par un début d'exercice 2026 difficile (perte au T1) et des risques de trésorerie liés à un BFR élevé. Les prédictions IA pour les 10 prochains jours (de 3 702 à 4 480 FCFA) anticipent un rebond technique marqué, contredisant la tendance récente mais s'alignant sur les signaux de retournement des oscillateurs. Compte tenu de la divergence entre les signaux techniques (positifs à court terme) et les incertitudes fondamentales (début 2026 difficile), la recommandation est **CONSERVER**. Le niveau de confiance est **Moyen**, le risque global est **Élevé**. L'horizon d'investissement optimal serait le **moyen terme (3-12 mois)** pour observer la confirmation d'une reprise durable de l'activité après les difficultés du T1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1070.40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1,473 titres</w:t>
            </w:r>
          </w:p>
        </w:tc>
        <w:tc>
          <w:tcPr>
            <w:tcW w:type="dxa" w:w="2268"/>
            <w:shd w:fill="FFF2CC" w:val="clear"/>
          </w:tcPr>
          <w:p>
            <w:r>
              <w:rPr>
                <w:b/>
                <w:color w:val="503200"/>
                <w:sz w:val="16"/>
              </w:rPr>
              <w:t xml:space="preserve">Cours actuel : </w:t>
            </w:r>
            <w:r>
              <w:rPr>
                <w:color w:val="000000"/>
                <w:sz w:val="17"/>
              </w:rPr>
              <w:t>33,450 FCFA</w:t>
            </w:r>
          </w:p>
          <w:p>
            <w:r>
              <w:rPr>
                <w:b/>
                <w:color w:val="503200"/>
                <w:sz w:val="16"/>
              </w:rPr>
              <w:t xml:space="preserve">Var. 100 jours : </w:t>
            </w:r>
            <w:r>
              <w:rPr>
                <w:b/>
                <w:color w:val="007800"/>
                <w:sz w:val="17"/>
              </w:rPr>
              <w:t>+120.07%</w:t>
            </w:r>
          </w:p>
          <w:p>
            <w:r>
              <w:rPr>
                <w:b/>
                <w:color w:val="503200"/>
                <w:sz w:val="16"/>
              </w:rPr>
              <w:t xml:space="preserve">Plus haut 100j : </w:t>
            </w:r>
            <w:r>
              <w:rPr>
                <w:color w:val="000000"/>
                <w:sz w:val="17"/>
              </w:rPr>
              <w:t>33,450 FCFA</w:t>
            </w:r>
          </w:p>
          <w:p>
            <w:r>
              <w:rPr>
                <w:b/>
                <w:color w:val="503200"/>
                <w:sz w:val="16"/>
              </w:rPr>
              <w:t xml:space="preserve">Plus bas 100j : </w:t>
            </w:r>
            <w:r>
              <w:rPr>
                <w:color w:val="000000"/>
                <w:sz w:val="17"/>
              </w:rPr>
              <w:t>15,200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21.65% (Élevée) — μ=23,514 FCFA, σ=5,091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β=0.7844 (Défensif) — Cov=0.000029, Var(idx)=0.000037, ρ=0.178,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30,065</w:t>
            </w:r>
          </w:p>
        </w:tc>
        <w:tc>
          <w:tcPr>
            <w:tcW w:type="dxa" w:w="1440"/>
            <w:shd w:fill="FFDCE0" w:val="clear"/>
          </w:tcPr>
          <w:p>
            <w:r>
              <w:rPr>
                <w:b/>
                <w:sz w:val="17"/>
              </w:rPr>
              <w:t>30,941</w:t>
            </w:r>
          </w:p>
        </w:tc>
        <w:tc>
          <w:tcPr>
            <w:tcW w:type="dxa" w:w="1440"/>
            <w:shd w:fill="FFDCE0" w:val="clear"/>
          </w:tcPr>
          <w:p>
            <w:r>
              <w:rPr>
                <w:sz w:val="17"/>
              </w:rPr>
              <w:t>31,818</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27,474</w:t>
            </w:r>
          </w:p>
        </w:tc>
        <w:tc>
          <w:tcPr>
            <w:tcW w:type="dxa" w:w="1440"/>
            <w:shd w:fill="FFDCE0" w:val="clear"/>
          </w:tcPr>
          <w:p>
            <w:r>
              <w:rPr>
                <w:b/>
                <w:sz w:val="17"/>
              </w:rPr>
              <w:t>28,621</w:t>
            </w:r>
          </w:p>
        </w:tc>
        <w:tc>
          <w:tcPr>
            <w:tcW w:type="dxa" w:w="1440"/>
            <w:shd w:fill="FFDCE0" w:val="clear"/>
          </w:tcPr>
          <w:p>
            <w:r>
              <w:rPr>
                <w:sz w:val="17"/>
              </w:rPr>
              <w:t>29,767</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25,175</w:t>
            </w:r>
          </w:p>
        </w:tc>
        <w:tc>
          <w:tcPr>
            <w:tcW w:type="dxa" w:w="1440"/>
            <w:shd w:fill="FFDCE0" w:val="clear"/>
          </w:tcPr>
          <w:p>
            <w:r>
              <w:rPr>
                <w:b/>
                <w:sz w:val="17"/>
              </w:rPr>
              <w:t>26,474</w:t>
            </w:r>
          </w:p>
        </w:tc>
        <w:tc>
          <w:tcPr>
            <w:tcW w:type="dxa" w:w="1440"/>
            <w:shd w:fill="FFDCE0" w:val="clear"/>
          </w:tcPr>
          <w:p>
            <w:r>
              <w:rPr>
                <w:sz w:val="17"/>
              </w:rPr>
              <w:t>27,773</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23,101</w:t>
            </w:r>
          </w:p>
        </w:tc>
        <w:tc>
          <w:tcPr>
            <w:tcW w:type="dxa" w:w="1440"/>
            <w:shd w:fill="FFDCE0" w:val="clear"/>
          </w:tcPr>
          <w:p>
            <w:r>
              <w:rPr>
                <w:b/>
                <w:sz w:val="17"/>
              </w:rPr>
              <w:t>24,489</w:t>
            </w:r>
          </w:p>
        </w:tc>
        <w:tc>
          <w:tcPr>
            <w:tcW w:type="dxa" w:w="1440"/>
            <w:shd w:fill="FFDCE0" w:val="clear"/>
          </w:tcPr>
          <w:p>
            <w:r>
              <w:rPr>
                <w:sz w:val="17"/>
              </w:rPr>
              <w:t>25,876</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21,217</w:t>
            </w:r>
          </w:p>
        </w:tc>
        <w:tc>
          <w:tcPr>
            <w:tcW w:type="dxa" w:w="1440"/>
            <w:shd w:fill="FFDCE0" w:val="clear"/>
          </w:tcPr>
          <w:p>
            <w:r>
              <w:rPr>
                <w:b/>
                <w:sz w:val="17"/>
              </w:rPr>
              <w:t>22,652</w:t>
            </w:r>
          </w:p>
        </w:tc>
        <w:tc>
          <w:tcPr>
            <w:tcW w:type="dxa" w:w="1440"/>
            <w:shd w:fill="FFDCE0" w:val="clear"/>
          </w:tcPr>
          <w:p>
            <w:r>
              <w:rPr>
                <w:sz w:val="17"/>
              </w:rPr>
              <w:t>24,087</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19,499</w:t>
            </w:r>
          </w:p>
        </w:tc>
        <w:tc>
          <w:tcPr>
            <w:tcW w:type="dxa" w:w="1440"/>
            <w:shd w:fill="FFDCE0" w:val="clear"/>
          </w:tcPr>
          <w:p>
            <w:r>
              <w:rPr>
                <w:b/>
                <w:sz w:val="17"/>
              </w:rPr>
              <w:t>20,953</w:t>
            </w:r>
          </w:p>
        </w:tc>
        <w:tc>
          <w:tcPr>
            <w:tcW w:type="dxa" w:w="1440"/>
            <w:shd w:fill="FFDCE0" w:val="clear"/>
          </w:tcPr>
          <w:p>
            <w:r>
              <w:rPr>
                <w:sz w:val="17"/>
              </w:rPr>
              <w:t>22,407</w:t>
            </w:r>
          </w:p>
        </w:tc>
        <w:tc>
          <w:tcPr>
            <w:tcW w:type="dxa" w:w="1440"/>
            <w:shd w:fill="FFDCE0" w:val="clear"/>
          </w:tcPr>
          <w:p>
            <w:r>
              <w:rPr>
                <w:b/>
                <w:color w:val="C00000"/>
                <w:sz w:val="17"/>
              </w:rPr>
              <w:t>-37.4%</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17,929</w:t>
            </w:r>
          </w:p>
        </w:tc>
        <w:tc>
          <w:tcPr>
            <w:tcW w:type="dxa" w:w="1440"/>
            <w:shd w:fill="FFDCE0" w:val="clear"/>
          </w:tcPr>
          <w:p>
            <w:r>
              <w:rPr>
                <w:b/>
                <w:sz w:val="17"/>
              </w:rPr>
              <w:t>19,382</w:t>
            </w:r>
          </w:p>
        </w:tc>
        <w:tc>
          <w:tcPr>
            <w:tcW w:type="dxa" w:w="1440"/>
            <w:shd w:fill="FFDCE0" w:val="clear"/>
          </w:tcPr>
          <w:p>
            <w:r>
              <w:rPr>
                <w:sz w:val="17"/>
              </w:rPr>
              <w:t>20,834</w:t>
            </w:r>
          </w:p>
        </w:tc>
        <w:tc>
          <w:tcPr>
            <w:tcW w:type="dxa" w:w="1440"/>
            <w:shd w:fill="FFDCE0" w:val="clear"/>
          </w:tcPr>
          <w:p>
            <w:r>
              <w:rPr>
                <w:b/>
                <w:color w:val="C00000"/>
                <w:sz w:val="17"/>
              </w:rPr>
              <w:t>-42.1%</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17,091</w:t>
            </w:r>
          </w:p>
        </w:tc>
        <w:tc>
          <w:tcPr>
            <w:tcW w:type="dxa" w:w="1440"/>
            <w:shd w:fill="FFDCE0" w:val="clear"/>
          </w:tcPr>
          <w:p>
            <w:r>
              <w:rPr>
                <w:b/>
                <w:sz w:val="17"/>
              </w:rPr>
              <w:t>18,580</w:t>
            </w:r>
          </w:p>
        </w:tc>
        <w:tc>
          <w:tcPr>
            <w:tcW w:type="dxa" w:w="1440"/>
            <w:shd w:fill="FFDCE0" w:val="clear"/>
          </w:tcPr>
          <w:p>
            <w:r>
              <w:rPr>
                <w:sz w:val="17"/>
              </w:rPr>
              <w:t>20,069</w:t>
            </w:r>
          </w:p>
        </w:tc>
        <w:tc>
          <w:tcPr>
            <w:tcW w:type="dxa" w:w="1440"/>
            <w:shd w:fill="FFDCE0" w:val="clear"/>
          </w:tcPr>
          <w:p>
            <w:r>
              <w:rPr>
                <w:b/>
                <w:color w:val="C00000"/>
                <w:sz w:val="17"/>
              </w:rPr>
              <w:t>-44.5%</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16,606</w:t>
            </w:r>
          </w:p>
        </w:tc>
        <w:tc>
          <w:tcPr>
            <w:tcW w:type="dxa" w:w="1440"/>
            <w:shd w:fill="FFDCE0" w:val="clear"/>
          </w:tcPr>
          <w:p>
            <w:r>
              <w:rPr>
                <w:b/>
                <w:sz w:val="17"/>
              </w:rPr>
              <w:t>18,149</w:t>
            </w:r>
          </w:p>
        </w:tc>
        <w:tc>
          <w:tcPr>
            <w:tcW w:type="dxa" w:w="1440"/>
            <w:shd w:fill="FFDCE0" w:val="clear"/>
          </w:tcPr>
          <w:p>
            <w:r>
              <w:rPr>
                <w:sz w:val="17"/>
              </w:rPr>
              <w:t>19,691</w:t>
            </w:r>
          </w:p>
        </w:tc>
        <w:tc>
          <w:tcPr>
            <w:tcW w:type="dxa" w:w="1440"/>
            <w:shd w:fill="FFDCE0" w:val="clear"/>
          </w:tcPr>
          <w:p>
            <w:r>
              <w:rPr>
                <w:b/>
                <w:color w:val="C00000"/>
                <w:sz w:val="17"/>
              </w:rPr>
              <w:t>-45.7%</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16,167</w:t>
            </w:r>
          </w:p>
        </w:tc>
        <w:tc>
          <w:tcPr>
            <w:tcW w:type="dxa" w:w="1440"/>
            <w:shd w:fill="FFDCE0" w:val="clear"/>
          </w:tcPr>
          <w:p>
            <w:r>
              <w:rPr>
                <w:b/>
                <w:sz w:val="17"/>
              </w:rPr>
              <w:t>17,758</w:t>
            </w:r>
          </w:p>
        </w:tc>
        <w:tc>
          <w:tcPr>
            <w:tcW w:type="dxa" w:w="1440"/>
            <w:shd w:fill="FFDCE0" w:val="clear"/>
          </w:tcPr>
          <w:p>
            <w:r>
              <w:rPr>
                <w:sz w:val="17"/>
              </w:rPr>
              <w:t>19,348</w:t>
            </w:r>
          </w:p>
        </w:tc>
        <w:tc>
          <w:tcPr>
            <w:tcW w:type="dxa" w:w="1440"/>
            <w:shd w:fill="FFDCE0" w:val="clear"/>
          </w:tcPr>
          <w:p>
            <w:r>
              <w:rPr>
                <w:b/>
                <w:color w:val="C00000"/>
                <w:sz w:val="17"/>
              </w:rPr>
              <w:t>-46.9%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Absolument. Voici un rapport d'analyse financière structuré et professionnel pour l'action CBIBF,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1 070,40 milliards FCFA, un niveau qui la positionne comme l'une des toutes premières capitalisations de la BRVM, reflétant son statut de leader régional. Avec un BPA de 2 047 FCFA, le PER de 16,3x se situe nettement au-dessus de la moyenne historique de la BRVM (8-12x), indiquant que le marché valorise déjà des perspectives de croissance soutenues et une prime de qualité. L'EV/EBITDA de 12,1x, bien que dans une fourchette considérée comme élevée, confirme cette appréciation du potentiel de la banque. En l'absence de données sur les capitaux propres, le ratio P/B n'est pas calculable, mais le PER et l'EV/EBITDA suggèrent que le titre n'est pas "bon marché" et intègre des attentes élevées de la part des investisseurs.</w:t>
      </w:r>
    </w:p>
    <w:p>
      <w:pPr>
        <w:spacing w:after="120" w:line="276" w:lineRule="auto"/>
      </w:pPr>
      <w:r>
        <w:t>### PARTIE 1 : ANALYSE DU COURS — STATISTIQUES ET ÉVOLUTION (100 derniers jours)</w:t>
      </w:r>
    </w:p>
    <w:p>
      <w:pPr>
        <w:spacing w:after="120" w:line="276" w:lineRule="auto"/>
      </w:pPr>
      <w:r>
        <w:t>Sur les 100 derniers jours, l'action CBIBF a connu une progression spectaculaire de +120,07%, passant d'un plus bas de 15 200 FCFA à un plus haut historique de 33 450 FCFA, son cours actuel. Cette tendance est fortement haussière, avec une dernière séance en hausse de +1,06%. Les statistiques descriptives révèlent une distribution relativement symétrique (Skewness de -0,068) et aplatie (Kurtosis de -1,220), indiquant une absence de pics de volatilité extrêmes et une dispersion modérée autour de la moyenne. L'écart-type de 5 116 FCFA (CV de 21,8%) confirme une volatilité de cours notable. La moyenne (23 514 FCFA) est inférieure au cours actuel, signe de l'accélération récente. La volatilité annualisée de 42,5% classe le titre comme très volatil, ce qui représente un risque élevé mais aussi un potentiel de gain important pour les investisseurs aguerris.</w:t>
      </w:r>
    </w:p>
    <w:p>
      <w:pPr>
        <w:spacing w:after="120" w:line="276" w:lineRule="auto"/>
      </w:pPr>
      <w:r>
        <w:t>### PARTIE 2 : ANALYSE TECHNIQUE DÉTAILLÉE</w:t>
      </w:r>
    </w:p>
    <w:p>
      <w:pPr>
        <w:spacing w:after="120" w:line="276" w:lineRule="auto"/>
      </w:pPr>
      <w:r>
        <w:t>**Moyennes Mobiles**: Le cours actuel (33 450 FCFA) est nettement au-dessus de la MM20 (29 643 FCFA) et de la MM50 (27 903 FCFA). Cette configuration haussière, où les moyennes sont orientées à la hausse, confirme la vigueur de la tendance et justifie la décision d'**Achat**. Le titre évolue dans une dynamique de forte progression.</w:t>
      </w:r>
    </w:p>
    <w:p>
      <w:pPr>
        <w:spacing w:after="120" w:line="276" w:lineRule="auto"/>
      </w:pPr>
      <w:r>
        <w:t>**Bandes de Bollinger**: Le cours a franchi et se maintient au-dessus de la borne supérieure des bandes (32 798 FCFA), un signal classique de surachat et de volatilité extrême. Cela indique que le marché est actuellement survendu à court terme, d'où la décision de **Vente**. Un repli vers la moyenne mobile ou la borne inférieure est statistiquement probable pour "respirer".</w:t>
      </w:r>
    </w:p>
    <w:p>
      <w:pPr>
        <w:spacing w:after="120" w:line="276" w:lineRule="auto"/>
      </w:pPr>
      <w:r>
        <w:t>**MACD**: La valeur du MACD (1 293) est nettement supérieure à son signal (923), et les deux sont en territoire positif. Cette configuration indique un momentum haussier très fort et confirme la tendance en cours. La décision est à l'**Achat**, bien que l'écart important puisse précéder un ralentissement du rythme de progression.</w:t>
      </w:r>
    </w:p>
    <w:p>
      <w:pPr>
        <w:spacing w:after="120" w:line="276" w:lineRule="auto"/>
      </w:pPr>
      <w:r>
        <w:t>**RSI**: Le RSI est à 81,58, une valeur bien au-dessus du seuil de surachat de 70. Ce niveau extrême signale que le titre est techniquement survendu et qu'une correction ou une consolidation est de plus en plus probable. La décision de **Vente** est justifiée par ce risque de retournement à court terme.</w:t>
      </w:r>
    </w:p>
    <w:p>
      <w:pPr>
        <w:spacing w:after="120" w:line="276" w:lineRule="auto"/>
      </w:pPr>
      <w:r>
        <w:t>**Stochastique**: Les valeurs %K et %D sont toutes deux à 100, le niveau de surachat le plus extrême possible. Cela indique que les acheteurs ont complètement dominé la séance, mais que le potentiel de hausse à court terme est épuisé. La décision de **Vente** est cohérente avec ce signal de surachat extrême.</w:t>
      </w:r>
    </w:p>
    <w:p>
      <w:pPr>
        <w:spacing w:after="120" w:line="276" w:lineRule="auto"/>
      </w:pPr>
      <w:r>
        <w:t>**Conclusion technique**: Les indicateurs de tendance (MM, MACD) sont résolument haussiers, mais tous les oscillateurs de momentum (RSI, Stochastique, position au-dessus des Bandes de Bollinger) crient au surachat extrême. Cette divergence classique suggère que la tendance de fond reste positive, mais qu'un repli technique significatif est très probable à court terme pour corriger ces conditions de surachat. La prudence est donc de mise pour un nouvel achat à ces niveaux.</w:t>
      </w:r>
    </w:p>
    <w:p>
      <w:pPr>
        <w:spacing w:after="120" w:line="276" w:lineRule="auto"/>
      </w:pPr>
      <w:r>
        <w:t>### PARTIE 3 : ANALYSE FONDAMENTALE (SECTION CRITIQUE)</w:t>
      </w:r>
    </w:p>
    <w:p>
      <w:pPr>
        <w:spacing w:after="120" w:line="276" w:lineRule="auto"/>
      </w:pPr>
      <w:r>
        <w:t>En 2025, CBIBF a réalisé une performance financière remarquable, avec un Produit Net Bancaire (PNB) de 138,99 milliards FCFA et un résultat net de 65,50 milliards FCFA, en hausse de 36,6% par rapport à 2024. Cette solide rentabilité se traduit par une marge nette de 47,1% et un ROA de 2,18%. La banque démontre une excellente maîtrise de ses coûts, avec un coefficient d'exploitation de 36,4%, bien en dessous du seuil d'efficacité de 60%. La collecte de dépôts a été dynamique (+14,9% à 2 015 milliards FCFA), tandis que les crédits nets ont progressé de 5,4% à 1 327 milliards FCFA, montrant une transformation bilancielle saine. Le coût du risque s'est significativement amélioré de 59,3%, à 16,5 milliards FCFA, confirmant l'efficacité de la politique d'assainissement du portefeuille initiée en 2024. Les rapports trimestriels de 2025 confirment cette trajectoire : le T3 2025 (PNB de 101,3 Mds, RN de 52,9 Mds) montre une progression soutenue. Sur la base du rapport du T1 2026, qui affiche un PNB de 36,8 milliards FCFA (+28,5%) et un résultat net de 21,5 milliards FCFA (+22,2%), on estime que l'exercice 2026 devrait poursuivre cette croissance à deux chiffres, portée par une collecte de dépôts record (+37,9%). La banque, notée AA/AI avec perspective stable, présente des fondamentaux solides et une croissance rentable, malgré un environnement géopolitique et sécuritaire régional qui demeure un risque à surveiller.</w:t>
      </w:r>
    </w:p>
    <w:p>
      <w:pPr>
        <w:spacing w:after="120" w:line="276" w:lineRule="auto"/>
      </w:pPr>
      <w:r>
        <w:t>### PARTIE 4 : CONCLUSION D'INVESTISSEMENT</w:t>
      </w:r>
    </w:p>
    <w:p>
      <w:pPr>
        <w:spacing w:after="120" w:line="276" w:lineRule="auto"/>
      </w:pPr>
      <w:r>
        <w:t>La valorisation de CBIBF (PER de 16,3x) est exigeante, intégrant déjà une forte croissance future, tandis que le comportement du cours (+120% en 100 jours) et les signaux techniques (RSI, Stochastique à des extrêmes) crient au surachat à court terme, suggérant un fort risque de correction. En revanche, les fondamentaux sont excellents : la banque affiche une rentabilité record en 2025 (RN de 65,5 Mds) et une dynamique de croissance estimée très positive pour 2026 (+22% au T1). Les prédictions IA, qui anticipent une chute du cours à 22 652 FCFA sur 10 jours, confirment le scénario d'un repli technique majeur. En synthèse, il y a une divergence nette entre la solidité à long terme des fondamentaux et les signaux de surachat à court terme, corroborés par l'IA. Par conséquent, la recommandation est de **CONSERVER** le titre pour les investisseurs actuels, mais de ne pas initier de nouvelle position à ces niveaux de prix. Un point d'entrée plus opportun se situerait après une correction, idéalement vers les zones de support des moyennes mobiles (29 000 - 28 000 FCFA). Le niveau de confiance est **Moyen** et le risque global est **Élevé** en raison de la volatilité extrême. L'horizon d'investissement optimal est le **moyen terme (3-12 mois)**, après une phase de consolidation attendue.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316.49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3,622 titres</w:t>
            </w:r>
          </w:p>
        </w:tc>
        <w:tc>
          <w:tcPr>
            <w:tcW w:type="dxa" w:w="2268"/>
            <w:shd w:fill="FFF2CC" w:val="clear"/>
          </w:tcPr>
          <w:p>
            <w:r>
              <w:rPr>
                <w:b/>
                <w:color w:val="503200"/>
                <w:sz w:val="16"/>
              </w:rPr>
              <w:t xml:space="preserve">Cours actuel : </w:t>
            </w:r>
            <w:r>
              <w:rPr>
                <w:color w:val="000000"/>
                <w:sz w:val="17"/>
              </w:rPr>
              <w:t>1,745 FCFA</w:t>
            </w:r>
          </w:p>
          <w:p>
            <w:r>
              <w:rPr>
                <w:b/>
                <w:color w:val="503200"/>
                <w:sz w:val="16"/>
              </w:rPr>
              <w:t xml:space="preserve">Var. 100 jours : </w:t>
            </w:r>
            <w:r>
              <w:rPr>
                <w:b/>
                <w:color w:val="007800"/>
                <w:sz w:val="17"/>
              </w:rPr>
              <w:t>+6.40%</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6.63% (Moyenne) — μ=1,613 FCFA, σ=107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β=1.0002 (Neutre (suit le marché)) — Cov=0.000037, Var(idx)=0.000037, ρ=0.198,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1,639</w:t>
            </w:r>
          </w:p>
        </w:tc>
        <w:tc>
          <w:tcPr>
            <w:tcW w:type="dxa" w:w="1440"/>
            <w:shd w:fill="FFDCE0" w:val="clear"/>
          </w:tcPr>
          <w:p>
            <w:r>
              <w:rPr>
                <w:b/>
                <w:sz w:val="17"/>
              </w:rPr>
              <w:t>1,698</w:t>
            </w:r>
          </w:p>
        </w:tc>
        <w:tc>
          <w:tcPr>
            <w:tcW w:type="dxa" w:w="1440"/>
            <w:shd w:fill="FFDCE0" w:val="clear"/>
          </w:tcPr>
          <w:p>
            <w:r>
              <w:rPr>
                <w:sz w:val="17"/>
              </w:rPr>
              <w:t>1,757</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1,594</w:t>
            </w:r>
          </w:p>
        </w:tc>
        <w:tc>
          <w:tcPr>
            <w:tcW w:type="dxa" w:w="1440"/>
            <w:shd w:fill="FFDCE0" w:val="clear"/>
          </w:tcPr>
          <w:p>
            <w:r>
              <w:rPr>
                <w:b/>
                <w:sz w:val="17"/>
              </w:rPr>
              <w:t>1,676</w:t>
            </w:r>
          </w:p>
        </w:tc>
        <w:tc>
          <w:tcPr>
            <w:tcW w:type="dxa" w:w="1440"/>
            <w:shd w:fill="FFDCE0" w:val="clear"/>
          </w:tcPr>
          <w:p>
            <w:r>
              <w:rPr>
                <w:sz w:val="17"/>
              </w:rPr>
              <w:t>1,758</w:t>
            </w:r>
          </w:p>
        </w:tc>
        <w:tc>
          <w:tcPr>
            <w:tcW w:type="dxa" w:w="1440"/>
            <w:shd w:fill="FFDCE0" w:val="clear"/>
          </w:tcPr>
          <w:p>
            <w:r>
              <w:rPr>
                <w:b/>
                <w:color w:val="C00000"/>
                <w:sz w:val="17"/>
              </w:rPr>
              <w:t>-4.0%</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1,552</w:t>
            </w:r>
          </w:p>
        </w:tc>
        <w:tc>
          <w:tcPr>
            <w:tcW w:type="dxa" w:w="1440"/>
            <w:shd w:fill="FFDCE0" w:val="clear"/>
          </w:tcPr>
          <w:p>
            <w:r>
              <w:rPr>
                <w:b/>
                <w:sz w:val="17"/>
              </w:rPr>
              <w:t>1,651</w:t>
            </w:r>
          </w:p>
        </w:tc>
        <w:tc>
          <w:tcPr>
            <w:tcW w:type="dxa" w:w="1440"/>
            <w:shd w:fill="FFDCE0" w:val="clear"/>
          </w:tcPr>
          <w:p>
            <w:r>
              <w:rPr>
                <w:sz w:val="17"/>
              </w:rPr>
              <w:t>1,750</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1,513</w:t>
            </w:r>
          </w:p>
        </w:tc>
        <w:tc>
          <w:tcPr>
            <w:tcW w:type="dxa" w:w="1440"/>
            <w:shd w:fill="FFDCE0" w:val="clear"/>
          </w:tcPr>
          <w:p>
            <w:r>
              <w:rPr>
                <w:b/>
                <w:sz w:val="17"/>
              </w:rPr>
              <w:t>1,626</w:t>
            </w:r>
          </w:p>
        </w:tc>
        <w:tc>
          <w:tcPr>
            <w:tcW w:type="dxa" w:w="1440"/>
            <w:shd w:fill="FFDCE0" w:val="clear"/>
          </w:tcPr>
          <w:p>
            <w:r>
              <w:rPr>
                <w:sz w:val="17"/>
              </w:rPr>
              <w:t>1,739</w:t>
            </w:r>
          </w:p>
        </w:tc>
        <w:tc>
          <w:tcPr>
            <w:tcW w:type="dxa" w:w="1440"/>
            <w:shd w:fill="FFDCE0" w:val="clear"/>
          </w:tcPr>
          <w:p>
            <w:r>
              <w:rPr>
                <w:b/>
                <w:color w:val="C00000"/>
                <w:sz w:val="17"/>
              </w:rPr>
              <w:t>-6.8%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1,477</w:t>
            </w:r>
          </w:p>
        </w:tc>
        <w:tc>
          <w:tcPr>
            <w:tcW w:type="dxa" w:w="1440"/>
            <w:shd w:fill="FFDCE0" w:val="clear"/>
          </w:tcPr>
          <w:p>
            <w:r>
              <w:rPr>
                <w:b/>
                <w:sz w:val="17"/>
              </w:rPr>
              <w:t>1,602</w:t>
            </w:r>
          </w:p>
        </w:tc>
        <w:tc>
          <w:tcPr>
            <w:tcW w:type="dxa" w:w="1440"/>
            <w:shd w:fill="FFDCE0" w:val="clear"/>
          </w:tcPr>
          <w:p>
            <w:r>
              <w:rPr>
                <w:sz w:val="17"/>
              </w:rPr>
              <w:t>1,726</w:t>
            </w:r>
          </w:p>
        </w:tc>
        <w:tc>
          <w:tcPr>
            <w:tcW w:type="dxa" w:w="1440"/>
            <w:shd w:fill="FFDCE0" w:val="clear"/>
          </w:tcPr>
          <w:p>
            <w:r>
              <w:rPr>
                <w:b/>
                <w:color w:val="C00000"/>
                <w:sz w:val="17"/>
              </w:rPr>
              <w:t>-8.2%</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1,444</w:t>
            </w:r>
          </w:p>
        </w:tc>
        <w:tc>
          <w:tcPr>
            <w:tcW w:type="dxa" w:w="1440"/>
            <w:shd w:fill="FFDCE0" w:val="clear"/>
          </w:tcPr>
          <w:p>
            <w:r>
              <w:rPr>
                <w:b/>
                <w:sz w:val="17"/>
              </w:rPr>
              <w:t>1,578</w:t>
            </w:r>
          </w:p>
        </w:tc>
        <w:tc>
          <w:tcPr>
            <w:tcW w:type="dxa" w:w="1440"/>
            <w:shd w:fill="FFDCE0" w:val="clear"/>
          </w:tcPr>
          <w:p>
            <w:r>
              <w:rPr>
                <w:sz w:val="17"/>
              </w:rPr>
              <w:t>1,712</w:t>
            </w:r>
          </w:p>
        </w:tc>
        <w:tc>
          <w:tcPr>
            <w:tcW w:type="dxa" w:w="1440"/>
            <w:shd w:fill="FFDCE0" w:val="clear"/>
          </w:tcPr>
          <w:p>
            <w:r>
              <w:rPr>
                <w:b/>
                <w:color w:val="C00000"/>
                <w:sz w:val="17"/>
              </w:rPr>
              <w:t>-9.6%</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1,412</w:t>
            </w:r>
          </w:p>
        </w:tc>
        <w:tc>
          <w:tcPr>
            <w:tcW w:type="dxa" w:w="1440"/>
            <w:shd w:fill="FFDCE0" w:val="clear"/>
          </w:tcPr>
          <w:p>
            <w:r>
              <w:rPr>
                <w:b/>
                <w:sz w:val="17"/>
              </w:rPr>
              <w:t>1,555</w:t>
            </w:r>
          </w:p>
        </w:tc>
        <w:tc>
          <w:tcPr>
            <w:tcW w:type="dxa" w:w="1440"/>
            <w:shd w:fill="FFDCE0" w:val="clear"/>
          </w:tcPr>
          <w:p>
            <w:r>
              <w:rPr>
                <w:sz w:val="17"/>
              </w:rPr>
              <w:t>1,698</w:t>
            </w:r>
          </w:p>
        </w:tc>
        <w:tc>
          <w:tcPr>
            <w:tcW w:type="dxa" w:w="1440"/>
            <w:shd w:fill="FFDCE0" w:val="clear"/>
          </w:tcPr>
          <w:p>
            <w:r>
              <w:rPr>
                <w:b/>
                <w:color w:val="C00000"/>
                <w:sz w:val="17"/>
              </w:rPr>
              <w:t>-10.9%</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1,382</w:t>
            </w:r>
          </w:p>
        </w:tc>
        <w:tc>
          <w:tcPr>
            <w:tcW w:type="dxa" w:w="1440"/>
            <w:shd w:fill="FFDCE0" w:val="clear"/>
          </w:tcPr>
          <w:p>
            <w:r>
              <w:rPr>
                <w:b/>
                <w:sz w:val="17"/>
              </w:rPr>
              <w:t>1,532</w:t>
            </w:r>
          </w:p>
        </w:tc>
        <w:tc>
          <w:tcPr>
            <w:tcW w:type="dxa" w:w="1440"/>
            <w:shd w:fill="FFDCE0" w:val="clear"/>
          </w:tcPr>
          <w:p>
            <w:r>
              <w:rPr>
                <w:sz w:val="17"/>
              </w:rPr>
              <w:t>1,682</w:t>
            </w:r>
          </w:p>
        </w:tc>
        <w:tc>
          <w:tcPr>
            <w:tcW w:type="dxa" w:w="1440"/>
            <w:shd w:fill="FFDCE0" w:val="clear"/>
          </w:tcPr>
          <w:p>
            <w:r>
              <w:rPr>
                <w:b/>
                <w:color w:val="C00000"/>
                <w:sz w:val="17"/>
              </w:rPr>
              <w:t>-12.2%</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1,353</w:t>
            </w:r>
          </w:p>
        </w:tc>
        <w:tc>
          <w:tcPr>
            <w:tcW w:type="dxa" w:w="1440"/>
            <w:shd w:fill="FFDCE0" w:val="clear"/>
          </w:tcPr>
          <w:p>
            <w:r>
              <w:rPr>
                <w:b/>
                <w:sz w:val="17"/>
              </w:rPr>
              <w:t>1,510</w:t>
            </w:r>
          </w:p>
        </w:tc>
        <w:tc>
          <w:tcPr>
            <w:tcW w:type="dxa" w:w="1440"/>
            <w:shd w:fill="FFDCE0" w:val="clear"/>
          </w:tcPr>
          <w:p>
            <w:r>
              <w:rPr>
                <w:sz w:val="17"/>
              </w:rPr>
              <w:t>1,667</w:t>
            </w:r>
          </w:p>
        </w:tc>
        <w:tc>
          <w:tcPr>
            <w:tcW w:type="dxa" w:w="1440"/>
            <w:shd w:fill="FFDCE0" w:val="clear"/>
          </w:tcPr>
          <w:p>
            <w:r>
              <w:rPr>
                <w:b/>
                <w:color w:val="C00000"/>
                <w:sz w:val="17"/>
              </w:rPr>
              <w:t>-13.5%</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1,325</w:t>
            </w:r>
          </w:p>
        </w:tc>
        <w:tc>
          <w:tcPr>
            <w:tcW w:type="dxa" w:w="1440"/>
            <w:shd w:fill="FFDCE0" w:val="clear"/>
          </w:tcPr>
          <w:p>
            <w:r>
              <w:rPr>
                <w:b/>
                <w:sz w:val="17"/>
              </w:rPr>
              <w:t>1,488</w:t>
            </w:r>
          </w:p>
        </w:tc>
        <w:tc>
          <w:tcPr>
            <w:tcW w:type="dxa" w:w="1440"/>
            <w:shd w:fill="FFDCE0" w:val="clear"/>
          </w:tcPr>
          <w:p>
            <w:r>
              <w:rPr>
                <w:sz w:val="17"/>
              </w:rPr>
              <w:t>1,652</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**Date de l'analyse : 06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CFAC s'établit à 316,49 milliards FCFA, ce qui en fait une valeur de première ligne sur la BRVM, reflétant sa position dominante sur le marché automobile ivoirien. Le BPA de 26 FCFA par action est relativement faible, ce qui explique un PER de 67,4x, extrêmement élevé par rapport à la moyenne historique de la BRVM (8-12x). Les investisseurs paient donc une prime considérable pour chaque franc de bénéfice, anticipant une croissance future très forte. Le P/B de 16,27x confirme cette valorisation exigeante, le marché valorisant l'actif net comptable plus de 16 fois au-dessus de sa valeur. Enfin, un EV/EBITDA de 34,3x (&gt; 15x) souligne que la valeur d'entreprise est très élevée par rapport à sa capacité opérationnelle, rendant l'action fondamentalement chère sur la base des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CFAC a enregistré une progression de +6,40%, mais a cédé -0,57% lors de la dernière séance, s'échangeant à 1 745 FCFA. Le titre a évolué dans une fourchette large de 1 325 à 1 825 FCFA, démontrant une dynamique haussière soutenue. La moyenne (1 613 FCFA) et la médiane (1 602 FCFA) sont très proches, indiquant une distribution symétrique des cours, confirmée par un skewness de -0,374. L'écart-type de 107 FCFA (CV=6,7%) montre une dispersion modérée autour de la moyenne. Le kurtosis de -0,340 (mésokurtique) suggère l'absence de risques de variations extrêmes (pics ou krachs soudains). La volatilité annualisée de 48,9% est très élevée (&gt;30%), classant CFAC comme un titre spéculatif à fort risque de fluctuation.</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(1 745 FCFA) se positionne au-dessus de la MM20 (1 699,25 FCFA) et de la MM50 (1 679 FCFA). Cette configuration haussière, où le prix est soutenu par les moyennes mobiles courtes et longues, génère un signal d'**Achat**. La tendance de fond reste positive.</w:t>
      </w:r>
    </w:p>
    <w:p>
      <w:pPr>
        <w:spacing w:after="120" w:line="276" w:lineRule="auto"/>
      </w:pPr>
      <w:r>
        <w:t>**Bandes de Bollinger** : Le cours se situe à 1 745 FCFA, entre la borne supérieure (1 805,29 FCFA) et la borne inférieure (1 593,21 FCFA). La position proche de la borne haute indique une pression acheteuse, mais sans sortie de canal, la décision reste **Neutre**. La largeur des bandes reflète la volatilité élevée du titre.</w:t>
      </w:r>
    </w:p>
    <w:p>
      <w:pPr>
        <w:spacing w:after="120" w:line="276" w:lineRule="auto"/>
      </w:pPr>
      <w:r>
        <w:t>**MACD** : La ligne MACD (23,391) est passée au-dessus de sa ligne de signal (19,249), générant un croisement haussier. Ce momentum positif indique une accélération de la tendance à la hausse, justifiant une décision d'**Achat**.</w:t>
      </w:r>
    </w:p>
    <w:p>
      <w:pPr>
        <w:spacing w:after="120" w:line="276" w:lineRule="auto"/>
      </w:pPr>
      <w:r>
        <w:t>**RSI** : Avec une valeur de 60,0, le RSI se situe en zone neutre (entre 30 et 70), sans signal de surachat ni de survente. Il indique une dynamique positive mais non excessive. La décision est **Neutre**, laissant une marge de progression avant une zone de surachat.</w:t>
      </w:r>
    </w:p>
    <w:p>
      <w:pPr>
        <w:spacing w:after="120" w:line="276" w:lineRule="auto"/>
      </w:pPr>
      <w:r>
        <w:t>**Stochastique** : Le %K (87,879) est inférieur au %D (91,919), et les deux sont en zone de surachat (&gt;80). Ce croisement baissier suggère un essoufflement potentiel de la hausse à court terme, justifiant une décision de **Vente**.</w:t>
      </w:r>
    </w:p>
    <w:p>
      <w:pPr>
        <w:spacing w:after="120" w:line="276" w:lineRule="auto"/>
      </w:pPr>
      <w:r>
        <w:t>**Conclusion technique** : Les signaux sont mitigés. Les moyennes mobiles et le MACD plaident pour une poursuite de la tendance haussière, tandis que le Stochastique, en zone de surachat, appelle à une prudence à court terme. Le RSI neutre et les bandes de Bollinger sans breakout n'apportent pas de direction claire. Le titre est dans une phase de consolidation après une forte progression, avec un biais haussier à moyen terme.</w:t>
      </w:r>
    </w:p>
    <w:p>
      <w:pPr>
        <w:spacing w:after="120" w:line="276" w:lineRule="auto"/>
      </w:pPr>
      <w:r>
        <w:t>---</w:t>
      </w:r>
    </w:p>
    <w:p>
      <w:pPr>
        <w:spacing w:after="120" w:line="276" w:lineRule="auto"/>
      </w:pPr>
      <w:r>
        <w:t>### PARTIE 3 : ANALYSE FONDAMENTALE (SECTION CRITIQUE)</w:t>
      </w:r>
    </w:p>
    <w:p>
      <w:pPr>
        <w:spacing w:after="120" w:line="276" w:lineRule="auto"/>
      </w:pPr>
      <w:r>
        <w:t>**En 2024**, selon les données structurées, CFAC a réalisé un chiffre d'affaires de 158,313 milliards FCFA, en baisse de -12,1% par rapport à 2023. Le résultat net s'est établi à 4,693 milliards FCFA (-26,7% vs 2023), impacté par une contraction des marges (marge nette à 2,96%) et une hausse des charges. Malgré ce repli, la rentabilité des capitaux propres (ROE) reste excellente à 24,13%, et le ROA à 5,52%. La structure financière montre une dépendance aux dettes fournisseurs (35,95 Mds) et un BFR négatif de -3,482 Mds, ce qui est favorable pour la trésorerie. Les délais de paiement clients (36,64 jours) et la durée de stockage (88,35 jours) sont des points de vigilance. **Les rapports trimestriels de 2025** (datés du 31/03, 30/06 et 30/09) indiquent un redressement spectaculaire : le CA du T3 2025 est en hausse de +18,3% et le résultat net de +38,1%, avec une marge nette améliorée à 3,42%. Sur la base de ces performances, on estime que l'exercice 2025 devrait clôturer sur une croissance solide du CA et une forte progression du résultat net, potentiellement au-delà de 7 milliards FCFA, confirmant le leadership de l'entreprise (43,4% de parts de marché). La solidité financière est réelle, mais la valorisation actuelle intègre déjà ces perspectives optimistes.</w:t>
      </w:r>
    </w:p>
    <w:p>
      <w:pPr>
        <w:spacing w:after="120" w:line="276" w:lineRule="auto"/>
      </w:pPr>
      <w:r>
        <w:t>---</w:t>
      </w:r>
    </w:p>
    <w:p>
      <w:pPr>
        <w:spacing w:after="120" w:line="276" w:lineRule="auto"/>
      </w:pPr>
      <w:r>
        <w:t>### PARTIE 4 : CONCLUSION D'INVESTISSEMENT</w:t>
      </w:r>
    </w:p>
    <w:p>
      <w:pPr>
        <w:spacing w:after="120" w:line="276" w:lineRule="auto"/>
      </w:pPr>
      <w:r>
        <w:t>La valorisation de CFAC (PER 67,4x, P/B 16,27x) est extrêmement exigeante et suggère une **surabondance de prix** par rapport aux bénéfices actuels, un frein majeur pour un nouvel investisseur. Le comportement du cours sur 100 jours est haussier avec une volatilité très élevée (48,9%), signe d'un titre spéculatif. Les signaux techniques sont partagés : les moyennes mobiles et le MACD sont positifs, mais le Stochastique en surachat et le RSI neutre indiquent un possible repli à court terme. Les fondamentaux, bien qu'en amélioration nette en 2025 (croissance du CA et des résultats), ne justifient pas pleinement une telle prime. Les prédictions IA pour les 10 prochains jours (de 1 698 à 1 602 FCFA) anticipent une correction baissière, contredisant les signaux techniques de moyen terme. En synthèse, le consensus est **mitigé**. Par conséquent, la recommandation est **CONSERVER** pour les actionnaires actuels, avec un niveau de confiance **Moyen** et un risque global **Élevé** dû à la volatilité et à la valorisation. L'horizon d'investissement optimal serait de **moyen terme (3-12 mois)** pour laisser le temps aux fondamentaux de rattraper la valorisation, tout en surveillant de près les prochains résultats annuels.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375.20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6,324 titres</w:t>
            </w:r>
          </w:p>
        </w:tc>
        <w:tc>
          <w:tcPr>
            <w:tcW w:type="dxa" w:w="2268"/>
            <w:shd w:fill="FFF2CC" w:val="clear"/>
          </w:tcPr>
          <w:p>
            <w:r>
              <w:rPr>
                <w:b/>
                <w:color w:val="503200"/>
                <w:sz w:val="16"/>
              </w:rPr>
              <w:t xml:space="preserve">Cours actuel : </w:t>
            </w:r>
            <w:r>
              <w:rPr>
                <w:color w:val="000000"/>
                <w:sz w:val="17"/>
              </w:rPr>
              <w:t>6,700 FCFA</w:t>
            </w:r>
          </w:p>
          <w:p>
            <w:r>
              <w:rPr>
                <w:b/>
                <w:color w:val="503200"/>
                <w:sz w:val="16"/>
              </w:rPr>
              <w:t xml:space="preserve">Var. 100 jours : </w:t>
            </w:r>
            <w:r>
              <w:rPr>
                <w:b/>
                <w:color w:val="007800"/>
                <w:sz w:val="17"/>
              </w:rPr>
              <w:t>+109.70%</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24.24% (Élevée) — μ=4,770 FCFA, σ=1,156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β=0.9344 (Neutre (suit le marché)) — Cov=0.000035, Var(idx)=0.000037, ρ=0.181,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6,324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52/100  (Moyen)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5,861</w:t>
            </w:r>
          </w:p>
        </w:tc>
        <w:tc>
          <w:tcPr>
            <w:tcW w:type="dxa" w:w="1440"/>
            <w:shd w:fill="FFDCE0" w:val="clear"/>
          </w:tcPr>
          <w:p>
            <w:r>
              <w:rPr>
                <w:b/>
                <w:sz w:val="17"/>
              </w:rPr>
              <w:t>6,198</w:t>
            </w:r>
          </w:p>
        </w:tc>
        <w:tc>
          <w:tcPr>
            <w:tcW w:type="dxa" w:w="1440"/>
            <w:shd w:fill="FFDCE0" w:val="clear"/>
          </w:tcPr>
          <w:p>
            <w:r>
              <w:rPr>
                <w:sz w:val="17"/>
              </w:rPr>
              <w:t>6,534</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5,292</w:t>
            </w:r>
          </w:p>
        </w:tc>
        <w:tc>
          <w:tcPr>
            <w:tcW w:type="dxa" w:w="1440"/>
            <w:shd w:fill="FFDCE0" w:val="clear"/>
          </w:tcPr>
          <w:p>
            <w:r>
              <w:rPr>
                <w:b/>
                <w:sz w:val="17"/>
              </w:rPr>
              <w:t>5,733</w:t>
            </w:r>
          </w:p>
        </w:tc>
        <w:tc>
          <w:tcPr>
            <w:tcW w:type="dxa" w:w="1440"/>
            <w:shd w:fill="FFDCE0" w:val="clear"/>
          </w:tcPr>
          <w:p>
            <w:r>
              <w:rPr>
                <w:sz w:val="17"/>
              </w:rPr>
              <w:t>6,173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4,804</w:t>
            </w:r>
          </w:p>
        </w:tc>
        <w:tc>
          <w:tcPr>
            <w:tcW w:type="dxa" w:w="1440"/>
            <w:shd w:fill="FFDCE0" w:val="clear"/>
          </w:tcPr>
          <w:p>
            <w:r>
              <w:rPr>
                <w:b/>
                <w:sz w:val="17"/>
              </w:rPr>
              <w:t>5,303</w:t>
            </w:r>
          </w:p>
        </w:tc>
        <w:tc>
          <w:tcPr>
            <w:tcW w:type="dxa" w:w="1440"/>
            <w:shd w:fill="FFDCE0" w:val="clear"/>
          </w:tcPr>
          <w:p>
            <w:r>
              <w:rPr>
                <w:sz w:val="17"/>
              </w:rPr>
              <w:t>5,802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4,372</w:t>
            </w:r>
          </w:p>
        </w:tc>
        <w:tc>
          <w:tcPr>
            <w:tcW w:type="dxa" w:w="1440"/>
            <w:shd w:fill="FFDCE0" w:val="clear"/>
          </w:tcPr>
          <w:p>
            <w:r>
              <w:rPr>
                <w:b/>
                <w:sz w:val="17"/>
              </w:rPr>
              <w:t>4,905</w:t>
            </w:r>
          </w:p>
        </w:tc>
        <w:tc>
          <w:tcPr>
            <w:tcW w:type="dxa" w:w="1440"/>
            <w:shd w:fill="FFDCE0" w:val="clear"/>
          </w:tcPr>
          <w:p>
            <w:r>
              <w:rPr>
                <w:sz w:val="17"/>
              </w:rPr>
              <w:t>5,438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3,986</w:t>
            </w:r>
          </w:p>
        </w:tc>
        <w:tc>
          <w:tcPr>
            <w:tcW w:type="dxa" w:w="1440"/>
            <w:shd w:fill="FFDCE0" w:val="clear"/>
          </w:tcPr>
          <w:p>
            <w:r>
              <w:rPr>
                <w:b/>
                <w:sz w:val="17"/>
              </w:rPr>
              <w:t>4,537</w:t>
            </w:r>
          </w:p>
        </w:tc>
        <w:tc>
          <w:tcPr>
            <w:tcW w:type="dxa" w:w="1440"/>
            <w:shd w:fill="FFDCE0" w:val="clear"/>
          </w:tcPr>
          <w:p>
            <w:r>
              <w:rPr>
                <w:sz w:val="17"/>
              </w:rPr>
              <w:t>5,088</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3,639</w:t>
            </w:r>
          </w:p>
        </w:tc>
        <w:tc>
          <w:tcPr>
            <w:tcW w:type="dxa" w:w="1440"/>
            <w:shd w:fill="FFDCE0" w:val="clear"/>
          </w:tcPr>
          <w:p>
            <w:r>
              <w:rPr>
                <w:b/>
                <w:sz w:val="17"/>
              </w:rPr>
              <w:t>4,197</w:t>
            </w:r>
          </w:p>
        </w:tc>
        <w:tc>
          <w:tcPr>
            <w:tcW w:type="dxa" w:w="1440"/>
            <w:shd w:fill="FFDCE0" w:val="clear"/>
          </w:tcPr>
          <w:p>
            <w:r>
              <w:rPr>
                <w:sz w:val="17"/>
              </w:rPr>
              <w:t>4,755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3,324</w:t>
            </w:r>
          </w:p>
        </w:tc>
        <w:tc>
          <w:tcPr>
            <w:tcW w:type="dxa" w:w="1440"/>
            <w:shd w:fill="FFDCE0" w:val="clear"/>
          </w:tcPr>
          <w:p>
            <w:r>
              <w:rPr>
                <w:b/>
                <w:sz w:val="17"/>
              </w:rPr>
              <w:t>3,882</w:t>
            </w:r>
          </w:p>
        </w:tc>
        <w:tc>
          <w:tcPr>
            <w:tcW w:type="dxa" w:w="1440"/>
            <w:shd w:fill="FFDCE0" w:val="clear"/>
          </w:tcPr>
          <w:p>
            <w:r>
              <w:rPr>
                <w:sz w:val="17"/>
              </w:rPr>
              <w:t>4,440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3,039</w:t>
            </w:r>
          </w:p>
        </w:tc>
        <w:tc>
          <w:tcPr>
            <w:tcW w:type="dxa" w:w="1440"/>
            <w:shd w:fill="FFDCE0" w:val="clear"/>
          </w:tcPr>
          <w:p>
            <w:r>
              <w:rPr>
                <w:b/>
                <w:sz w:val="17"/>
              </w:rPr>
              <w:t>3,591</w:t>
            </w:r>
          </w:p>
        </w:tc>
        <w:tc>
          <w:tcPr>
            <w:tcW w:type="dxa" w:w="1440"/>
            <w:shd w:fill="FFDCE0" w:val="clear"/>
          </w:tcPr>
          <w:p>
            <w:r>
              <w:rPr>
                <w:sz w:val="17"/>
              </w:rPr>
              <w:t>4,143</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2,780</w:t>
            </w:r>
          </w:p>
        </w:tc>
        <w:tc>
          <w:tcPr>
            <w:tcW w:type="dxa" w:w="1440"/>
            <w:shd w:fill="FFDCE0" w:val="clear"/>
          </w:tcPr>
          <w:p>
            <w:r>
              <w:rPr>
                <w:b/>
                <w:sz w:val="17"/>
              </w:rPr>
              <w:t>3,322</w:t>
            </w:r>
          </w:p>
        </w:tc>
        <w:tc>
          <w:tcPr>
            <w:tcW w:type="dxa" w:w="1440"/>
            <w:shd w:fill="FFDCE0" w:val="clear"/>
          </w:tcPr>
          <w:p>
            <w:r>
              <w:rPr>
                <w:sz w:val="17"/>
              </w:rPr>
              <w:t>3,863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2,674</w:t>
            </w:r>
          </w:p>
        </w:tc>
        <w:tc>
          <w:tcPr>
            <w:tcW w:type="dxa" w:w="1440"/>
            <w:shd w:fill="FFDCE0" w:val="clear"/>
          </w:tcPr>
          <w:p>
            <w:r>
              <w:rPr>
                <w:b/>
                <w:sz w:val="17"/>
              </w:rPr>
              <w:t>3,229</w:t>
            </w:r>
          </w:p>
        </w:tc>
        <w:tc>
          <w:tcPr>
            <w:tcW w:type="dxa" w:w="1440"/>
            <w:shd w:fill="FFDCE0" w:val="clear"/>
          </w:tcPr>
          <w:p>
            <w:r>
              <w:rPr>
                <w:sz w:val="17"/>
              </w:rPr>
              <w:t>3,783</w:t>
            </w:r>
          </w:p>
        </w:tc>
        <w:tc>
          <w:tcPr>
            <w:tcW w:type="dxa" w:w="1440"/>
            <w:shd w:fill="FFDCE0" w:val="clear"/>
          </w:tcPr>
          <w:p>
            <w:r>
              <w:rPr>
                <w:b/>
                <w:color w:val="C00000"/>
                <w:sz w:val="17"/>
              </w:rPr>
              <w:t>-51.8%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CIEC s'établit à 375,20 milliards FCFA, positionnant le titre parmi les valeurs moyennes du marché BRVM, dans un secteur stratégique et régulé. Le BPA de 234 FCFA indique que chaque action a généré un bénéfice de ce montant sur l'exercice 2025. Le PER de 28,6x est nettement supérieur à la moyenne historique de la BRVM (8-12x), signe que les investisseurs anticipent une forte croissance future ou que le titre est surévalué à court terme. Le P/B de 10,43x confirme cette prime élevée, le marché valorisant l'action plus de dix fois sa valeur comptable, ce qui est exigeant. Enfin, l'EV/EBITDA de 15,2x, supérieur au seuil de 15x, indique une valorisation opérationnelle très exigeante, intégrant des hypothèses de croissance soutenue des flux de trésorerie.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+109,70%, passant d'un plus bas de 3 000 FCFA à un plus haut de 7 190 FCFA, avec un cours actuel de 6 700 FCFA. Cette tendance fortement haussière s'est accompagnée d'une stagnation à la dernière séance (variation J-1 de 0,00%). La moyenne du cours sur la période est de 4 770 FCFA, tandis que la médiane s'établit à 5 000 FCFA, indiquant une distribution relativement symétrique, confirmée par un skewness proche de zéro (0,006). L'écart-type de 1 162 FCFA (CV de 24,4%) révèle une dispersion modérée des prix autour de la moyenne. Le kurtosis de -0,791, qualifié de mésokurtique, suggère une distribution proche de la normale, sans risque de pics extrêmes. La volatilité annualisée de 49,8% classe le titre comme très volatil, un niveau élevé qui implique des fluctuations importantes et un risque accru pour les investisseurs.</w:t>
      </w:r>
    </w:p>
    <w:p>
      <w:pPr>
        <w:spacing w:after="120" w:line="276" w:lineRule="auto" w:before="240"/>
      </w:pPr>
      <w:r>
        <w:rPr>
          <w:b/>
          <w:color w:val="003366"/>
          <w:sz w:val="24"/>
        </w:rPr>
        <w:t>**PARTIE 2 : ANALYSE TECHNIQUE DÉTAILLÉE**</w:t>
      </w:r>
    </w:p>
    <w:p>
      <w:pPr>
        <w:spacing w:after="120" w:line="276" w:lineRule="auto"/>
      </w:pPr>
      <w:r>
        <w:t>**Moyennes Mobiles** : La MM20 à 6 280,5 FCFA et la MM50 à 5 642,0 FCFA sont toutes deux inférieures au cours actuel de 6 700 FCFA, confirmant une dynamique haussière à court et moyen terme. La décision d'achat est justifiée par cette configuration positive où le prix évolue au-dessus de ses moyennes mobiles, signe d'un momentum haussier soutenu.</w:t>
      </w:r>
    </w:p>
    <w:p>
      <w:pPr>
        <w:spacing w:after="120" w:line="276" w:lineRule="auto"/>
      </w:pPr>
      <w:r>
        <w:t>**Bandes de Bollinger** : Le cours se situe à 6 700 FCFA, entre la borne supérieure (7 686,1 FCFA) et la borne inférieure (4 874,8 FCFA), mais plus proche de la borne haute, indiquant une pression acheteuse persistante. La décision neutre s'explique par le fait que le prix n'a pas encore touché les bornes extrêmes, laissant place à une possible poursuite de la tendance ou un retournement.</w:t>
      </w:r>
    </w:p>
    <w:p>
      <w:pPr>
        <w:spacing w:after="120" w:line="276" w:lineRule="auto"/>
      </w:pPr>
      <w:r>
        <w:t>**MACD** : La valeur du MACD (366,995) est légèrement inférieure à son signal (385,653), indiquant un affaiblissement du momentum haussier. La décision de vente est justifiée par ce croisement baissier naissant, qui suggère une possible correction à court terme après une forte progression.</w:t>
      </w:r>
    </w:p>
    <w:p>
      <w:pPr>
        <w:spacing w:after="120" w:line="276" w:lineRule="auto"/>
      </w:pPr>
      <w:r>
        <w:t>**RSI** : Avec une valeur de 71,585, le RSI entre en zone de surachat (au-dessus de 70), signalant que le titre est potentiellement surévalué à court terme. La décision de vente est cohérente avec cette lecture, car un RSI élevé précède souvent un repli technique.</w:t>
      </w:r>
    </w:p>
    <w:p>
      <w:pPr>
        <w:spacing w:after="120" w:line="276" w:lineRule="auto"/>
      </w:pPr>
      <w:r>
        <w:t>**Stochastique** : Le %K (61,417) est inférieur au %D (64,169), indiquant une dynamique baissière naissante, bien que les deux restent en zone neutre. La décision neutre reflète l'absence de signal fort, le croisement n'étant pas encore confirmé.</w:t>
      </w:r>
    </w:p>
    <w:p>
      <w:pPr>
        <w:spacing w:after="120" w:line="276" w:lineRule="auto"/>
      </w:pPr>
      <w:r>
        <w:t>**Conclusion technique** : Les indicateurs techniques sont mitigés : les moyennes mobiles soutiennent une tendance haussière, mais le RSI en surachat et le MACD baissier signalent un essoufflement possible. La prudence est de mise à court terme, avec un risque de correction après une hausse de plus de 100% en 100 jours.</w:t>
      </w:r>
    </w:p>
    <w:p>
      <w:pPr>
        <w:spacing w:after="120" w:line="276" w:lineRule="auto" w:before="240"/>
      </w:pPr>
      <w:r>
        <w:rPr>
          <w:b/>
          <w:color w:val="003366"/>
          <w:sz w:val="24"/>
        </w:rPr>
        <w:t>**PARTIE 3 : ANALYSE FONDAMENTALE (SECTION CRITIQUE)**</w:t>
      </w:r>
    </w:p>
    <w:p>
      <w:pPr>
        <w:spacing w:after="120" w:line="276" w:lineRule="auto"/>
      </w:pPr>
      <w:r>
        <w:t>En 2025, la CIEC affiche un chiffre d'affaires de 302,320 milliards FCFA, en croissance de 14,8% par rapport à 2024 (263,294 milliards FCFA), et un résultat net de 13,127 milliards FCFA, en hausse de 24,4% (contre 10,526 milliards en 2024). Le ROE est excellent à 36,5%, tandis que le ROA reste faible à 0,65%, en raison d'un total bilan très élevé (2 018,4 milliards FCFA). En tant qu'entreprise de services publics, le BFR négatif de -90,244 milliards FCFA est un point très favorable, indiquant que la société finance son exploitation grâce aux délais fournisseurs (970 jours) et clients (164 jours). Le ratio d'endettement de 612,9% et l'autonomie financière de 1,78% sont préoccupants, mais la capacité de remboursement de 7,64 ans et la couverture des intérêts de 617,7% offrent une certaine marge de sécurité. Les rapports du premier semestre 2025 (datés du 30 juin 2025) montrent un CA semestriel de 134,9 milliards FCFA (+18,85%), laissant estimer une poursuite de la croissance au second semestre. Le rapport de l'exercice 2025 (daté du 31 décembre 2025) confirme la solidité du modèle avec une marge nette de 4,3% et une politique de dividende généreuse (234 FCFA par action, soit 99,8% du résultat net). Les perspectives 2026 restent favorables, portées par la croissance de la demande énergétique et l'expansion de la base clientèle (5,28 millions de clients).</w:t>
      </w:r>
    </w:p>
    <w:p>
      <w:pPr>
        <w:spacing w:after="120" w:line="276" w:lineRule="auto" w:before="240"/>
      </w:pPr>
      <w:r>
        <w:rPr>
          <w:b/>
          <w:color w:val="003366"/>
          <w:sz w:val="24"/>
        </w:rPr>
        <w:t>**PARTIE 4 : CONCLUSION D'INVESTISSEMENT**</w:t>
      </w:r>
    </w:p>
    <w:p>
      <w:pPr>
        <w:spacing w:after="120" w:line="276" w:lineRule="auto"/>
      </w:pPr>
      <w:r>
        <w:t>La valorisation actuelle de la CIEC (PER de 28,6x, P/B de 10,43x, EV/EBITDA de 15,2x) indique une nette surévaluation par rapport aux fondamentaux historiques du marché BRVM, intégrant des attentes de croissance très optimistes. Le comportement du cours sur 100 jours (+109,7%) avec une volatilité élevée de 49,8% et une distribution symétrique (skewness proche de zéro) reflète un enthousiasme marqué mais potentiellement excessif. Les signaux techniques sont divergents : les moyennes mobiles restent haussières, mais le RSI en surachat (71,6) et le MACD baissier suggèrent un risque de correction. Les fondamentaux sont solides avec une croissance du CA de 14,8% et un ROE de 36,5%, mais la structure financière reste fragile avec un endettement élevé. Les prédictions IA pour les 10 prochains jours (chute de 6 198 à 4 537 FCFA) confirment ce risque de correction technique. En synthèse, la convergence entre la surévaluation, les signaux techniques négatifs et les prédictions IA baissières conduit à une recommandation de **VENTE** pour les investisseurs à court terme, avec un niveau de confiance **Moyen** et un risque global **Élevé**. L'horizon d'investissement optimal serait de moyen terme (3-12 mois) après une éventuelle correction, afin de profiter des fondamentaux solides à un prix plus raisonnable.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975.77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3,898 titres</w:t>
            </w:r>
          </w:p>
        </w:tc>
        <w:tc>
          <w:tcPr>
            <w:tcW w:type="dxa" w:w="2268"/>
            <w:shd w:fill="FFF2CC" w:val="clear"/>
          </w:tcPr>
          <w:p>
            <w:r>
              <w:rPr>
                <w:b/>
                <w:color w:val="503200"/>
                <w:sz w:val="16"/>
              </w:rPr>
              <w:t xml:space="preserve">Cours actuel : </w:t>
            </w:r>
            <w:r>
              <w:rPr>
                <w:color w:val="000000"/>
                <w:sz w:val="17"/>
              </w:rPr>
              <w:t>17,725 FCFA</w:t>
            </w:r>
          </w:p>
          <w:p>
            <w:r>
              <w:rPr>
                <w:b/>
                <w:color w:val="503200"/>
                <w:sz w:val="16"/>
              </w:rPr>
              <w:t xml:space="preserve">Var. 100 jours : </w:t>
            </w:r>
            <w:r>
              <w:rPr>
                <w:b/>
                <w:color w:val="007800"/>
                <w:sz w:val="17"/>
              </w:rPr>
              <w:t>+9.35%</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2.59% (Faible) — μ=16,374 FCFA, σ=424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β=0.4776 (Défensif) — Cov=0.000018, Var(idx)=0.000037, ρ=0.163,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16,885</w:t>
            </w:r>
          </w:p>
        </w:tc>
        <w:tc>
          <w:tcPr>
            <w:tcW w:type="dxa" w:w="1440"/>
            <w:shd w:fill="FFDCE0" w:val="clear"/>
          </w:tcPr>
          <w:p>
            <w:r>
              <w:rPr>
                <w:b/>
                <w:sz w:val="17"/>
              </w:rPr>
              <w:t>17,312</w:t>
            </w:r>
          </w:p>
        </w:tc>
        <w:tc>
          <w:tcPr>
            <w:tcW w:type="dxa" w:w="1440"/>
            <w:shd w:fill="FFDCE0" w:val="clear"/>
          </w:tcPr>
          <w:p>
            <w:r>
              <w:rPr>
                <w:sz w:val="17"/>
              </w:rPr>
              <w:t>17,739</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16,696</w:t>
            </w:r>
          </w:p>
        </w:tc>
        <w:tc>
          <w:tcPr>
            <w:tcW w:type="dxa" w:w="1440"/>
            <w:shd w:fill="FFDCE0" w:val="clear"/>
          </w:tcPr>
          <w:p>
            <w:r>
              <w:rPr>
                <w:b/>
                <w:sz w:val="17"/>
              </w:rPr>
              <w:t>17,299</w:t>
            </w:r>
          </w:p>
        </w:tc>
        <w:tc>
          <w:tcPr>
            <w:tcW w:type="dxa" w:w="1440"/>
            <w:shd w:fill="FFDCE0" w:val="clear"/>
          </w:tcPr>
          <w:p>
            <w:r>
              <w:rPr>
                <w:sz w:val="17"/>
              </w:rPr>
              <w:t>17,903</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16,523</w:t>
            </w:r>
          </w:p>
        </w:tc>
        <w:tc>
          <w:tcPr>
            <w:tcW w:type="dxa" w:w="1440"/>
            <w:shd w:fill="FFDCE0" w:val="clear"/>
          </w:tcPr>
          <w:p>
            <w:r>
              <w:rPr>
                <w:b/>
                <w:sz w:val="17"/>
              </w:rPr>
              <w:t>17,260</w:t>
            </w:r>
          </w:p>
        </w:tc>
        <w:tc>
          <w:tcPr>
            <w:tcW w:type="dxa" w:w="1440"/>
            <w:shd w:fill="FFDCE0" w:val="clear"/>
          </w:tcPr>
          <w:p>
            <w:r>
              <w:rPr>
                <w:sz w:val="17"/>
              </w:rPr>
              <w:t>17,998</w:t>
            </w:r>
          </w:p>
        </w:tc>
        <w:tc>
          <w:tcPr>
            <w:tcW w:type="dxa" w:w="1440"/>
            <w:shd w:fill="FFDCE0" w:val="clear"/>
          </w:tcPr>
          <w:p>
            <w:r>
              <w:rPr>
                <w:b/>
                <w:color w:val="C00000"/>
                <w:sz w:val="17"/>
              </w:rPr>
              <w:t>-2.6%</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16,379</w:t>
            </w:r>
          </w:p>
        </w:tc>
        <w:tc>
          <w:tcPr>
            <w:tcW w:type="dxa" w:w="1440"/>
            <w:shd w:fill="FFDCE0" w:val="clear"/>
          </w:tcPr>
          <w:p>
            <w:r>
              <w:rPr>
                <w:b/>
                <w:sz w:val="17"/>
              </w:rPr>
              <w:t>17,229</w:t>
            </w:r>
          </w:p>
        </w:tc>
        <w:tc>
          <w:tcPr>
            <w:tcW w:type="dxa" w:w="1440"/>
            <w:shd w:fill="FFDCE0" w:val="clear"/>
          </w:tcPr>
          <w:p>
            <w:r>
              <w:rPr>
                <w:sz w:val="17"/>
              </w:rPr>
              <w:t>18,079</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16,255</w:t>
            </w:r>
          </w:p>
        </w:tc>
        <w:tc>
          <w:tcPr>
            <w:tcW w:type="dxa" w:w="1440"/>
            <w:shd w:fill="FFDCE0" w:val="clear"/>
          </w:tcPr>
          <w:p>
            <w:r>
              <w:rPr>
                <w:b/>
                <w:sz w:val="17"/>
              </w:rPr>
              <w:t>17,204</w:t>
            </w:r>
          </w:p>
        </w:tc>
        <w:tc>
          <w:tcPr>
            <w:tcW w:type="dxa" w:w="1440"/>
            <w:shd w:fill="FFDCE0" w:val="clear"/>
          </w:tcPr>
          <w:p>
            <w:r>
              <w:rPr>
                <w:sz w:val="17"/>
              </w:rPr>
              <w:t>18,152</w:t>
            </w:r>
          </w:p>
        </w:tc>
        <w:tc>
          <w:tcPr>
            <w:tcW w:type="dxa" w:w="1440"/>
            <w:shd w:fill="FFDCE0" w:val="clear"/>
          </w:tcPr>
          <w:p>
            <w:r>
              <w:rPr>
                <w:b/>
                <w:color w:val="C00000"/>
                <w:sz w:val="17"/>
              </w:rPr>
              <w:t>-2.9%</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16,142</w:t>
            </w:r>
          </w:p>
        </w:tc>
        <w:tc>
          <w:tcPr>
            <w:tcW w:type="dxa" w:w="1440"/>
            <w:shd w:fill="FFDCE0" w:val="clear"/>
          </w:tcPr>
          <w:p>
            <w:r>
              <w:rPr>
                <w:b/>
                <w:sz w:val="17"/>
              </w:rPr>
              <w:t>17,179</w:t>
            </w:r>
          </w:p>
        </w:tc>
        <w:tc>
          <w:tcPr>
            <w:tcW w:type="dxa" w:w="1440"/>
            <w:shd w:fill="FFDCE0" w:val="clear"/>
          </w:tcPr>
          <w:p>
            <w:r>
              <w:rPr>
                <w:sz w:val="17"/>
              </w:rPr>
              <w:t>18,217</w:t>
            </w:r>
          </w:p>
        </w:tc>
        <w:tc>
          <w:tcPr>
            <w:tcW w:type="dxa" w:w="1440"/>
            <w:shd w:fill="FFDCE0" w:val="clear"/>
          </w:tcPr>
          <w:p>
            <w:r>
              <w:rPr>
                <w:b/>
                <w:color w:val="C00000"/>
                <w:sz w:val="17"/>
              </w:rPr>
              <w:t>-3.1%</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16,036</w:t>
            </w:r>
          </w:p>
        </w:tc>
        <w:tc>
          <w:tcPr>
            <w:tcW w:type="dxa" w:w="1440"/>
            <w:shd w:fill="FFDCE0" w:val="clear"/>
          </w:tcPr>
          <w:p>
            <w:r>
              <w:rPr>
                <w:b/>
                <w:sz w:val="17"/>
              </w:rPr>
              <w:t>17,156</w:t>
            </w:r>
          </w:p>
        </w:tc>
        <w:tc>
          <w:tcPr>
            <w:tcW w:type="dxa" w:w="1440"/>
            <w:shd w:fill="FFDCE0" w:val="clear"/>
          </w:tcPr>
          <w:p>
            <w:r>
              <w:rPr>
                <w:sz w:val="17"/>
              </w:rPr>
              <w:t>18,275</w:t>
            </w:r>
          </w:p>
        </w:tc>
        <w:tc>
          <w:tcPr>
            <w:tcW w:type="dxa" w:w="1440"/>
            <w:shd w:fill="FFDCE0" w:val="clear"/>
          </w:tcPr>
          <w:p>
            <w:r>
              <w:rPr>
                <w:b/>
                <w:color w:val="C00000"/>
                <w:sz w:val="17"/>
              </w:rPr>
              <w:t>-3.2%</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15,937</w:t>
            </w:r>
          </w:p>
        </w:tc>
        <w:tc>
          <w:tcPr>
            <w:tcW w:type="dxa" w:w="1440"/>
            <w:shd w:fill="FFDCE0" w:val="clear"/>
          </w:tcPr>
          <w:p>
            <w:r>
              <w:rPr>
                <w:b/>
                <w:sz w:val="17"/>
              </w:rPr>
              <w:t>17,132</w:t>
            </w:r>
          </w:p>
        </w:tc>
        <w:tc>
          <w:tcPr>
            <w:tcW w:type="dxa" w:w="1440"/>
            <w:shd w:fill="FFDCE0" w:val="clear"/>
          </w:tcPr>
          <w:p>
            <w:r>
              <w:rPr>
                <w:sz w:val="17"/>
              </w:rPr>
              <w:t>18,328</w:t>
            </w:r>
          </w:p>
        </w:tc>
        <w:tc>
          <w:tcPr>
            <w:tcW w:type="dxa" w:w="1440"/>
            <w:shd w:fill="FFDCE0" w:val="clear"/>
          </w:tcPr>
          <w:p>
            <w:r>
              <w:rPr>
                <w:b/>
                <w:color w:val="C00000"/>
                <w:sz w:val="17"/>
              </w:rPr>
              <w:t>-3.3%</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15,843</w:t>
            </w:r>
          </w:p>
        </w:tc>
        <w:tc>
          <w:tcPr>
            <w:tcW w:type="dxa" w:w="1440"/>
            <w:shd w:fill="FFDCE0" w:val="clear"/>
          </w:tcPr>
          <w:p>
            <w:r>
              <w:rPr>
                <w:b/>
                <w:sz w:val="17"/>
              </w:rPr>
              <w:t>17,109</w:t>
            </w:r>
          </w:p>
        </w:tc>
        <w:tc>
          <w:tcPr>
            <w:tcW w:type="dxa" w:w="1440"/>
            <w:shd w:fill="FFDCE0" w:val="clear"/>
          </w:tcPr>
          <w:p>
            <w:r>
              <w:rPr>
                <w:sz w:val="17"/>
              </w:rPr>
              <w:t>18,375</w:t>
            </w:r>
          </w:p>
        </w:tc>
        <w:tc>
          <w:tcPr>
            <w:tcW w:type="dxa" w:w="1440"/>
            <w:shd w:fill="FFDCE0" w:val="clear"/>
          </w:tcPr>
          <w:p>
            <w:r>
              <w:rPr>
                <w:b/>
                <w:color w:val="C00000"/>
                <w:sz w:val="17"/>
              </w:rPr>
              <w:t>-3.5%</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15,753</w:t>
            </w:r>
          </w:p>
        </w:tc>
        <w:tc>
          <w:tcPr>
            <w:tcW w:type="dxa" w:w="1440"/>
            <w:shd w:fill="FFDCE0" w:val="clear"/>
          </w:tcPr>
          <w:p>
            <w:r>
              <w:rPr>
                <w:b/>
                <w:sz w:val="17"/>
              </w:rPr>
              <w:t>17,086</w:t>
            </w:r>
          </w:p>
        </w:tc>
        <w:tc>
          <w:tcPr>
            <w:tcW w:type="dxa" w:w="1440"/>
            <w:shd w:fill="FFDCE0" w:val="clear"/>
          </w:tcPr>
          <w:p>
            <w:r>
              <w:rPr>
                <w:sz w:val="17"/>
              </w:rPr>
              <w:t>18,419</w:t>
            </w:r>
          </w:p>
        </w:tc>
        <w:tc>
          <w:tcPr>
            <w:tcW w:type="dxa" w:w="1440"/>
            <w:shd w:fill="FFDCE0" w:val="clear"/>
          </w:tcPr>
          <w:p>
            <w:r>
              <w:rPr>
                <w:b/>
                <w:color w:val="C00000"/>
                <w:sz w:val="17"/>
              </w:rPr>
              <w:t>-3.6%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05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d'ECOC s'établit à 975,77 milliards FCFA, ce qui en fait l'une des plus importantes capitalisations de la BRVM, reflétant son statut de leader bancaire régional. Le BPA de 1 153 FCFA indique que chaque action a généré un bénéfice substantiel sur l'exercice. Le PER de 15,4x se situe nettement au-dessus de la moyenne historique de la BRVM (8-12x), signifiant que les investisseurs acceptent de payer une prime pour la qualité des actifs et la croissance future, mais le titre n'est pas excessivement cher pour une banque de cette envergure. Le P/B de 4,46x est en revanche exigeant, le marché valorisant fortement les capitaux propres, ce qui reflète un ROE exceptionnel. Enfin, l'EV/EBITDA de 14,9x, bien que dans la fourchette haute (10-15x), confirme une valorisation qui intègre des perspectives de croissance solides.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 affiché une progression de +9,35%, avec une dernière séance en hausse de +1,29%, clôturant à un niveau record de 17 725 FCFA. Le cours a évolué dans un range de 15 520 à 17 725 FCFA, démontrant une tendance haussière soutenue. La moyenne (16 374 FCFA) est légèrement supérieure à la médiane (16 300 FCFA), et le skewness positif de 0,525 indique une asymétrie vers les rendements positifs, avec des journées plus fréquentes sous la moyenne mais des gains plus importants au-dessus. L'écart-type de 426 FCFA (CV=2,6%) révèle une dispersion très faible, témoignant d'une stabilité remarquable. Le kurtosis de 0,295 (mésokurtique) suggère une distribution proche de la normale, sans risque de variations extrêmes. Enfin, la volatilité annualisée de 28,3% classe le titre dans la catégorie modérée (15-30%), acceptable pour un investisseur institutionnel.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(17 725 FCFA) se positionne nettement au-dessus de la MM20 (16 629,75 FCFA) et de la MM50 (16 474,7 FCFA). Cette configuration haussière, avec des moyennes croissantes, confirme une dynamique positive à court et moyen terme. La décision d'achat est justifiée par la solidité de la tendance.</w:t>
      </w:r>
    </w:p>
    <w:p>
      <w:pPr>
        <w:spacing w:after="120" w:line="276" w:lineRule="auto"/>
      </w:pPr>
      <w:r>
        <w:t>**Bandes de Bollinger :** Le prix évolue au contact de la borne supérieure (17 663,63 FCFA), indiquant une pression acheteuse intense. Cette situation suggère une phase de surachat temporaire, d'où la décision de vente. La largeur des bandes reflète une volatilité modérée, mais le dépassement de la borne supérieure pourrait signaler une extension de tendance ou un retournement imminent.</w:t>
      </w:r>
    </w:p>
    <w:p>
      <w:pPr>
        <w:spacing w:after="120" w:line="276" w:lineRule="auto"/>
      </w:pPr>
      <w:r>
        <w:t>**MACD :** Le MACD (288,39) est nettement supérieur à sa ligne de signal (171,63), avec un écart positif croissant. Cette configuration confirme un momentum haussier robuste, justifiant la décision d'achat. La dynamique positive du MACD suggère que la tendance haussière pourrait se poursuivre à court terme.</w:t>
      </w:r>
    </w:p>
    <w:p>
      <w:pPr>
        <w:spacing w:after="120" w:line="276" w:lineRule="auto"/>
      </w:pPr>
      <w:r>
        <w:t>**RSI :** Le RSI à 74,33 dépasse le seuil de surachat (70), indiquant que le titre est techniquement surévalué à court terme. La décision de vente est donc justifiée, mais dans une tendance haussière forte, le RSI peut rester en zone de surachat pendant une période prolongée avant un éventuel repli.</w:t>
      </w:r>
    </w:p>
    <w:p>
      <w:pPr>
        <w:spacing w:after="120" w:line="276" w:lineRule="auto"/>
      </w:pPr>
      <w:r>
        <w:t>**Stochastique :** Le %K et le %D sont tous deux à 100, un niveau extrême de surachat. Cette configuration signale que le titre est dans une phase de forte surchauffe, avec un risque élevé de correction technique. La décision de vente est cohérente avec cette lecture.</w:t>
      </w:r>
    </w:p>
    <w:p>
      <w:pPr>
        <w:spacing w:after="120" w:line="276" w:lineRule="auto"/>
      </w:pPr>
      <w:r>
        <w:t>**Conclusion technique :** Les indicateurs de tendance (MM, MACD) sont résolument haussiers, mais les oscillateurs (RSI, Stochastique, Bollinger) signalent un surachat extrême. Cette divergence suggère qu'un repli technique est probable à très court terme, mais la tendance de fond reste positive. Les investisseurs devraient surveiller un éventuel retour vers la zone des 17 000 FCFA comme point d'entrée potentiel.</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d'ECOC révèlent une performance financière exceptionnelle. Le Produit Net Bancaire (PNB) s'établit à **132,725 milliards FCFA**, en croissance de 8,5%, avec un résultat net de **63,482 milliards FCFA**. La rentabilité est remarquable : le ROE atteint **29,04%** et le ROA **3,09%**, tous deux nettement au-dessus des seuils d'excellence (15% et 1% respectivement). Le coefficient d'exploitation de **42,89%** témoigne d'une gestion rigoureuse des coûts, bien en dessous de la norme de 60%. La qualité du portefeuille est maîtrisée avec un coût du risque modéré à 1,36%. La structure financière est solide avec des dépôts clientèle de **1 626,223 milliards FCFA** (en hausse de 33,2% selon le rapport T3 2025) contre des créances de **1 050,803 milliards FCFA**, soit un ratio de transformation de 64,6%, indiquant une liquidité abondante. Les rapports trimestriels 2025 confirment cette dynamique : le T3 2025 (publié le 30/09/2025) affiche un PNB de 96,4 milliards FCFA (+11,3%) et un résultat net de 44,4 milliards FCFA (+15,4%). Le rapport annuel 2024 (publié le 31/12/2024) montrait déjà une croissance de 11% du PNB et de 19,6% du résultat net. **Sur la base du rapport T1 2026** (PNB de 30,8 milliards FCFA, +3,7%, résultat net de 13,0 milliards FCFA, -1,6%), on estime que l'exercice 2026 pourrait voir un PNB d'environ 137 milliards FCFA et un résultat net autour de 62-63 milliards FCFA, avec un ROE qui pourrait se maintenir au-dessus de 25%. La banque propose un dividende de **888 FCFA brut par action** pour 2025, en hausse de 10,4% par rapport à 2024 (804 FCFA), portant le rendement à environ 5%. Les fondamentaux d'ECOC sont donc excellents, portés par une croissance soutenue, une efficacité opérationnelle remarquable et une politique actionnariale généreuse.</w:t>
      </w:r>
    </w:p>
    <w:p>
      <w:pPr>
        <w:spacing w:after="120" w:line="276" w:lineRule="auto"/>
      </w:pPr>
      <w:r>
        <w:t>---</w:t>
      </w:r>
    </w:p>
    <w:p>
      <w:pPr>
        <w:spacing w:after="120" w:line="276" w:lineRule="auto"/>
      </w:pPr>
      <w:r>
        <w:t>### PARTIE 4 : CONCLUSION D'INVESTISSEMENT</w:t>
      </w:r>
    </w:p>
    <w:p>
      <w:pPr>
        <w:spacing w:after="120" w:line="276" w:lineRule="auto"/>
      </w:pPr>
      <w:r>
        <w:t>La valorisation d'ECOC (PER 15,4x, P/B 4,46x) est exigeante mais justifiée par la qualité exceptionnelle des fondamentaux (ROE &gt;29%, coefficient d'exploitation &lt;43%). Le comportement du cours montre une tendance haussière stable avec une volatilité modérée et une distribution normale, favorable pour un investissement de long terme. Les signaux techniques sont mitigés : la tendance (MM, MACD) est haussière, mais les oscillateurs (RSI, Stochastique) indiquent un surachat extrême, suggérant un repli technique imminent. Les fondamentaux demeurent le principal moteur, avec une croissance soutenue du PNB et du résultat net, une qualité de crédit maîtrisée et une politique de dividende attractive (rendement ~5%). Les prédictions IA (J+1 à J+10) montrent une légère correction de 17 312 à 17 204 FCFA, confirmant le scénario de consolidation technique. **Recommandation finale : ACHAT** sur repli, avec un niveau de confiance **Élevé** et un risque global **Moyen**. L'horizon d'investissement optimal est le **moyen terme (3-12 mois)**, en visant un point d'entrée entre 16 800 et 17 000 FCFA pour profiter d'une éventuelle correction technique avant la poursuite de la tendance haussière de fond.</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1283.97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1,488,673 titres</w:t>
            </w:r>
          </w:p>
        </w:tc>
        <w:tc>
          <w:tcPr>
            <w:tcW w:type="dxa" w:w="2268"/>
            <w:shd w:fill="FFF2CC" w:val="clear"/>
          </w:tcPr>
          <w:p>
            <w:r>
              <w:rPr>
                <w:b/>
                <w:color w:val="503200"/>
                <w:sz w:val="16"/>
              </w:rPr>
              <w:t xml:space="preserve">Cours actuel : </w:t>
            </w:r>
            <w:r>
              <w:rPr>
                <w:color w:val="000000"/>
                <w:sz w:val="17"/>
              </w:rPr>
              <w:t>71 FCFA</w:t>
            </w:r>
          </w:p>
          <w:p>
            <w:r>
              <w:rPr>
                <w:b/>
                <w:color w:val="503200"/>
                <w:sz w:val="16"/>
              </w:rPr>
              <w:t xml:space="preserve">Var. 100 jours : </w:t>
            </w:r>
            <w:r>
              <w:rPr>
                <w:b/>
                <w:color w:val="007800"/>
                <w:sz w:val="17"/>
              </w:rPr>
              <w:t>+108.82%</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37.83% (Élevée) — μ=47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β=2.7674 (Très agressif) — Cov=0.000103, Var(idx)=0.000037, ρ=0.405,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1,488,673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σ_j=4.16%/j (Modérée) — Vol. annualisée≈66.0%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61</w:t>
            </w:r>
          </w:p>
        </w:tc>
        <w:tc>
          <w:tcPr>
            <w:tcW w:type="dxa" w:w="1440"/>
            <w:shd w:fill="FFDCE0" w:val="clear"/>
          </w:tcPr>
          <w:p>
            <w:r>
              <w:rPr>
                <w:b/>
                <w:sz w:val="17"/>
              </w:rPr>
              <w:t>66</w:t>
            </w:r>
          </w:p>
        </w:tc>
        <w:tc>
          <w:tcPr>
            <w:tcW w:type="dxa" w:w="1440"/>
            <w:shd w:fill="FFDCE0" w:val="clear"/>
          </w:tcPr>
          <w:p>
            <w:r>
              <w:rPr>
                <w:sz w:val="17"/>
              </w:rPr>
              <w:t>70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55</w:t>
            </w:r>
          </w:p>
        </w:tc>
        <w:tc>
          <w:tcPr>
            <w:tcW w:type="dxa" w:w="1440"/>
            <w:shd w:fill="FFDCE0" w:val="clear"/>
          </w:tcPr>
          <w:p>
            <w:r>
              <w:rPr>
                <w:b/>
                <w:sz w:val="17"/>
              </w:rPr>
              <w:t>61</w:t>
            </w:r>
          </w:p>
        </w:tc>
        <w:tc>
          <w:tcPr>
            <w:tcW w:type="dxa" w:w="1440"/>
            <w:shd w:fill="FFDCE0" w:val="clear"/>
          </w:tcPr>
          <w:p>
            <w:r>
              <w:rPr>
                <w:sz w:val="17"/>
              </w:rPr>
              <w:t>66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50</w:t>
            </w:r>
          </w:p>
        </w:tc>
        <w:tc>
          <w:tcPr>
            <w:tcW w:type="dxa" w:w="1440"/>
            <w:shd w:fill="FFDCE0" w:val="clear"/>
          </w:tcPr>
          <w:p>
            <w:r>
              <w:rPr>
                <w:b/>
                <w:sz w:val="17"/>
              </w:rPr>
              <w:t>56</w:t>
            </w:r>
          </w:p>
        </w:tc>
        <w:tc>
          <w:tcPr>
            <w:tcW w:type="dxa" w:w="1440"/>
            <w:shd w:fill="FFDCE0" w:val="clear"/>
          </w:tcPr>
          <w:p>
            <w:r>
              <w:rPr>
                <w:sz w:val="17"/>
              </w:rPr>
              <w:t>63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45</w:t>
            </w:r>
          </w:p>
        </w:tc>
        <w:tc>
          <w:tcPr>
            <w:tcW w:type="dxa" w:w="1440"/>
            <w:shd w:fill="FFDCE0" w:val="clear"/>
          </w:tcPr>
          <w:p>
            <w:r>
              <w:rPr>
                <w:b/>
                <w:sz w:val="17"/>
              </w:rPr>
              <w:t>52</w:t>
            </w:r>
          </w:p>
        </w:tc>
        <w:tc>
          <w:tcPr>
            <w:tcW w:type="dxa" w:w="1440"/>
            <w:shd w:fill="FFDCE0" w:val="clear"/>
          </w:tcPr>
          <w:p>
            <w:r>
              <w:rPr>
                <w:sz w:val="17"/>
              </w:rPr>
              <w:t>59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41</w:t>
            </w:r>
          </w:p>
        </w:tc>
        <w:tc>
          <w:tcPr>
            <w:tcW w:type="dxa" w:w="1440"/>
            <w:shd w:fill="FFDCE0" w:val="clear"/>
          </w:tcPr>
          <w:p>
            <w:r>
              <w:rPr>
                <w:b/>
                <w:sz w:val="17"/>
              </w:rPr>
              <w:t>48</w:t>
            </w:r>
          </w:p>
        </w:tc>
        <w:tc>
          <w:tcPr>
            <w:tcW w:type="dxa" w:w="1440"/>
            <w:shd w:fill="FFDCE0" w:val="clear"/>
          </w:tcPr>
          <w:p>
            <w:r>
              <w:rPr>
                <w:sz w:val="17"/>
              </w:rPr>
              <w:t>55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37</w:t>
            </w:r>
          </w:p>
        </w:tc>
        <w:tc>
          <w:tcPr>
            <w:tcW w:type="dxa" w:w="1440"/>
            <w:shd w:fill="FFDCE0" w:val="clear"/>
          </w:tcPr>
          <w:p>
            <w:r>
              <w:rPr>
                <w:b/>
                <w:sz w:val="17"/>
              </w:rPr>
              <w:t>44</w:t>
            </w:r>
          </w:p>
        </w:tc>
        <w:tc>
          <w:tcPr>
            <w:tcW w:type="dxa" w:w="1440"/>
            <w:shd w:fill="FFDCE0" w:val="clear"/>
          </w:tcPr>
          <w:p>
            <w:r>
              <w:rPr>
                <w:sz w:val="17"/>
              </w:rPr>
              <w:t>52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34</w:t>
            </w:r>
          </w:p>
        </w:tc>
        <w:tc>
          <w:tcPr>
            <w:tcW w:type="dxa" w:w="1440"/>
            <w:shd w:fill="FFDCE0" w:val="clear"/>
          </w:tcPr>
          <w:p>
            <w:r>
              <w:rPr>
                <w:b/>
                <w:sz w:val="17"/>
              </w:rPr>
              <w:t>41</w:t>
            </w:r>
          </w:p>
        </w:tc>
        <w:tc>
          <w:tcPr>
            <w:tcW w:type="dxa" w:w="1440"/>
            <w:shd w:fill="FFDCE0" w:val="clear"/>
          </w:tcPr>
          <w:p>
            <w:r>
              <w:rPr>
                <w:sz w:val="17"/>
              </w:rPr>
              <w:t>48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31</w:t>
            </w:r>
          </w:p>
        </w:tc>
        <w:tc>
          <w:tcPr>
            <w:tcW w:type="dxa" w:w="1440"/>
            <w:shd w:fill="FFDCE0" w:val="clear"/>
          </w:tcPr>
          <w:p>
            <w:r>
              <w:rPr>
                <w:b/>
                <w:sz w:val="17"/>
              </w:rPr>
              <w:t>38</w:t>
            </w:r>
          </w:p>
        </w:tc>
        <w:tc>
          <w:tcPr>
            <w:tcW w:type="dxa" w:w="1440"/>
            <w:shd w:fill="FFDCE0" w:val="clear"/>
          </w:tcPr>
          <w:p>
            <w:r>
              <w:rPr>
                <w:sz w:val="17"/>
              </w:rPr>
              <w:t>45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28</w:t>
            </w:r>
          </w:p>
        </w:tc>
        <w:tc>
          <w:tcPr>
            <w:tcW w:type="dxa" w:w="1440"/>
            <w:shd w:fill="FFDCE0" w:val="clear"/>
          </w:tcPr>
          <w:p>
            <w:r>
              <w:rPr>
                <w:b/>
                <w:sz w:val="17"/>
              </w:rPr>
              <w:t>35</w:t>
            </w:r>
          </w:p>
        </w:tc>
        <w:tc>
          <w:tcPr>
            <w:tcW w:type="dxa" w:w="1440"/>
            <w:shd w:fill="FFDCE0" w:val="clear"/>
          </w:tcPr>
          <w:p>
            <w:r>
              <w:rPr>
                <w:sz w:val="17"/>
              </w:rPr>
              <w:t>42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26</w:t>
            </w:r>
          </w:p>
        </w:tc>
        <w:tc>
          <w:tcPr>
            <w:tcW w:type="dxa" w:w="1440"/>
            <w:shd w:fill="FFDCE0" w:val="clear"/>
          </w:tcPr>
          <w:p>
            <w:r>
              <w:rPr>
                <w:b/>
                <w:sz w:val="17"/>
              </w:rPr>
              <w:t>33</w:t>
            </w:r>
          </w:p>
        </w:tc>
        <w:tc>
          <w:tcPr>
            <w:tcW w:type="dxa" w:w="1440"/>
            <w:shd w:fill="FFDCE0" w:val="clear"/>
          </w:tcPr>
          <w:p>
            <w:r>
              <w:rPr>
                <w:sz w:val="17"/>
              </w:rPr>
              <w:t>39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1 283,97 milliards FCFA, ce qui en fait l'une des plus importantes capitalisations de la BRVM, reflétant le statut de leader panafricain du groupe. Avec un BPA de 19 FCFA, le PER de 3,7x est remarquablement bas, très inférieur à la moyenne de la BRVM (8-12x), indiquant que le marché ne paie pas cher pour les bénéfices générés. Le P/B de 0,80x confirme cette sous-évaluation, le marché valorisant le titre sous sa valeur comptable, ce qui suggère une opportunité potentielle pour les investisseurs. Enfin, l'EV/EBITDA de 5,1x se situe dans une fourchette raisonnable (5-10x), indiquant que la valeur totale de l'entreprise reste modérée par rapport à sa capacité opérationnelle. L'ensemble de ces ratios converge vers une sous-évaluation relative du titre.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d'ETIT a connu une progression spectaculaire de +108,82%, passant d'un plus bas de 26 FCFA à un plus haut de 78 FCFA, avec une dernière séance en hausse de +2,90% à 71 FCFA. La moyenne de 47 FCFA est nettement supérieure à la médiane de 36 FCFA, indiquant une distribution asymétrique vers les valeurs hautes, ce qui confirme la vigueur du mouvement haussier. L'écart-type de 18 FCFA avec un coefficient de variation de 38% témoigne d'une dispersion importante du cours, tandis que le kurtosis négatif de -1,726 (platykurtique) suggère une distribution aplatie avec moins de risques de pics extrêmes. Le skewness de 0,298 indique une distribution relativement symétrique. La volatilité annualisée de 66% est très élevée, positionnant ETIT comme un titre spéculatif à fort potentiel mais également à risque substantiel.</w:t>
      </w:r>
    </w:p>
    <w:p>
      <w:pPr>
        <w:spacing w:after="120" w:line="276" w:lineRule="auto" w:before="240"/>
      </w:pPr>
      <w:r>
        <w:rPr>
          <w:b/>
          <w:color w:val="003366"/>
          <w:sz w:val="24"/>
        </w:rPr>
        <w:t>**PARTIE 2 : ANALYSE TECHNIQUE DÉTAILLÉE**</w:t>
      </w:r>
    </w:p>
    <w:p>
      <w:pPr>
        <w:spacing w:after="120" w:line="276" w:lineRule="auto"/>
      </w:pPr>
      <w:r>
        <w:t>**Moyennes Mobiles** : Le cours actuel de 71 FCFA se positionne au-dessus de la MM20 (66,95 FCFA) et de la MM50 (63,08 FCFA), confirmant une tendance haussière solide à court et moyen terme. La configuration des moyennes mobiles, avec le cours évoluant au-dessus des deux, génère un signal d'achat cohérent avec la dynamique positive du titre.</w:t>
      </w:r>
    </w:p>
    <w:p>
      <w:pPr>
        <w:spacing w:after="120" w:line="276" w:lineRule="auto"/>
      </w:pPr>
      <w:r>
        <w:t>**Bandes de Bollinger** : Le cours à 71 FCFA a franchi la borne supérieure (70,225 FCFA), signalant une condition de surachat temporaire. Cette sortie des bandes indique une volatilité accrue et un momentum haussier puissant, mais suggère également un risque de correction technique à court terme. La décision de vente associée à cet indicateur reflète cette tension.</w:t>
      </w:r>
    </w:p>
    <w:p>
      <w:pPr>
        <w:spacing w:after="120" w:line="276" w:lineRule="auto"/>
      </w:pPr>
      <w:r>
        <w:t>**MACD** : La valeur du MACD (1,467) est légèrement inférieure à son signal (1,546), indiquant un affaiblissement du momentum haussier. Cette configuration baissière suggère une possible consolidation ou correction après la forte progression récente, bien que les deux valeurs restent positives.</w:t>
      </w:r>
    </w:p>
    <w:p>
      <w:pPr>
        <w:spacing w:after="120" w:line="276" w:lineRule="auto"/>
      </w:pPr>
      <w:r>
        <w:t>**RSI** : À 56,0, le RSI se situe en zone neutre, indiquant que le titre n'est ni suracheté ni survendu. Cette valeur suggère qu'il reste une marge de progression avant d'atteindre des niveaux de surachat, tout en confirmant la solidité de la tendance haussière actuelle.</w:t>
      </w:r>
    </w:p>
    <w:p>
      <w:pPr>
        <w:spacing w:after="120" w:line="276" w:lineRule="auto"/>
      </w:pPr>
      <w:r>
        <w:t>**Stochastique** : Le %K à 100,0 avec un %D à 77,778 indique une condition de surachat extrême. Cette configuration signale un épuisement potentiel du mouvement haussier à très court terme, justifiant la décision de vente. Un croisement baissier du %K sous le %D serait un signal de retournement.</w:t>
      </w:r>
    </w:p>
    <w:p>
      <w:pPr>
        <w:spacing w:after="120" w:line="276" w:lineRule="auto"/>
      </w:pPr>
      <w:r>
        <w:t>**Conclusion technique** : Les indicateurs techniques sont mitigés, avec une divergence entre les moyennes mobiles (achat) et les oscillateurs de momentum (vente). La tendance de fond reste haussière, mais les conditions de surachat extrême du stochastique et la sortie des bandes de Bollinger suggèrent un risque élevé de consolidation à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d'ETIT révèlent une banque performante avec un Produit Net Bancaire de 1 424,261 milliards FCFA et un résultat net de 345,523 milliards FCFA. Le ROE de 21,62% est excellent, dépassant largement le seuil de 15%, tandis que le ROA de 1,80% reste satisfaisant pour le secteur bancaire. Le coefficient d'exploitation de 27,35% est exceptionnel, bien en dessous du seuil de 60% considéré comme efficace, démontrant une maîtrise remarquable des charges. Le coût du risque de 18,97% reste élevé, indiquant un risque de crédit significatif. Les dépôts clientèle (14 120,139 milliards FCFA) représentent plus du double des créances clientèle (6 570,385 milliards FCFA), montrant une transformation saine. Les rapports semestriels 2026 (publiés en juillet 2026) confirment la dynamique positive avec un PNB en hausse de +15% à 721,318 milliards FCFA et un résultat net consolidé de 166,682 milliards FCFA, malgré un coût du risque en augmentation de +40%. Le rapport du T1 2026 (publié en avril 2026) montre une accélération avec un PNB en hausse de +23%, suggérant une croissance soutenue pour l'exercice 2026. On estime que l'exercice 2026 pourrait dépasser les performances de 2025, avec un PNB annuel potentiel de 1 500-1 600 milliards FCFA et un résultat net de 350-400 milliards FCFA. La solidité financière est confirmée par une solvabilité générale de 109,06% et des capitaux propres de 1 597,846 milliards FCFA, bien que l'autonomie financière de 8,30% reste faible, traduisant une forte dépendance aux dettes.</w:t>
      </w:r>
    </w:p>
    <w:p>
      <w:pPr>
        <w:spacing w:after="120" w:line="276" w:lineRule="auto" w:before="240"/>
      </w:pPr>
      <w:r>
        <w:rPr>
          <w:b/>
          <w:color w:val="003366"/>
          <w:sz w:val="24"/>
        </w:rPr>
        <w:t>**PARTIE 4 : CONCLUSION D'INVESTISSEMENT**</w:t>
      </w:r>
    </w:p>
    <w:p>
      <w:pPr>
        <w:spacing w:after="120" w:line="276" w:lineRule="auto"/>
      </w:pPr>
      <w:r>
        <w:t>La valorisation d'ETIT est extrêmement attractive avec un PER de 3,7x et un P/B de 0,80x, indiquant une sous-évaluation manifeste par rapport aux fondamentaux. Le comportement du cours sur 100 jours montre une tendance haussière spectaculaire de +108,82%, mais avec une volatilité très élevée de 66% qui implique un risque substantiel. Les signaux techniques sont divergents : les moyennes mobiles confirment la tendance haussière tandis que le stochastique et les bandes de Bollinger signalent des conditions de surachat extrême. Les fondamentaux restent excellents avec un ROE de 21,62%, un coefficient d'exploitation de 27,35% et une croissance soutenue du PNB, malgré un coût du risque en hausse. Les prédictions IA anticipent une correction significative vers 48-52 FCFA sur 10 jours, contredisant la tendance haussière récente et suggérant un retour à des niveaux plus soutenables. La recommandation finale est **CONSERVER** avec un niveau de confiance **Moyen**, car la sous-évaluation fondamentale et les excellents ratios justifient une détention à moyen-long terme, mais les signaux techniques de surachat et les prédictions IA de correction incitent à la prudence à court terme. Le risque global est **Élevé** en raison de la volatilité extrême, et l'horizon d'investissement optimal serait le **moyen terme (3-12 mois)** pour capitaliser sur la convergence entre les fondamentaux solides et une éventuelle correction technique.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3,999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B40000"/>
                <w:sz w:val="17"/>
              </w:rPr>
              <w:t>-6.72%</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μ=2,144 FCFA, σ=129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β=0.6201 (Défensif) — Cov=0.000023, Var(idx)=0.000037, ρ=0.169,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σ_j=2.23%/j (Stable) — Vol. annualisée≈35.4%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2,085</w:t>
            </w:r>
          </w:p>
        </w:tc>
        <w:tc>
          <w:tcPr>
            <w:tcW w:type="dxa" w:w="1440"/>
            <w:shd w:fill="FAFAFA" w:val="clear"/>
          </w:tcPr>
          <w:p>
            <w:r>
              <w:rPr>
                <w:b/>
                <w:sz w:val="17"/>
              </w:rPr>
              <w:t>2,160</w:t>
            </w:r>
          </w:p>
        </w:tc>
        <w:tc>
          <w:tcPr>
            <w:tcW w:type="dxa" w:w="1440"/>
            <w:shd w:fill="FAFAFA" w:val="clear"/>
          </w:tcPr>
          <w:p>
            <w:r>
              <w:rPr>
                <w:sz w:val="17"/>
              </w:rPr>
              <w:t>2,235</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2,063</w:t>
            </w:r>
          </w:p>
        </w:tc>
        <w:tc>
          <w:tcPr>
            <w:tcW w:type="dxa" w:w="1440"/>
            <w:shd w:fill="FAFAFA" w:val="clear"/>
          </w:tcPr>
          <w:p>
            <w:r>
              <w:rPr>
                <w:b/>
                <w:sz w:val="17"/>
              </w:rPr>
              <w:t>2,170</w:t>
            </w:r>
          </w:p>
        </w:tc>
        <w:tc>
          <w:tcPr>
            <w:tcW w:type="dxa" w:w="1440"/>
            <w:shd w:fill="FAFAFA" w:val="clear"/>
          </w:tcPr>
          <w:p>
            <w:r>
              <w:rPr>
                <w:sz w:val="17"/>
              </w:rPr>
              <w:t>2,276</w:t>
            </w:r>
          </w:p>
        </w:tc>
        <w:tc>
          <w:tcPr>
            <w:tcW w:type="dxa" w:w="1440"/>
            <w:shd w:fill="FAFAFA" w:val="clear"/>
          </w:tcPr>
          <w:p>
            <w:r>
              <w:rPr>
                <w:b/>
                <w:color w:val="008000"/>
                <w:sz w:val="17"/>
              </w:rPr>
              <w:t>+0.9%</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2,049</w:t>
            </w:r>
          </w:p>
        </w:tc>
        <w:tc>
          <w:tcPr>
            <w:tcW w:type="dxa" w:w="1440"/>
            <w:shd w:fill="FAFAFA" w:val="clear"/>
          </w:tcPr>
          <w:p>
            <w:r>
              <w:rPr>
                <w:b/>
                <w:sz w:val="17"/>
              </w:rPr>
              <w:t>2,180</w:t>
            </w:r>
          </w:p>
        </w:tc>
        <w:tc>
          <w:tcPr>
            <w:tcW w:type="dxa" w:w="1440"/>
            <w:shd w:fill="FAFAFA" w:val="clear"/>
          </w:tcPr>
          <w:p>
            <w:r>
              <w:rPr>
                <w:sz w:val="17"/>
              </w:rPr>
              <w:t>2,310</w:t>
            </w:r>
          </w:p>
        </w:tc>
        <w:tc>
          <w:tcPr>
            <w:tcW w:type="dxa" w:w="1440"/>
            <w:shd w:fill="FAFAFA" w:val="clear"/>
          </w:tcPr>
          <w:p>
            <w:r>
              <w:rPr>
                <w:b/>
                <w:color w:val="008000"/>
                <w:sz w:val="17"/>
              </w:rPr>
              <w:t>+1.4%</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2,037</w:t>
            </w:r>
          </w:p>
        </w:tc>
        <w:tc>
          <w:tcPr>
            <w:tcW w:type="dxa" w:w="1440"/>
            <w:shd w:fill="FAFAFA" w:val="clear"/>
          </w:tcPr>
          <w:p>
            <w:r>
              <w:rPr>
                <w:b/>
                <w:sz w:val="17"/>
              </w:rPr>
              <w:t>2,189</w:t>
            </w:r>
          </w:p>
        </w:tc>
        <w:tc>
          <w:tcPr>
            <w:tcW w:type="dxa" w:w="1440"/>
            <w:shd w:fill="FAFAFA" w:val="clear"/>
          </w:tcPr>
          <w:p>
            <w:r>
              <w:rPr>
                <w:sz w:val="17"/>
              </w:rPr>
              <w:t>2,341</w:t>
            </w:r>
          </w:p>
        </w:tc>
        <w:tc>
          <w:tcPr>
            <w:tcW w:type="dxa" w:w="1440"/>
            <w:shd w:fill="FAFAFA" w:val="clear"/>
          </w:tcPr>
          <w:p>
            <w:r>
              <w:rPr>
                <w:b/>
                <w:color w:val="008000"/>
                <w:sz w:val="17"/>
              </w:rPr>
              <w:t>+1.8%</w:t>
            </w:r>
          </w:p>
        </w:tc>
      </w:tr>
      <w:tr>
        <w:tc>
          <w:tcPr>
            <w:tcW w:type="dxa" w:w="1440"/>
            <w:shd w:fill="C6EFCE" w:val="clear"/>
          </w:tcPr>
          <w:p>
            <w:r>
              <w:rPr>
                <w:sz w:val="17"/>
              </w:rPr>
              <w:t>J+5  ⭐</w:t>
            </w:r>
          </w:p>
        </w:tc>
        <w:tc>
          <w:tcPr>
            <w:tcW w:type="dxa" w:w="1440"/>
            <w:shd w:fill="C6EFCE" w:val="clear"/>
          </w:tcPr>
          <w:p>
            <w:r>
              <w:rPr>
                <w:sz w:val="17"/>
              </w:rPr>
              <w:t>2026-09-11</w:t>
            </w:r>
          </w:p>
        </w:tc>
        <w:tc>
          <w:tcPr>
            <w:tcW w:type="dxa" w:w="1440"/>
            <w:shd w:fill="C6EFCE" w:val="clear"/>
          </w:tcPr>
          <w:p>
            <w:r>
              <w:rPr>
                <w:sz w:val="17"/>
              </w:rPr>
              <w:t>2,028</w:t>
            </w:r>
          </w:p>
        </w:tc>
        <w:tc>
          <w:tcPr>
            <w:tcW w:type="dxa" w:w="1440"/>
            <w:shd w:fill="C6EFCE" w:val="clear"/>
          </w:tcPr>
          <w:p>
            <w:r>
              <w:rPr>
                <w:b/>
                <w:sz w:val="17"/>
              </w:rPr>
              <w:t>2,199</w:t>
            </w:r>
          </w:p>
        </w:tc>
        <w:tc>
          <w:tcPr>
            <w:tcW w:type="dxa" w:w="1440"/>
            <w:shd w:fill="C6EFCE" w:val="clear"/>
          </w:tcPr>
          <w:p>
            <w:r>
              <w:rPr>
                <w:sz w:val="17"/>
              </w:rPr>
              <w:t>2,369</w:t>
            </w:r>
          </w:p>
        </w:tc>
        <w:tc>
          <w:tcPr>
            <w:tcW w:type="dxa" w:w="1440"/>
            <w:shd w:fill="C6EFCE" w:val="clear"/>
          </w:tcPr>
          <w:p>
            <w:r>
              <w:rPr>
                <w:b/>
                <w:color w:val="008000"/>
                <w:sz w:val="17"/>
              </w:rPr>
              <w:t>+2.3%</w:t>
            </w:r>
          </w:p>
        </w:tc>
      </w:tr>
      <w:tr>
        <w:tc>
          <w:tcPr>
            <w:tcW w:type="dxa" w:w="1440"/>
            <w:shd w:fill="C6EFCE" w:val="clear"/>
          </w:tcPr>
          <w:p>
            <w:r>
              <w:rPr>
                <w:sz w:val="17"/>
              </w:rPr>
              <w:t>J+6  ⭐</w:t>
            </w:r>
          </w:p>
        </w:tc>
        <w:tc>
          <w:tcPr>
            <w:tcW w:type="dxa" w:w="1440"/>
            <w:shd w:fill="C6EFCE" w:val="clear"/>
          </w:tcPr>
          <w:p>
            <w:r>
              <w:rPr>
                <w:sz w:val="17"/>
              </w:rPr>
              <w:t>2026-09-14</w:t>
            </w:r>
          </w:p>
        </w:tc>
        <w:tc>
          <w:tcPr>
            <w:tcW w:type="dxa" w:w="1440"/>
            <w:shd w:fill="C6EFCE" w:val="clear"/>
          </w:tcPr>
          <w:p>
            <w:r>
              <w:rPr>
                <w:sz w:val="17"/>
              </w:rPr>
              <w:t>2,021</w:t>
            </w:r>
          </w:p>
        </w:tc>
        <w:tc>
          <w:tcPr>
            <w:tcW w:type="dxa" w:w="1440"/>
            <w:shd w:fill="C6EFCE" w:val="clear"/>
          </w:tcPr>
          <w:p>
            <w:r>
              <w:rPr>
                <w:b/>
                <w:sz w:val="17"/>
              </w:rPr>
              <w:t>2,208</w:t>
            </w:r>
          </w:p>
        </w:tc>
        <w:tc>
          <w:tcPr>
            <w:tcW w:type="dxa" w:w="1440"/>
            <w:shd w:fill="C6EFCE" w:val="clear"/>
          </w:tcPr>
          <w:p>
            <w:r>
              <w:rPr>
                <w:sz w:val="17"/>
              </w:rPr>
              <w:t>2,396</w:t>
            </w:r>
          </w:p>
        </w:tc>
        <w:tc>
          <w:tcPr>
            <w:tcW w:type="dxa" w:w="1440"/>
            <w:shd w:fill="C6EFCE" w:val="clear"/>
          </w:tcPr>
          <w:p>
            <w:r>
              <w:rPr>
                <w:b/>
                <w:color w:val="008000"/>
                <w:sz w:val="17"/>
              </w:rPr>
              <w:t>+2.7%</w:t>
            </w:r>
          </w:p>
        </w:tc>
      </w:tr>
      <w:tr>
        <w:tc>
          <w:tcPr>
            <w:tcW w:type="dxa" w:w="1440"/>
            <w:shd w:fill="C6EFCE" w:val="clear"/>
          </w:tcPr>
          <w:p>
            <w:r>
              <w:rPr>
                <w:sz w:val="17"/>
              </w:rPr>
              <w:t>J+7  ⭐</w:t>
            </w:r>
          </w:p>
        </w:tc>
        <w:tc>
          <w:tcPr>
            <w:tcW w:type="dxa" w:w="1440"/>
            <w:shd w:fill="C6EFCE" w:val="clear"/>
          </w:tcPr>
          <w:p>
            <w:r>
              <w:rPr>
                <w:sz w:val="17"/>
              </w:rPr>
              <w:t>2026-09-15</w:t>
            </w:r>
          </w:p>
        </w:tc>
        <w:tc>
          <w:tcPr>
            <w:tcW w:type="dxa" w:w="1440"/>
            <w:shd w:fill="C6EFCE" w:val="clear"/>
          </w:tcPr>
          <w:p>
            <w:r>
              <w:rPr>
                <w:sz w:val="17"/>
              </w:rPr>
              <w:t>2,014</w:t>
            </w:r>
          </w:p>
        </w:tc>
        <w:tc>
          <w:tcPr>
            <w:tcW w:type="dxa" w:w="1440"/>
            <w:shd w:fill="C6EFCE" w:val="clear"/>
          </w:tcPr>
          <w:p>
            <w:r>
              <w:rPr>
                <w:b/>
                <w:sz w:val="17"/>
              </w:rPr>
              <w:t>2,218</w:t>
            </w:r>
          </w:p>
        </w:tc>
        <w:tc>
          <w:tcPr>
            <w:tcW w:type="dxa" w:w="1440"/>
            <w:shd w:fill="C6EFCE" w:val="clear"/>
          </w:tcPr>
          <w:p>
            <w:r>
              <w:rPr>
                <w:sz w:val="17"/>
              </w:rPr>
              <w:t>2,421</w:t>
            </w:r>
          </w:p>
        </w:tc>
        <w:tc>
          <w:tcPr>
            <w:tcW w:type="dxa" w:w="1440"/>
            <w:shd w:fill="C6EFCE" w:val="clear"/>
          </w:tcPr>
          <w:p>
            <w:r>
              <w:rPr>
                <w:b/>
                <w:color w:val="008000"/>
                <w:sz w:val="17"/>
              </w:rPr>
              <w:t>+3.2%</w:t>
            </w:r>
          </w:p>
        </w:tc>
      </w:tr>
      <w:tr>
        <w:tc>
          <w:tcPr>
            <w:tcW w:type="dxa" w:w="1440"/>
            <w:shd w:fill="C6EFCE" w:val="clear"/>
          </w:tcPr>
          <w:p>
            <w:r>
              <w:rPr>
                <w:sz w:val="17"/>
              </w:rPr>
              <w:t>J+8  ⭐</w:t>
            </w:r>
          </w:p>
        </w:tc>
        <w:tc>
          <w:tcPr>
            <w:tcW w:type="dxa" w:w="1440"/>
            <w:shd w:fill="C6EFCE" w:val="clear"/>
          </w:tcPr>
          <w:p>
            <w:r>
              <w:rPr>
                <w:sz w:val="17"/>
              </w:rPr>
              <w:t>2026-09-16</w:t>
            </w:r>
          </w:p>
        </w:tc>
        <w:tc>
          <w:tcPr>
            <w:tcW w:type="dxa" w:w="1440"/>
            <w:shd w:fill="C6EFCE" w:val="clear"/>
          </w:tcPr>
          <w:p>
            <w:r>
              <w:rPr>
                <w:sz w:val="17"/>
              </w:rPr>
              <w:t>2,009</w:t>
            </w:r>
          </w:p>
        </w:tc>
        <w:tc>
          <w:tcPr>
            <w:tcW w:type="dxa" w:w="1440"/>
            <w:shd w:fill="C6EFCE" w:val="clear"/>
          </w:tcPr>
          <w:p>
            <w:r>
              <w:rPr>
                <w:b/>
                <w:sz w:val="17"/>
              </w:rPr>
              <w:t>2,227</w:t>
            </w:r>
          </w:p>
        </w:tc>
        <w:tc>
          <w:tcPr>
            <w:tcW w:type="dxa" w:w="1440"/>
            <w:shd w:fill="C6EFCE" w:val="clear"/>
          </w:tcPr>
          <w:p>
            <w:r>
              <w:rPr>
                <w:sz w:val="17"/>
              </w:rPr>
              <w:t>2,446</w:t>
            </w:r>
          </w:p>
        </w:tc>
        <w:tc>
          <w:tcPr>
            <w:tcW w:type="dxa" w:w="1440"/>
            <w:shd w:fill="C6EFCE" w:val="clear"/>
          </w:tcPr>
          <w:p>
            <w:r>
              <w:rPr>
                <w:b/>
                <w:color w:val="008000"/>
                <w:sz w:val="17"/>
              </w:rPr>
              <w:t>+3.6%</w:t>
            </w:r>
          </w:p>
        </w:tc>
      </w:tr>
      <w:tr>
        <w:tc>
          <w:tcPr>
            <w:tcW w:type="dxa" w:w="1440"/>
            <w:shd w:fill="C6EFCE" w:val="clear"/>
          </w:tcPr>
          <w:p>
            <w:r>
              <w:rPr>
                <w:sz w:val="17"/>
              </w:rPr>
              <w:t>J+9  ⭐</w:t>
            </w:r>
          </w:p>
        </w:tc>
        <w:tc>
          <w:tcPr>
            <w:tcW w:type="dxa" w:w="1440"/>
            <w:shd w:fill="C6EFCE" w:val="clear"/>
          </w:tcPr>
          <w:p>
            <w:r>
              <w:rPr>
                <w:sz w:val="17"/>
              </w:rPr>
              <w:t>2026-09-17</w:t>
            </w:r>
          </w:p>
        </w:tc>
        <w:tc>
          <w:tcPr>
            <w:tcW w:type="dxa" w:w="1440"/>
            <w:shd w:fill="C6EFCE" w:val="clear"/>
          </w:tcPr>
          <w:p>
            <w:r>
              <w:rPr>
                <w:sz w:val="17"/>
              </w:rPr>
              <w:t>2,004</w:t>
            </w:r>
          </w:p>
        </w:tc>
        <w:tc>
          <w:tcPr>
            <w:tcW w:type="dxa" w:w="1440"/>
            <w:shd w:fill="C6EFCE" w:val="clear"/>
          </w:tcPr>
          <w:p>
            <w:r>
              <w:rPr>
                <w:b/>
                <w:sz w:val="17"/>
              </w:rPr>
              <w:t>2,237</w:t>
            </w:r>
          </w:p>
        </w:tc>
        <w:tc>
          <w:tcPr>
            <w:tcW w:type="dxa" w:w="1440"/>
            <w:shd w:fill="C6EFCE" w:val="clear"/>
          </w:tcPr>
          <w:p>
            <w:r>
              <w:rPr>
                <w:sz w:val="17"/>
              </w:rPr>
              <w:t>2,470</w:t>
            </w:r>
          </w:p>
        </w:tc>
        <w:tc>
          <w:tcPr>
            <w:tcW w:type="dxa" w:w="1440"/>
            <w:shd w:fill="C6EFCE" w:val="clear"/>
          </w:tcPr>
          <w:p>
            <w:r>
              <w:rPr>
                <w:b/>
                <w:color w:val="008000"/>
                <w:sz w:val="17"/>
              </w:rPr>
              <w:t>+4.0%</w:t>
            </w:r>
          </w:p>
        </w:tc>
      </w:tr>
      <w:tr>
        <w:tc>
          <w:tcPr>
            <w:tcW w:type="dxa" w:w="1440"/>
            <w:shd w:fill="C6EFCE" w:val="clear"/>
          </w:tcPr>
          <w:p>
            <w:r>
              <w:rPr>
                <w:sz w:val="17"/>
              </w:rPr>
              <w:t>J+10  ⭐</w:t>
            </w:r>
          </w:p>
        </w:tc>
        <w:tc>
          <w:tcPr>
            <w:tcW w:type="dxa" w:w="1440"/>
            <w:shd w:fill="C6EFCE" w:val="clear"/>
          </w:tcPr>
          <w:p>
            <w:r>
              <w:rPr>
                <w:sz w:val="17"/>
              </w:rPr>
              <w:t>2026-09-18</w:t>
            </w:r>
          </w:p>
        </w:tc>
        <w:tc>
          <w:tcPr>
            <w:tcW w:type="dxa" w:w="1440"/>
            <w:shd w:fill="C6EFCE" w:val="clear"/>
          </w:tcPr>
          <w:p>
            <w:r>
              <w:rPr>
                <w:sz w:val="17"/>
              </w:rPr>
              <w:t>2,000</w:t>
            </w:r>
          </w:p>
        </w:tc>
        <w:tc>
          <w:tcPr>
            <w:tcW w:type="dxa" w:w="1440"/>
            <w:shd w:fill="C6EFCE" w:val="clear"/>
          </w:tcPr>
          <w:p>
            <w:r>
              <w:rPr>
                <w:b/>
                <w:sz w:val="17"/>
              </w:rPr>
              <w:t>2,247</w:t>
            </w:r>
          </w:p>
        </w:tc>
        <w:tc>
          <w:tcPr>
            <w:tcW w:type="dxa" w:w="1440"/>
            <w:shd w:fill="C6EFCE" w:val="clear"/>
          </w:tcPr>
          <w:p>
            <w:r>
              <w:rPr>
                <w:sz w:val="17"/>
              </w:rPr>
              <w:t>2,493</w:t>
            </w:r>
          </w:p>
        </w:tc>
        <w:tc>
          <w:tcPr>
            <w:tcW w:type="dxa" w:w="1440"/>
            <w:shd w:fill="C6EFCE" w:val="clear"/>
          </w:tcPr>
          <w:p>
            <w:r>
              <w:rPr>
                <w:b/>
                <w:color w:val="008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de l'analyse : 07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30,32 milliards FCFA, un niveau modeste qui la classe parmi les valeurs moyennes de la cote. Avec un BPA de seulement 33 FCFA, le PER ressort à 65,1x, un niveau extrêmement élevé au regard de la moyenne historique de la BRVM (8-12x). Les investisseurs paient donc un prix très supérieur aux bénéfices actuels, ce qui traduit soit une anticipation de croissance future, soit une surévaluation relative. Le P/B de 1,93x indique que le marché valorise la société à près du double de ses capitaux propres, ce qui reste raisonnable. Enfin, l'EV/EBITDA de 38,1x est très exigeant, signalant que la valeur totale de l'entreprise (dette incluse) est chère par rapport à sa capacité opérationnelle brute. Ces ratios appellent à une grande prudence.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FTSC a reculé de 6,72%, avec une légère baisse de 0,23% lors de la dernière séance, clôturant à 2 150 FCFA. Le titre a évolué dans une fourchette de 1 910 à 2 430 FCFA, démontrant une amplitude de trading significative. La moyenne (2 144 FCFA) et la médiane (2 178 FCFA) sont proches, indiquant une distribution symétrique des prix, confirmée par un skewness de -0,053. Le kurtosis de -0,976 (mésokurtique) suggère une distribution proche de la normale, sans risque de variations extrêmes. L'écart-type de 130 FCFA (CV=6,1%) montre une dispersion modérée autour de la moyenne. La volatilité annualisée de 35,4% est élevée (&gt;30%), indiquant un titre risqué à court terme. La tendance générale sur la période est baissière, le cours évoluant sous ses plus hauts récents.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(2 150 FCFA) est très proche de la MM20 (2 150,75 FCFA) et nettement au-dessus de la MM50 (2 048,2 FCFA). Cette configuration, où le prix se maintient au-dessus de la moyenne à long terme, suggère une dynamique positive à moyen terme. La décision d'achat est justifiée par la tendance haussière de fond, malgré le récent ralentissement.</w:t>
      </w:r>
    </w:p>
    <w:p>
      <w:pPr>
        <w:spacing w:after="120" w:line="276" w:lineRule="auto"/>
      </w:pPr>
      <w:r>
        <w:t>**Bandes de Bollinger** : Le prix se situe à 2 150 FCFA, entre la borne inférieure (2 063,5 FCFA) et la borne supérieure (2 237,9 FCFA), proche de la moyenne mobile. Cette position neutre indique une volatilité modérée sans pression directionnelle forte. La décision "Neutre" est cohérente avec l'absence de cassure des bornes.</w:t>
      </w:r>
    </w:p>
    <w:p>
      <w:pPr>
        <w:spacing w:after="120" w:line="276" w:lineRule="auto"/>
      </w:pPr>
      <w:r>
        <w:t>**MACD** : La valeur du MACD (26,38) est inférieure à son signal (29,98), ce qui génère un signal de vente. Cette configuration indique un ralentissement du momentum haussier. La décision de vente suggère une possible correction à court terme, même si les valeurs restent positives.</w:t>
      </w:r>
    </w:p>
    <w:p>
      <w:pPr>
        <w:spacing w:after="120" w:line="276" w:lineRule="auto"/>
      </w:pPr>
      <w:r>
        <w:t>**RSI** : À 44,44, le RSI se situe dans la zone neutre (30-70), indiquant un marché sans excès d'achat ni de vente. Cette valeur reflète une absence de dynamique directionnelle claire, justifiant une position d'attente.</w:t>
      </w:r>
    </w:p>
    <w:p>
      <w:pPr>
        <w:spacing w:after="120" w:line="276" w:lineRule="auto"/>
      </w:pPr>
      <w:r>
        <w:t>**Stochastique** : Le %K (66,67) est inférieur au %D (73,89), montrant un croisement baissier potentiel. Cependant, les deux valeurs restent en zone positive, ce qui nuance le signal. La décision "Neutre" est appropriée, le titre n'étant ni suracheté ni survendu.</w:t>
      </w:r>
    </w:p>
    <w:p>
      <w:pPr>
        <w:spacing w:after="120" w:line="276" w:lineRule="auto"/>
      </w:pPr>
      <w:r>
        <w:t>**Conclusion technique** : Les indicateurs sont mitigés : les moyennes mobiles suggèrent une tendance haussière de fond, tandis que le MACD et le stochastique montrent un essoufflement à court terme. Le RSI et les bandes de Bollinger sont neutres. Globalement, le titre est dans une phase de consolidation, sans signal directionnel fort.</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FILTISAC CI montrent un chiffre d'affaires de 32,109 milliards FCFA, en hausse de 5% par rapport à 2024. Le résultat net s'effondre à 465,98 millions FCFA (contre 18,6 milliards en 2024), principalement en raison de l'absence de produits exceptionnels liés aux cessions de filiales. La marge nette chute à 1,45%, et le ROE n'est que de 2,97%, très en dessous du seuil de 15% considéré comme excellent. Le ROA est faible à 1,19%. La trésorerie nette est fortement négative à -11,528 milliards FCFA, suite au versement de dividendes massifs en 2024. Le BFR est élevé à 11,529 milliards FCFA, avec un délai clients de 213 jours et une durée de stockage de 214 jours, indiquant des risques de trésorerie. Le ratio d'endettement est élevé à 97,6%. Sur la base du rapport du 3e trimestre 2025 (daté du 30/09/2025), le CA sur 9 mois était de 18,371 milliards FCFA (-1%), avec un résultat courant avant impôt négatif de -216 millions. Cependant, le rapport du 1er trimestre 2026 (publié en 2026) montre une nette amélioration : CA de 8,901 milliards FCFA (+55%), résultat d'exploitation positif de 75 millions, mais résultat net encore déficitaire de -154 millions. On estime que l'exercice 2026 pourrait bénéficier de la forte demande d'emballages pour le cacao, mais la rentabilité nette reste à confirmer.</w:t>
      </w:r>
    </w:p>
    <w:p>
      <w:pPr>
        <w:spacing w:after="120" w:line="276" w:lineRule="auto"/>
      </w:pPr>
      <w:r>
        <w:t>---</w:t>
      </w:r>
    </w:p>
    <w:p>
      <w:pPr>
        <w:spacing w:after="120" w:line="276" w:lineRule="auto"/>
      </w:pPr>
      <w:r>
        <w:t>### PARTIE 4 : CONCLUSION D'INVESTISSEMENT</w:t>
      </w:r>
    </w:p>
    <w:p>
      <w:pPr>
        <w:spacing w:after="120" w:line="276" w:lineRule="auto"/>
      </w:pPr>
      <w:r>
        <w:t>La valorisation de FTSC est très exigeante (PER de 65,1x, EV/EBITDA de 38,1x) et ne reflète pas la faiblesse des fondamentaux actuels. Le comportement du cours sur 100 jours est baissier (-6,72%) avec une volatilité élevée (35,4%), signalant un risque important. Les signaux techniques sont mitigés, avec une tendance de fond positive mais un momentum à court terme négatif. Les fondamentaux sont préoccupants : malgré une croissance du CA de 5% en 2025, le résultat net est dérisoire, la trésorerie est négative de 11,5 milliards FCFA, et les délais clients/stocks sont très longs. Les perspectives 2026 sont encourageantes au niveau opérationnel (CA T1 2026 en hausse de 55%), mais le résultat net reste déficitaire. Les prédictions IA (2 160 à 2 199 FCFA sur 10 jours) suggèrent une légère hausse, contredisant les signaux techniques baissiers à court terme. En synthèse, la convergence entre valorisation excessive, fondamentaux fragiles et signaux techniques mitigés conduit à une recommandation de **VENTE**. Le niveau de confiance est **Moyen**, le risque global est **Élevé**. L'horizon d'investissement optimal est le **court terme (&lt;3 mois)** pour les investisseurs cherchant à réduire leur exposition, en attendant une amélioration durable de la rentabilité nette et de la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4,237 titres</w:t>
            </w:r>
          </w:p>
        </w:tc>
        <w:tc>
          <w:tcPr>
            <w:tcW w:type="dxa" w:w="2268"/>
            <w:shd w:fill="FFF2CC" w:val="clear"/>
          </w:tcPr>
          <w:p>
            <w:r>
              <w:rPr>
                <w:b/>
                <w:color w:val="503200"/>
                <w:sz w:val="16"/>
              </w:rPr>
              <w:t xml:space="preserve">Cours actuel : </w:t>
            </w:r>
            <w:r>
              <w:rPr>
                <w:color w:val="000000"/>
                <w:sz w:val="17"/>
              </w:rPr>
              <w:t>4,050 FCFA</w:t>
            </w:r>
          </w:p>
          <w:p>
            <w:r>
              <w:rPr>
                <w:b/>
                <w:color w:val="503200"/>
                <w:sz w:val="16"/>
              </w:rPr>
              <w:t xml:space="preserve">Var. 100 jours : </w:t>
            </w:r>
            <w:r>
              <w:rPr>
                <w:b/>
                <w:color w:val="007800"/>
                <w:sz w:val="17"/>
              </w:rPr>
              <w:t>+3.98%</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4.89% (Faible) — μ=4,061 FCFA, σ=198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β=0.0713 (Défensif) — Cov=0.000003, Var(idx)=0.000037, ρ=0.019,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4,237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3,831</w:t>
            </w:r>
          </w:p>
        </w:tc>
        <w:tc>
          <w:tcPr>
            <w:tcW w:type="dxa" w:w="1440"/>
            <w:shd w:fill="FAFAFA" w:val="clear"/>
          </w:tcPr>
          <w:p>
            <w:r>
              <w:rPr>
                <w:b/>
                <w:sz w:val="17"/>
              </w:rPr>
              <w:t>3,983</w:t>
            </w:r>
          </w:p>
        </w:tc>
        <w:tc>
          <w:tcPr>
            <w:tcW w:type="dxa" w:w="1440"/>
            <w:shd w:fill="FAFAFA" w:val="clear"/>
          </w:tcPr>
          <w:p>
            <w:r>
              <w:rPr>
                <w:sz w:val="17"/>
              </w:rPr>
              <w:t>4,134</w:t>
            </w:r>
          </w:p>
        </w:tc>
        <w:tc>
          <w:tcPr>
            <w:tcW w:type="dxa" w:w="1440"/>
            <w:shd w:fill="FAFAFA" w:val="clear"/>
          </w:tcPr>
          <w:p>
            <w:r>
              <w:rPr>
                <w:b/>
                <w:color w:val="C00000"/>
                <w:sz w:val="17"/>
              </w:rPr>
              <w:t>-1.7%</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3,773</w:t>
            </w:r>
          </w:p>
        </w:tc>
        <w:tc>
          <w:tcPr>
            <w:tcW w:type="dxa" w:w="1440"/>
            <w:shd w:fill="FAFAFA" w:val="clear"/>
          </w:tcPr>
          <w:p>
            <w:r>
              <w:rPr>
                <w:b/>
                <w:sz w:val="17"/>
              </w:rPr>
              <w:t>3,987</w:t>
            </w:r>
          </w:p>
        </w:tc>
        <w:tc>
          <w:tcPr>
            <w:tcW w:type="dxa" w:w="1440"/>
            <w:shd w:fill="FAFAFA" w:val="clear"/>
          </w:tcPr>
          <w:p>
            <w:r>
              <w:rPr>
                <w:sz w:val="17"/>
              </w:rPr>
              <w:t>4,201</w:t>
            </w:r>
          </w:p>
        </w:tc>
        <w:tc>
          <w:tcPr>
            <w:tcW w:type="dxa" w:w="1440"/>
            <w:shd w:fill="FAFAFA" w:val="clear"/>
          </w:tcPr>
          <w:p>
            <w:r>
              <w:rPr>
                <w:b/>
                <w:color w:val="C00000"/>
                <w:sz w:val="17"/>
              </w:rPr>
              <w:t>-1.6%</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3,732</w:t>
            </w:r>
          </w:p>
        </w:tc>
        <w:tc>
          <w:tcPr>
            <w:tcW w:type="dxa" w:w="1440"/>
            <w:shd w:fill="FAFAFA" w:val="clear"/>
          </w:tcPr>
          <w:p>
            <w:r>
              <w:rPr>
                <w:b/>
                <w:sz w:val="17"/>
              </w:rPr>
              <w:t>3,995</w:t>
            </w:r>
          </w:p>
        </w:tc>
        <w:tc>
          <w:tcPr>
            <w:tcW w:type="dxa" w:w="1440"/>
            <w:shd w:fill="FAFAFA" w:val="clear"/>
          </w:tcPr>
          <w:p>
            <w:r>
              <w:rPr>
                <w:sz w:val="17"/>
              </w:rPr>
              <w:t>4,258</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3,703</w:t>
            </w:r>
          </w:p>
        </w:tc>
        <w:tc>
          <w:tcPr>
            <w:tcW w:type="dxa" w:w="1440"/>
            <w:shd w:fill="FAFAFA" w:val="clear"/>
          </w:tcPr>
          <w:p>
            <w:r>
              <w:rPr>
                <w:b/>
                <w:sz w:val="17"/>
              </w:rPr>
              <w:t>4,008</w:t>
            </w:r>
          </w:p>
        </w:tc>
        <w:tc>
          <w:tcPr>
            <w:tcW w:type="dxa" w:w="1440"/>
            <w:shd w:fill="FAFAFA" w:val="clear"/>
          </w:tcPr>
          <w:p>
            <w:r>
              <w:rPr>
                <w:sz w:val="17"/>
              </w:rPr>
              <w:t>4,312</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3,680</w:t>
            </w:r>
          </w:p>
        </w:tc>
        <w:tc>
          <w:tcPr>
            <w:tcW w:type="dxa" w:w="1440"/>
            <w:shd w:fill="FAFAFA" w:val="clear"/>
          </w:tcPr>
          <w:p>
            <w:r>
              <w:rPr>
                <w:b/>
                <w:sz w:val="17"/>
              </w:rPr>
              <w:t>4,021</w:t>
            </w:r>
          </w:p>
        </w:tc>
        <w:tc>
          <w:tcPr>
            <w:tcW w:type="dxa" w:w="1440"/>
            <w:shd w:fill="FAFAFA" w:val="clear"/>
          </w:tcPr>
          <w:p>
            <w:r>
              <w:rPr>
                <w:sz w:val="17"/>
              </w:rPr>
              <w:t>4,363</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3,656</w:t>
            </w:r>
          </w:p>
        </w:tc>
        <w:tc>
          <w:tcPr>
            <w:tcW w:type="dxa" w:w="1440"/>
            <w:shd w:fill="FAFAFA" w:val="clear"/>
          </w:tcPr>
          <w:p>
            <w:r>
              <w:rPr>
                <w:b/>
                <w:sz w:val="17"/>
              </w:rPr>
              <w:t>4,031</w:t>
            </w:r>
          </w:p>
        </w:tc>
        <w:tc>
          <w:tcPr>
            <w:tcW w:type="dxa" w:w="1440"/>
            <w:shd w:fill="FAFAFA" w:val="clear"/>
          </w:tcPr>
          <w:p>
            <w:r>
              <w:rPr>
                <w:sz w:val="17"/>
              </w:rPr>
              <w:t>4,406</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3,627</w:t>
            </w:r>
          </w:p>
        </w:tc>
        <w:tc>
          <w:tcPr>
            <w:tcW w:type="dxa" w:w="1440"/>
            <w:shd w:fill="FAFAFA" w:val="clear"/>
          </w:tcPr>
          <w:p>
            <w:r>
              <w:rPr>
                <w:b/>
                <w:sz w:val="17"/>
              </w:rPr>
              <w:t>4,033</w:t>
            </w:r>
          </w:p>
        </w:tc>
        <w:tc>
          <w:tcPr>
            <w:tcW w:type="dxa" w:w="1440"/>
            <w:shd w:fill="FAFAFA" w:val="clear"/>
          </w:tcPr>
          <w:p>
            <w:r>
              <w:rPr>
                <w:sz w:val="17"/>
              </w:rPr>
              <w:t>4,439</w:t>
            </w:r>
          </w:p>
        </w:tc>
        <w:tc>
          <w:tcPr>
            <w:tcW w:type="dxa" w:w="1440"/>
            <w:shd w:fill="FAFAFA" w:val="clear"/>
          </w:tcPr>
          <w:p>
            <w:r>
              <w:rPr>
                <w:b/>
                <w:color w:val="C00000"/>
                <w:sz w:val="17"/>
              </w:rPr>
              <w:t>-0.4%</w:t>
            </w:r>
          </w:p>
        </w:tc>
      </w:tr>
      <w:tr>
        <w:tc>
          <w:tcPr>
            <w:tcW w:type="dxa" w:w="1440"/>
            <w:shd w:fill="FAFAFA" w:val="clear"/>
          </w:tcPr>
          <w:p>
            <w:r>
              <w:rPr>
                <w:sz w:val="17"/>
              </w:rPr>
              <w:t>J+8  ⭐</w:t>
            </w:r>
          </w:p>
        </w:tc>
        <w:tc>
          <w:tcPr>
            <w:tcW w:type="dxa" w:w="1440"/>
            <w:shd w:fill="FAFAFA" w:val="clear"/>
          </w:tcPr>
          <w:p>
            <w:r>
              <w:rPr>
                <w:sz w:val="17"/>
              </w:rPr>
              <w:t>2026-09-16</w:t>
            </w:r>
          </w:p>
        </w:tc>
        <w:tc>
          <w:tcPr>
            <w:tcW w:type="dxa" w:w="1440"/>
            <w:shd w:fill="FAFAFA" w:val="clear"/>
          </w:tcPr>
          <w:p>
            <w:r>
              <w:rPr>
                <w:sz w:val="17"/>
              </w:rPr>
              <w:t>3,603</w:t>
            </w:r>
          </w:p>
        </w:tc>
        <w:tc>
          <w:tcPr>
            <w:tcW w:type="dxa" w:w="1440"/>
            <w:shd w:fill="FAFAFA" w:val="clear"/>
          </w:tcPr>
          <w:p>
            <w:r>
              <w:rPr>
                <w:b/>
                <w:sz w:val="17"/>
              </w:rPr>
              <w:t>4,037</w:t>
            </w:r>
          </w:p>
        </w:tc>
        <w:tc>
          <w:tcPr>
            <w:tcW w:type="dxa" w:w="1440"/>
            <w:shd w:fill="FAFAFA" w:val="clear"/>
          </w:tcPr>
          <w:p>
            <w:r>
              <w:rPr>
                <w:sz w:val="17"/>
              </w:rPr>
              <w:t>4,471</w:t>
            </w:r>
          </w:p>
        </w:tc>
        <w:tc>
          <w:tcPr>
            <w:tcW w:type="dxa" w:w="1440"/>
            <w:shd w:fill="FAFAFA" w:val="clear"/>
          </w:tcPr>
          <w:p>
            <w:r>
              <w:rPr>
                <w:b/>
                <w:color w:val="C00000"/>
                <w:sz w:val="17"/>
              </w:rPr>
              <w:t>-0.3%</w:t>
            </w:r>
          </w:p>
        </w:tc>
      </w:tr>
      <w:tr>
        <w:tc>
          <w:tcPr>
            <w:tcW w:type="dxa" w:w="1440"/>
            <w:shd w:fill="FAFAFA" w:val="clear"/>
          </w:tcPr>
          <w:p>
            <w:r>
              <w:rPr>
                <w:sz w:val="17"/>
              </w:rPr>
              <w:t>J+9  ⭐</w:t>
            </w:r>
          </w:p>
        </w:tc>
        <w:tc>
          <w:tcPr>
            <w:tcW w:type="dxa" w:w="1440"/>
            <w:shd w:fill="FAFAFA" w:val="clear"/>
          </w:tcPr>
          <w:p>
            <w:r>
              <w:rPr>
                <w:sz w:val="17"/>
              </w:rPr>
              <w:t>2026-09-17</w:t>
            </w:r>
          </w:p>
        </w:tc>
        <w:tc>
          <w:tcPr>
            <w:tcW w:type="dxa" w:w="1440"/>
            <w:shd w:fill="FAFAFA" w:val="clear"/>
          </w:tcPr>
          <w:p>
            <w:r>
              <w:rPr>
                <w:sz w:val="17"/>
              </w:rPr>
              <w:t>3,592</w:t>
            </w:r>
          </w:p>
        </w:tc>
        <w:tc>
          <w:tcPr>
            <w:tcW w:type="dxa" w:w="1440"/>
            <w:shd w:fill="FAFAFA" w:val="clear"/>
          </w:tcPr>
          <w:p>
            <w:r>
              <w:rPr>
                <w:b/>
                <w:sz w:val="17"/>
              </w:rPr>
              <w:t>4,055</w:t>
            </w:r>
          </w:p>
        </w:tc>
        <w:tc>
          <w:tcPr>
            <w:tcW w:type="dxa" w:w="1440"/>
            <w:shd w:fill="FAFAFA" w:val="clear"/>
          </w:tcPr>
          <w:p>
            <w:r>
              <w:rPr>
                <w:sz w:val="17"/>
              </w:rPr>
              <w:t>4,517</w:t>
            </w:r>
          </w:p>
        </w:tc>
        <w:tc>
          <w:tcPr>
            <w:tcW w:type="dxa" w:w="1440"/>
            <w:shd w:fill="FAFAFA" w:val="clear"/>
          </w:tcPr>
          <w:p>
            <w:r>
              <w:rPr>
                <w:b/>
                <w:color w:val="008000"/>
                <w:sz w:val="17"/>
              </w:rPr>
              <w:t>+0.1%</w:t>
            </w:r>
          </w:p>
        </w:tc>
      </w:tr>
      <w:tr>
        <w:tc>
          <w:tcPr>
            <w:tcW w:type="dxa" w:w="1440"/>
            <w:shd w:fill="FAFAFA" w:val="clear"/>
          </w:tcPr>
          <w:p>
            <w:r>
              <w:rPr>
                <w:sz w:val="17"/>
              </w:rPr>
              <w:t>J+10  ⭐</w:t>
            </w:r>
          </w:p>
        </w:tc>
        <w:tc>
          <w:tcPr>
            <w:tcW w:type="dxa" w:w="1440"/>
            <w:shd w:fill="FAFAFA" w:val="clear"/>
          </w:tcPr>
          <w:p>
            <w:r>
              <w:rPr>
                <w:sz w:val="17"/>
              </w:rPr>
              <w:t>2026-09-18</w:t>
            </w:r>
          </w:p>
        </w:tc>
        <w:tc>
          <w:tcPr>
            <w:tcW w:type="dxa" w:w="1440"/>
            <w:shd w:fill="FAFAFA" w:val="clear"/>
          </w:tcPr>
          <w:p>
            <w:r>
              <w:rPr>
                <w:sz w:val="17"/>
              </w:rPr>
              <w:t>3,589</w:t>
            </w:r>
          </w:p>
        </w:tc>
        <w:tc>
          <w:tcPr>
            <w:tcW w:type="dxa" w:w="1440"/>
            <w:shd w:fill="FAFAFA" w:val="clear"/>
          </w:tcPr>
          <w:p>
            <w:r>
              <w:rPr>
                <w:b/>
                <w:sz w:val="17"/>
              </w:rPr>
              <w:t>4,079</w:t>
            </w:r>
          </w:p>
        </w:tc>
        <w:tc>
          <w:tcPr>
            <w:tcW w:type="dxa" w:w="1440"/>
            <w:shd w:fill="FAFAFA" w:val="clear"/>
          </w:tcPr>
          <w:p>
            <w:r>
              <w:rPr>
                <w:sz w:val="17"/>
              </w:rPr>
              <w:t>4,569</w:t>
            </w:r>
          </w:p>
        </w:tc>
        <w:tc>
          <w:tcPr>
            <w:tcW w:type="dxa" w:w="1440"/>
            <w:shd w:fill="FAFAFA" w:val="clear"/>
          </w:tcPr>
          <w:p>
            <w:r>
              <w:rPr>
                <w:b/>
                <w:color w:val="008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de l'analyse : 05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81 milliards FCFA, un niveau significatif qui la positionne comme une valeur de taille moyenne sur la BRVM. Avec un BPA de 231 FCFA, chaque action génère un bénéfice confortable. Le PER de 17,5x est nettement supérieur à la moyenne historique de la BRVM (8-12x), indiquant que les investisseurs acceptent de payer une prime substantielle pour les bénéfices de la société. Cette prime est confirmée par le P/B de 3,69x, qui valorise le marché bien au-delà de la valeur comptable des actifs. Enfin, l'EV/EBITDA de 10,3x, bien que dans la fourchette haute (10-15x), suggère que la valeur totale de l'entreprise reste raisonnable par rapport à sa capacité opérationnelle, justifiant une prime de croissance pour ce leader sectoriel.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progression modeste de +3,98%, avec une dernière séance stable. Le cours a évolué dans un range de 735 FCFA, entre un plus bas de 3 825 FCFA et un plus haut de 4 560 FCFA. La moyenne (4 061 FCFA) est légèrement supérieure à la médiane (4 000 FCFA), et le mode est également à 4 000 FCFA, indiquant une distribution légèrement asymétrique où le cours a passé plus de temps sous sa moyenne. L'écart-type de 199 FCFA (CV=4,9%) révèle une dispersion relativement faible autour de la moyenne. Le kurtosis négatif (-0,919) suggère une distribution mésokurtique, sans risque de pics extrêmes, tandis que le skewness positif (0,576) confirme une asymétrie avec des journées plus fréquentes sous la moyenne. La volatilité annualisée de 36,1% classe le titre comme très volatil, un niveau élevé qui reflète une incertitude marquée des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(4 050 FCFA) se situe sous sa MM20 (4 101,5 FCFA) et nettement sous sa MM50 (4 221,8 FCFA), configuration typique d'une tendance baissière à court et moyen terme. La décision de "Vente" est justifiée par cette structure où les moyennes agissent comme des résistances dynamiques, indiquant une pression vendeuse persistante.</w:t>
      </w:r>
    </w:p>
    <w:p>
      <w:pPr>
        <w:spacing w:after="120" w:line="276" w:lineRule="auto"/>
      </w:pPr>
      <w:r>
        <w:t>**Bandes de Bollinger** : Le prix évolue dans la partie inférieure du canal, proche de la borne basse (3 899,7 FCFA), avec une largeur de bande modérée. La décision "Neutre" s'explique par le fait que le cours n'a pas encore touché les bornes extrêmes, mais la proximité de la borne inférieure suggère une possible zone de support à surveiller.</w:t>
      </w:r>
    </w:p>
    <w:p>
      <w:pPr>
        <w:spacing w:after="120" w:line="276" w:lineRule="auto"/>
      </w:pPr>
      <w:r>
        <w:t>**MACD** : Le MACD (-57,1) est négatif et sous sa ligne de signal (-52,1), confirmant un momentum baissier. La décision de "Vente" est cohérente avec cette divergence négative qui indique que la dynamique des prix reste défavorable, sans signe de retournement imminent.</w:t>
      </w:r>
    </w:p>
    <w:p>
      <w:pPr>
        <w:spacing w:after="120" w:line="276" w:lineRule="auto"/>
      </w:pPr>
      <w:r>
        <w:t>**RSI** : À 44,4, le RSI se situe en zone neutre, sans signal de surachat ni de survente. Cette valeur suggère un équilibre relatif entre acheteurs et vendeurs, avec une légère prédominance baissière, justifiant la décision "Neutre".</w:t>
      </w:r>
    </w:p>
    <w:p>
      <w:pPr>
        <w:spacing w:after="120" w:line="276" w:lineRule="auto"/>
      </w:pPr>
      <w:r>
        <w:t>**Stochastique** : Le %K (27,8) est supérieur au %D (18,5), indiquant un croisement haussier potentiel en zone de survente. Cependant, la décision "Neutre" reflète la prudence, car les niveaux restent bas et le signal n'est pas encore confirmé par une dynamique de prix claire.</w:t>
      </w:r>
    </w:p>
    <w:p>
      <w:pPr>
        <w:spacing w:after="120" w:line="276" w:lineRule="auto"/>
      </w:pPr>
      <w:r>
        <w:t>**Conclusion technique** : La convergence des indicateurs (MM, MACD) vers des signaux de vente, tempérée par des indicateurs neutres (Bollinger, RSI, Stochastique), dessine un tableau mitigé. La tendance de fond reste baissière, mais l'absence de signaux de surachat et la proximité de zones de support pourraient limiter le potentiel de baisse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révèlent une entreprise non bancaire avec un chiffre d'affaires de 98,598 milliards FCFA, en baisse de -3,85% par rapport à 2024. Le résultat net s'établit à 4,622 milliards FCFA, avec une marge nette de 4,69%. La rentabilité des fonds propres (ROE) est excellente à 21,05%, et le ROA de 14,17% témoigne d'une gestion efficace des actifs. La structure financière est très saine avec une autonomie financière de 67,32% et une trésorerie nette positive de 7,979 milliards FCFA. Le BFR est négatif (217 millions FCFA), ce qui est favorable, indiquant que l'entreprise finance son cycle d'exploitation par ses fournisseurs. Les délais clients (4,82 jours) et fournisseurs (20,41 jours) sont très courts, reflétant une activité de cash génération rapide. Le rapport annuel 2025 (analysé le 26 mai 2025) explique la baisse du CA par la concurrence déloyale, mais souligne une croissance de 18% des jeux en ligne (68,44% du CA). Les rapports trimestriels 2025 montrent une dégradation progressive (T1 : RN +5%, S1 : RN -77%, T3 : RN -81%), mais le rapport S1 2026 (analysé le 30 juillet 2026) indique un redressement spectaculaire avec un résultat net en hausse de +60% et un CA en progression de +4% à 49,937 milliards FCFA, grâce aux partenariats et à la maîtrise des charges. Sur la base de ces données, on estime que l'exercice 2026 devrait confirmer cette reprise, avec un résultat net potentiellement supérieur à 7 milliards FCFA si la tendance semestrielle se maintient. La recommandation fondamentale est positive, soutenue par une solidité financière remarquable et des perspectives de croissance digitale.</w:t>
      </w:r>
    </w:p>
    <w:p>
      <w:pPr>
        <w:spacing w:after="120" w:line="276" w:lineRule="auto"/>
      </w:pPr>
      <w:r>
        <w:t>---</w:t>
      </w:r>
    </w:p>
    <w:p>
      <w:pPr>
        <w:spacing w:after="120" w:line="276" w:lineRule="auto"/>
      </w:pPr>
      <w:r>
        <w:t>### PARTIE 4 : CONCLUSION D'INVESTISSEMENT</w:t>
      </w:r>
    </w:p>
    <w:p>
      <w:pPr>
        <w:spacing w:after="120" w:line="276" w:lineRule="auto"/>
      </w:pPr>
      <w:r>
        <w:t>La valorisation actuelle (PER 17,5x, P/B 3,69x) apparaît exigeante, intégrant une prime de croissance qui devra être justifiée par les résultats futurs. Le comportement du cours sur 100 jours montre une tendance légèrement positive mais avec une volatilité élevée (36,1%), et des statistiques (kurtosis, skewness) indiquant une distribution relativement stable sans risque extrême. Les signaux techniques sont majoritairement baissiers à neutres (MM, MACD en vente ; RSI, Stochastique neutres), suggérant une consolidation en cours. Les fondamentaux, bien qu'en amélioration nette au S1 2026 (+60% du RN), restent marqués par la baisse du CA 2025 et la pression concurrentielle. Les prédictions IA (3 983 à 4 021 FCFA sur J+1 à J+10) indiquent une stabilisation proche du cours actuel, confirmant l'absence de catalyseur majeur à court terme. La convergence entre la valorisation élevée, les signaux techniques mitigés et les fondamentaux en redressement justifie une recommandation **CONSERVER**. Le niveau de confiance est **Moyen**, le risque global **Moyen**, et l'horizon d'investissement optimal se situe à **moyen terme (3-12 mois)**, en attendant la confirmation des résultats annuels 2026 et l'impact des nouvelles initiatives stratégiques sur la rentabilité.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38.30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5,222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+118.98%</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1,370 FCFA</w:t>
            </w:r>
          </w:p>
          <w:p>
            <w:r>
              <w:rPr>
                <w:b/>
                <w:color w:val="503200"/>
                <w:sz w:val="16"/>
              </w:rPr>
              <w:t xml:space="preserve">Volatilité ann. : </w:t>
            </w:r>
            <w:r>
              <w:rPr>
                <w:color w:val="000000"/>
                <w:sz w:val="17"/>
              </w:rPr>
              <w:t>53.3%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17.76% (Élevée) — μ=2,111 FCFA, σ=375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β=-0.2451 (Contre-cyclique) — Cov=-0.000009, Var(idx)=0.000037, ρ=-0.044,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2,637</w:t>
            </w:r>
          </w:p>
        </w:tc>
        <w:tc>
          <w:tcPr>
            <w:tcW w:type="dxa" w:w="1440"/>
            <w:shd w:fill="FFDCE0" w:val="clear"/>
          </w:tcPr>
          <w:p>
            <w:r>
              <w:rPr>
                <w:b/>
                <w:sz w:val="17"/>
              </w:rPr>
              <w:t>2,775</w:t>
            </w:r>
          </w:p>
        </w:tc>
        <w:tc>
          <w:tcPr>
            <w:tcW w:type="dxa" w:w="1440"/>
            <w:shd w:fill="FFDCE0" w:val="clear"/>
          </w:tcPr>
          <w:p>
            <w:r>
              <w:rPr>
                <w:sz w:val="17"/>
              </w:rPr>
              <w:t>2,913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2,387</w:t>
            </w:r>
          </w:p>
        </w:tc>
        <w:tc>
          <w:tcPr>
            <w:tcW w:type="dxa" w:w="1440"/>
            <w:shd w:fill="FFDCE0" w:val="clear"/>
          </w:tcPr>
          <w:p>
            <w:r>
              <w:rPr>
                <w:b/>
                <w:sz w:val="17"/>
              </w:rPr>
              <w:t>2,567</w:t>
            </w:r>
          </w:p>
        </w:tc>
        <w:tc>
          <w:tcPr>
            <w:tcW w:type="dxa" w:w="1440"/>
            <w:shd w:fill="FFDCE0" w:val="clear"/>
          </w:tcPr>
          <w:p>
            <w:r>
              <w:rPr>
                <w:sz w:val="17"/>
              </w:rPr>
              <w:t>2,747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2,170</w:t>
            </w:r>
          </w:p>
        </w:tc>
        <w:tc>
          <w:tcPr>
            <w:tcW w:type="dxa" w:w="1440"/>
            <w:shd w:fill="FFDCE0" w:val="clear"/>
          </w:tcPr>
          <w:p>
            <w:r>
              <w:rPr>
                <w:b/>
                <w:sz w:val="17"/>
              </w:rPr>
              <w:t>2,374</w:t>
            </w:r>
          </w:p>
        </w:tc>
        <w:tc>
          <w:tcPr>
            <w:tcW w:type="dxa" w:w="1440"/>
            <w:shd w:fill="FFDCE0" w:val="clear"/>
          </w:tcPr>
          <w:p>
            <w:r>
              <w:rPr>
                <w:sz w:val="17"/>
              </w:rPr>
              <w:t>2,578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1,978</w:t>
            </w:r>
          </w:p>
        </w:tc>
        <w:tc>
          <w:tcPr>
            <w:tcW w:type="dxa" w:w="1440"/>
            <w:shd w:fill="FFDCE0" w:val="clear"/>
          </w:tcPr>
          <w:p>
            <w:r>
              <w:rPr>
                <w:b/>
                <w:sz w:val="17"/>
              </w:rPr>
              <w:t>2,196</w:t>
            </w:r>
          </w:p>
        </w:tc>
        <w:tc>
          <w:tcPr>
            <w:tcW w:type="dxa" w:w="1440"/>
            <w:shd w:fill="FFDCE0" w:val="clear"/>
          </w:tcPr>
          <w:p>
            <w:r>
              <w:rPr>
                <w:sz w:val="17"/>
              </w:rPr>
              <w:t>2,414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1,806</w:t>
            </w:r>
          </w:p>
        </w:tc>
        <w:tc>
          <w:tcPr>
            <w:tcW w:type="dxa" w:w="1440"/>
            <w:shd w:fill="FFDCE0" w:val="clear"/>
          </w:tcPr>
          <w:p>
            <w:r>
              <w:rPr>
                <w:b/>
                <w:sz w:val="17"/>
              </w:rPr>
              <w:t>2,032</w:t>
            </w:r>
          </w:p>
        </w:tc>
        <w:tc>
          <w:tcPr>
            <w:tcW w:type="dxa" w:w="1440"/>
            <w:shd w:fill="FFDCE0" w:val="clear"/>
          </w:tcPr>
          <w:p>
            <w:r>
              <w:rPr>
                <w:sz w:val="17"/>
              </w:rPr>
              <w:t>2,257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1,651</w:t>
            </w:r>
          </w:p>
        </w:tc>
        <w:tc>
          <w:tcPr>
            <w:tcW w:type="dxa" w:w="1440"/>
            <w:shd w:fill="FFDCE0" w:val="clear"/>
          </w:tcPr>
          <w:p>
            <w:r>
              <w:rPr>
                <w:b/>
                <w:sz w:val="17"/>
              </w:rPr>
              <w:t>1,879</w:t>
            </w:r>
          </w:p>
        </w:tc>
        <w:tc>
          <w:tcPr>
            <w:tcW w:type="dxa" w:w="1440"/>
            <w:shd w:fill="FFDCE0" w:val="clear"/>
          </w:tcPr>
          <w:p>
            <w:r>
              <w:rPr>
                <w:sz w:val="17"/>
              </w:rPr>
              <w:t>2,108</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1,510</w:t>
            </w:r>
          </w:p>
        </w:tc>
        <w:tc>
          <w:tcPr>
            <w:tcW w:type="dxa" w:w="1440"/>
            <w:shd w:fill="FFDCE0" w:val="clear"/>
          </w:tcPr>
          <w:p>
            <w:r>
              <w:rPr>
                <w:b/>
                <w:sz w:val="17"/>
              </w:rPr>
              <w:t>1,738</w:t>
            </w:r>
          </w:p>
        </w:tc>
        <w:tc>
          <w:tcPr>
            <w:tcW w:type="dxa" w:w="1440"/>
            <w:shd w:fill="FFDCE0" w:val="clear"/>
          </w:tcPr>
          <w:p>
            <w:r>
              <w:rPr>
                <w:sz w:val="17"/>
              </w:rPr>
              <w:t>1,967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1,407</w:t>
            </w:r>
          </w:p>
        </w:tc>
        <w:tc>
          <w:tcPr>
            <w:tcW w:type="dxa" w:w="1440"/>
            <w:shd w:fill="FFDCE0" w:val="clear"/>
          </w:tcPr>
          <w:p>
            <w:r>
              <w:rPr>
                <w:b/>
                <w:sz w:val="17"/>
              </w:rPr>
              <w:t>1,636</w:t>
            </w:r>
          </w:p>
        </w:tc>
        <w:tc>
          <w:tcPr>
            <w:tcW w:type="dxa" w:w="1440"/>
            <w:shd w:fill="FFDCE0" w:val="clear"/>
          </w:tcPr>
          <w:p>
            <w:r>
              <w:rPr>
                <w:sz w:val="17"/>
              </w:rPr>
              <w:t>1,866</w:t>
            </w:r>
          </w:p>
        </w:tc>
        <w:tc>
          <w:tcPr>
            <w:tcW w:type="dxa" w:w="1440"/>
            <w:shd w:fill="FFDCE0" w:val="clear"/>
          </w:tcPr>
          <w:p>
            <w:r>
              <w:rPr>
                <w:b/>
                <w:color w:val="C00000"/>
                <w:sz w:val="17"/>
              </w:rPr>
              <w:t>-45.5%</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1,341</w:t>
            </w:r>
          </w:p>
        </w:tc>
        <w:tc>
          <w:tcPr>
            <w:tcW w:type="dxa" w:w="1440"/>
            <w:shd w:fill="FFDCE0" w:val="clear"/>
          </w:tcPr>
          <w:p>
            <w:r>
              <w:rPr>
                <w:b/>
                <w:sz w:val="17"/>
              </w:rPr>
              <w:t>1,576</w:t>
            </w:r>
          </w:p>
        </w:tc>
        <w:tc>
          <w:tcPr>
            <w:tcW w:type="dxa" w:w="1440"/>
            <w:shd w:fill="FFDCE0" w:val="clear"/>
          </w:tcPr>
          <w:p>
            <w:r>
              <w:rPr>
                <w:sz w:val="17"/>
              </w:rPr>
              <w:t>1,811</w:t>
            </w:r>
          </w:p>
        </w:tc>
        <w:tc>
          <w:tcPr>
            <w:tcW w:type="dxa" w:w="1440"/>
            <w:shd w:fill="FFDCE0" w:val="clear"/>
          </w:tcPr>
          <w:p>
            <w:r>
              <w:rPr>
                <w:b/>
                <w:color w:val="C00000"/>
                <w:sz w:val="17"/>
              </w:rPr>
              <w:t>-47.5%</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1,282</w:t>
            </w:r>
          </w:p>
        </w:tc>
        <w:tc>
          <w:tcPr>
            <w:tcW w:type="dxa" w:w="1440"/>
            <w:shd w:fill="FFDCE0" w:val="clear"/>
          </w:tcPr>
          <w:p>
            <w:r>
              <w:rPr>
                <w:b/>
                <w:sz w:val="17"/>
              </w:rPr>
              <w:t>1,521</w:t>
            </w:r>
          </w:p>
        </w:tc>
        <w:tc>
          <w:tcPr>
            <w:tcW w:type="dxa" w:w="1440"/>
            <w:shd w:fill="FFDCE0" w:val="clear"/>
          </w:tcPr>
          <w:p>
            <w:r>
              <w:rPr>
                <w:sz w:val="17"/>
              </w:rPr>
              <w:t>1,760</w:t>
            </w:r>
          </w:p>
        </w:tc>
        <w:tc>
          <w:tcPr>
            <w:tcW w:type="dxa" w:w="1440"/>
            <w:shd w:fill="FFDCE0" w:val="clear"/>
          </w:tcPr>
          <w:p>
            <w:r>
              <w:rPr>
                <w:b/>
                <w:color w:val="C00000"/>
                <w:sz w:val="17"/>
              </w:rPr>
              <w:t>-49.3%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38,30 milliards FCFA, un niveau modeste dans l'écosystème BRVM qui la classe parmi les valeurs moyennes. Le BPA de 160 FCFA indique que chaque action génère un bénéfice de 160 FCFA, ce qui, rapporté au cours de 3 000 FCFA, donne un PER de 18,8x. Ce ratio est nettement supérieur à la moyenne historique de la BRVM (8-12x), signifiant que les investisseurs paient une prime substantielle pour les bénéfices actuels. Le P/B de 6,65x confirme cette lecture : le marché valorise l'action plus de six fois sa valeur comptable, une prime très élevée qui traduit des attentes de croissance fortes. Enfin, l'EV/EBITDA de 28,5x, très supérieur au seuil de 15x considéré comme exigeant, indique que la valeur d'entreprise est particulièrement élevée par rapport à la capacité opérationnelle de génération de cash. L'ensemble de ces ratios suggère une valorisation exigeante qui laisse peu de marge d'erreur.</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le titre NEIC a enregistré une progression spectaculaire de +118,98%, passant d'un plus bas de 1 370 FCFA à un plus haut de 3 000 FCFA, niveau auquel il se maintient actuellement. La variation à J-1 est nulle, suggérant une stabilisation après une forte ascension. La moyenne du cours sur la période (2 111 FCFA) est inférieure à la médiane (2 178 FCFA), indiquant une distribution légèrement asymétrique avec une concentration des valeurs vers le bas de la fourchette avant l'accélération finale. L'écart-type de 377 FCFA (CV de 17,8%) témoigne d'une dispersion modérée autour de la moyenne. Le kurtosis de 0,580 (mésokurtique) et le skewness de 0,127 (distribution symétrique) suggèrent une absence de risques extrêmes dans la distribution des rendements. La volatilité annualisée de 53,3% classe le titre dans la catégorie des valeurs à très haute volatilité (&gt;30%), reflétant un risque élevé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Le cours actuel de 3 000 FCFA évolue nettement au-dessus de la MM20 (2 528,5 FCFA) et de la MM50 (2 356 FCFA), confirmant une tendance haussière solide. L'écart positif entre le cours et les moyennes indique une dynamique positive soutenue, justifiant la décision d'achat.</w:t>
      </w:r>
    </w:p>
    <w:p>
      <w:pPr>
        <w:spacing w:after="120" w:line="276" w:lineRule="auto"/>
      </w:pPr>
      <w:r>
        <w:t>**Bandes de Bollinger** : Le cours se positionne à 3 000 FCFA, proche de la borne supérieure (3 243,52 FCFA), indiquant une pression acheteuse soutenue. La largeur des bandes (de 1 813 à 3 243 FCFA) reflète une volatilité élevée. La décision est neutre, le prix n'ayant pas encore franchi la borne, mais la proximité de celle-ci suggère une possible consolidation.</w:t>
      </w:r>
    </w:p>
    <w:p>
      <w:pPr>
        <w:spacing w:after="120" w:line="276" w:lineRule="auto"/>
      </w:pPr>
      <w:r>
        <w:t>**MACD** : Le MACD (210,435) est nettement supérieur à sa ligne de signal (150,344), confirmant un momentum haussier fort. La divergence positive entre les deux lignes indique une dynamique d'achat toujours active, justifiant la décision d'achat.</w:t>
      </w:r>
    </w:p>
    <w:p>
      <w:pPr>
        <w:spacing w:after="120" w:line="276" w:lineRule="auto"/>
      </w:pPr>
      <w:r>
        <w:t>**RSI** : Le RSI à 95,977 est extrêmement élevé, bien au-delà du seuil de surachat de 70. Cette valeur indique une condition de surachat extrême, signalant un risque imminent de correction technique. La décision de vente est justifiée par cette situation de surachat sévère.</w:t>
      </w:r>
    </w:p>
    <w:p>
      <w:pPr>
        <w:spacing w:after="120" w:line="276" w:lineRule="auto"/>
      </w:pPr>
      <w:r>
        <w:t>**Stochastique** : Le %K et le %D sont tous deux à 100, confirmant la condition de surachat extrême. Cette configuration indique que le titre est en territoire dangereusement suracheté, avec un risque élevé de retournement baissier. La décision de vente est parfaitement justifiée.</w:t>
      </w:r>
    </w:p>
    <w:p>
      <w:pPr>
        <w:spacing w:after="120" w:line="276" w:lineRule="auto"/>
      </w:pPr>
      <w:r>
        <w:t>**Conclusion technique** : Les indicateurs de tendance (MM, MACD) confirment une dynamique haussière, mais les oscillateurs (RSI, Stochastique) signalent un surachat extrême. Cette divergence entre indicateurs de tendance et oscillateurs suggère qu'un repli technique est probable à court terme, malgré la tendance de fond positive.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NEIC font état d'un chiffre d'affaires de 5,139 milliards FCFA, en baisse de 23,8% par rapport à l'exercice précédent, et d'un résultat net de 2,037 milliards FCFA. Cette performance nette, qui contraste avec la baisse d'activité, s'explique par un produit exceptionnel lié à la reprise d'une provision fiscale, comme le confirme le rapport du 3ème trimestre 2025 (daté du 30 septembre 2025). Les marges sont élevées (marge nette de 39,6%, marge opérationnelle de 23,6%), mais le ROE de 35,4% et le ROA de 27,3% sont artificiellement gonflés par cet élément non récurrent. En tant qu'entreprise, NEIC présente un délai clients élevé de 154,7 jours, signalant un risque de trésorerie, et un BFR de 1,498 milliard FCFA. Le rapport du 1er trimestre 2025 (31 mars 2025) montrait un CA catastrophique de 48,5 millions FCFA et une perte de 189,9 millions, mais le rapport T1 2026 (publié en 2026) indique un CA en hausse de 137% à 115,1 millions FCFA, avec une perte réduite à 168,9 millions. Le rapport annuel 2025 (publié en 2026) fait état d'un CA de 6,74 milliards FCFA (+29%) et d'un résultat net de 2,04 milliards FCFA (+169%), avec un dividende de 100% du résultat. On estime que l'exercice 2026 devrait bénéficier de cette dynamique commerciale retrouvée, mais la performance récurrente reste fragile.</w:t>
      </w:r>
    </w:p>
    <w:p>
      <w:pPr>
        <w:spacing w:after="120" w:line="276" w:lineRule="auto" w:before="240"/>
      </w:pPr>
      <w:r>
        <w:rPr>
          <w:b/>
          <w:color w:val="003366"/>
          <w:sz w:val="24"/>
        </w:rPr>
        <w:t>**PARTIE 4 : CONCLUSION D'INVESTISSEMENT**</w:t>
      </w:r>
    </w:p>
    <w:p>
      <w:pPr>
        <w:spacing w:after="120" w:line="276" w:lineRule="auto"/>
      </w:pPr>
      <w:r>
        <w:t>La valorisation actuelle de NEIC apparaît très exigeante avec un PER de 18,8x, un P/B de 6,65x et un EV/EBITDA de 28,5x, nettement supérieurs aux moyennes BRVM, indiquant une possible surévaluation. Le comportement du cours sur 100 jours (+118,98%) avec une volatilité annualisée de 53,3% reflète un enthousiasme spéculatif marqué, mais les statistiques (kurtosis et skewness proches de la normale) suggèrent une distribution des rendements sans risque extrême. Les signaux techniques sont contradictoires : tendance haussière confirmée par les MM et le MACD, mais surachat extrême signalé par le RSI (95,9) et le Stochastique (100), annonçant un probable repli technique. Fondamentalement, la société affiche des résultats 2025 exceptionnels mais portés par un élément non récurrent, avec une activité sous-jacente en amélioration au T1 2026 (+137% de CA) mais encore déficitaire. Les prédictions IA (J+1 à J+10) anticipent une chute brutale du cours de 3 000 à 2 032 FCFA, confirmant le scénario de correction technique. En synthèse, la convergence entre le surachat technique extrême, la valorisation exigeante et les prédictions IA baissières conduit à une recommandation de **VENTE** à court terme, avec un niveau de confiance **Élevé** et un risque global **Élevé**. L'horizon d'investissement optimal serait de reprendre une position à moyen terme (3-12 mois) après correction, si les fondamentaux opérationnels continuent de s'améliorer.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572.61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2,374 titres</w:t>
            </w:r>
          </w:p>
        </w:tc>
        <w:tc>
          <w:tcPr>
            <w:tcW w:type="dxa" w:w="2268"/>
            <w:shd w:fill="FFF2CC" w:val="clear"/>
          </w:tcPr>
          <w:p>
            <w:r>
              <w:rPr>
                <w:b/>
                <w:color w:val="503200"/>
                <w:sz w:val="16"/>
              </w:rPr>
              <w:t xml:space="preserve">Cours actuel : </w:t>
            </w:r>
            <w:r>
              <w:rPr>
                <w:color w:val="000000"/>
                <w:sz w:val="17"/>
              </w:rPr>
              <w:t>23,150 FCFA</w:t>
            </w:r>
          </w:p>
          <w:p>
            <w:r>
              <w:rPr>
                <w:b/>
                <w:color w:val="503200"/>
                <w:sz w:val="16"/>
              </w:rPr>
              <w:t xml:space="preserve">Var. 100 jours : </w:t>
            </w:r>
            <w:r>
              <w:rPr>
                <w:b/>
                <w:color w:val="007800"/>
                <w:sz w:val="17"/>
              </w:rPr>
              <w:t>+63.03%</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18.14% (Élevée) — μ=19,396 FCFA, σ=3,519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β=1.1294 (Neutre (suit le marché)) — Cov=0.000042, Var(idx)=0.000037, ρ=0.289,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2,374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2026-09-07</w:t>
            </w:r>
          </w:p>
        </w:tc>
        <w:tc>
          <w:tcPr>
            <w:tcW w:type="dxa" w:w="1440"/>
            <w:shd w:fill="C6EFCE" w:val="clear"/>
          </w:tcPr>
          <w:p>
            <w:r>
              <w:rPr>
                <w:sz w:val="17"/>
              </w:rPr>
              <w:t>23,258</w:t>
            </w:r>
          </w:p>
        </w:tc>
        <w:tc>
          <w:tcPr>
            <w:tcW w:type="dxa" w:w="1440"/>
            <w:shd w:fill="C6EFCE" w:val="clear"/>
          </w:tcPr>
          <w:p>
            <w:r>
              <w:rPr>
                <w:b/>
                <w:sz w:val="17"/>
              </w:rPr>
              <w:t>23,651</w:t>
            </w:r>
          </w:p>
        </w:tc>
        <w:tc>
          <w:tcPr>
            <w:tcW w:type="dxa" w:w="1440"/>
            <w:shd w:fill="C6EFCE" w:val="clear"/>
          </w:tcPr>
          <w:p>
            <w:r>
              <w:rPr>
                <w:sz w:val="17"/>
              </w:rPr>
              <w:t>24,044</w:t>
            </w:r>
          </w:p>
        </w:tc>
        <w:tc>
          <w:tcPr>
            <w:tcW w:type="dxa" w:w="1440"/>
            <w:shd w:fill="C6EFCE" w:val="clear"/>
          </w:tcPr>
          <w:p>
            <w:r>
              <w:rPr>
                <w:b/>
                <w:color w:val="008000"/>
                <w:sz w:val="17"/>
              </w:rPr>
              <w:t>+2.2%</w:t>
            </w:r>
          </w:p>
        </w:tc>
      </w:tr>
      <w:tr>
        <w:tc>
          <w:tcPr>
            <w:tcW w:type="dxa" w:w="1440"/>
            <w:shd w:fill="C6EFCE" w:val="clear"/>
          </w:tcPr>
          <w:p>
            <w:r>
              <w:rPr>
                <w:sz w:val="17"/>
              </w:rPr>
              <w:t>J+2  ⭐⭐⭐</w:t>
            </w:r>
          </w:p>
        </w:tc>
        <w:tc>
          <w:tcPr>
            <w:tcW w:type="dxa" w:w="1440"/>
            <w:shd w:fill="C6EFCE" w:val="clear"/>
          </w:tcPr>
          <w:p>
            <w:r>
              <w:rPr>
                <w:sz w:val="17"/>
              </w:rPr>
              <w:t>2026-09-08</w:t>
            </w:r>
          </w:p>
        </w:tc>
        <w:tc>
          <w:tcPr>
            <w:tcW w:type="dxa" w:w="1440"/>
            <w:shd w:fill="C6EFCE" w:val="clear"/>
          </w:tcPr>
          <w:p>
            <w:r>
              <w:rPr>
                <w:sz w:val="17"/>
              </w:rPr>
              <w:t>23,492</w:t>
            </w:r>
          </w:p>
        </w:tc>
        <w:tc>
          <w:tcPr>
            <w:tcW w:type="dxa" w:w="1440"/>
            <w:shd w:fill="C6EFCE" w:val="clear"/>
          </w:tcPr>
          <w:p>
            <w:r>
              <w:rPr>
                <w:b/>
                <w:sz w:val="17"/>
              </w:rPr>
              <w:t>24,057</w:t>
            </w:r>
          </w:p>
        </w:tc>
        <w:tc>
          <w:tcPr>
            <w:tcW w:type="dxa" w:w="1440"/>
            <w:shd w:fill="C6EFCE" w:val="clear"/>
          </w:tcPr>
          <w:p>
            <w:r>
              <w:rPr>
                <w:sz w:val="17"/>
              </w:rPr>
              <w:t>24,622</w:t>
            </w:r>
          </w:p>
        </w:tc>
        <w:tc>
          <w:tcPr>
            <w:tcW w:type="dxa" w:w="1440"/>
            <w:shd w:fill="C6EFCE" w:val="clear"/>
          </w:tcPr>
          <w:p>
            <w:r>
              <w:rPr>
                <w:b/>
                <w:color w:val="008000"/>
                <w:sz w:val="17"/>
              </w:rPr>
              <w:t>+3.9%</w:t>
            </w:r>
          </w:p>
        </w:tc>
      </w:tr>
      <w:tr>
        <w:tc>
          <w:tcPr>
            <w:tcW w:type="dxa" w:w="1440"/>
            <w:shd w:fill="C6EFCE" w:val="clear"/>
          </w:tcPr>
          <w:p>
            <w:r>
              <w:rPr>
                <w:sz w:val="17"/>
              </w:rPr>
              <w:t>J+3  ⭐⭐⭐</w:t>
            </w:r>
          </w:p>
        </w:tc>
        <w:tc>
          <w:tcPr>
            <w:tcW w:type="dxa" w:w="1440"/>
            <w:shd w:fill="C6EFCE" w:val="clear"/>
          </w:tcPr>
          <w:p>
            <w:r>
              <w:rPr>
                <w:sz w:val="17"/>
              </w:rPr>
              <w:t>2026-09-09</w:t>
            </w:r>
          </w:p>
        </w:tc>
        <w:tc>
          <w:tcPr>
            <w:tcW w:type="dxa" w:w="1440"/>
            <w:shd w:fill="C6EFCE" w:val="clear"/>
          </w:tcPr>
          <w:p>
            <w:r>
              <w:rPr>
                <w:sz w:val="17"/>
              </w:rPr>
              <w:t>23,749</w:t>
            </w:r>
          </w:p>
        </w:tc>
        <w:tc>
          <w:tcPr>
            <w:tcW w:type="dxa" w:w="1440"/>
            <w:shd w:fill="C6EFCE" w:val="clear"/>
          </w:tcPr>
          <w:p>
            <w:r>
              <w:rPr>
                <w:b/>
                <w:sz w:val="17"/>
              </w:rPr>
              <w:t>24,453</w:t>
            </w:r>
          </w:p>
        </w:tc>
        <w:tc>
          <w:tcPr>
            <w:tcW w:type="dxa" w:w="1440"/>
            <w:shd w:fill="C6EFCE" w:val="clear"/>
          </w:tcPr>
          <w:p>
            <w:r>
              <w:rPr>
                <w:sz w:val="17"/>
              </w:rPr>
              <w:t>25,156</w:t>
            </w:r>
          </w:p>
        </w:tc>
        <w:tc>
          <w:tcPr>
            <w:tcW w:type="dxa" w:w="1440"/>
            <w:shd w:fill="C6EFCE" w:val="clear"/>
          </w:tcPr>
          <w:p>
            <w:r>
              <w:rPr>
                <w:b/>
                <w:color w:val="008000"/>
                <w:sz w:val="17"/>
              </w:rPr>
              <w:t>+5.6%</w:t>
            </w:r>
          </w:p>
        </w:tc>
      </w:tr>
      <w:tr>
        <w:tc>
          <w:tcPr>
            <w:tcW w:type="dxa" w:w="1440"/>
            <w:shd w:fill="C6EFCE" w:val="clear"/>
          </w:tcPr>
          <w:p>
            <w:r>
              <w:rPr>
                <w:sz w:val="17"/>
              </w:rPr>
              <w:t>J+4  Moyenne</w:t>
            </w:r>
          </w:p>
        </w:tc>
        <w:tc>
          <w:tcPr>
            <w:tcW w:type="dxa" w:w="1440"/>
            <w:shd w:fill="C6EFCE" w:val="clear"/>
          </w:tcPr>
          <w:p>
            <w:r>
              <w:rPr>
                <w:sz w:val="17"/>
              </w:rPr>
              <w:t>2026-09-10</w:t>
            </w:r>
          </w:p>
        </w:tc>
        <w:tc>
          <w:tcPr>
            <w:tcW w:type="dxa" w:w="1440"/>
            <w:shd w:fill="C6EFCE" w:val="clear"/>
          </w:tcPr>
          <w:p>
            <w:r>
              <w:rPr>
                <w:sz w:val="17"/>
              </w:rPr>
              <w:t>24,015</w:t>
            </w:r>
          </w:p>
        </w:tc>
        <w:tc>
          <w:tcPr>
            <w:tcW w:type="dxa" w:w="1440"/>
            <w:shd w:fill="C6EFCE" w:val="clear"/>
          </w:tcPr>
          <w:p>
            <w:r>
              <w:rPr>
                <w:b/>
                <w:sz w:val="17"/>
              </w:rPr>
              <w:t>24,840</w:t>
            </w:r>
          </w:p>
        </w:tc>
        <w:tc>
          <w:tcPr>
            <w:tcW w:type="dxa" w:w="1440"/>
            <w:shd w:fill="C6EFCE" w:val="clear"/>
          </w:tcPr>
          <w:p>
            <w:r>
              <w:rPr>
                <w:sz w:val="17"/>
              </w:rPr>
              <w:t>25,665</w:t>
            </w:r>
          </w:p>
        </w:tc>
        <w:tc>
          <w:tcPr>
            <w:tcW w:type="dxa" w:w="1440"/>
            <w:shd w:fill="C6EFCE" w:val="clear"/>
          </w:tcPr>
          <w:p>
            <w:r>
              <w:rPr>
                <w:b/>
                <w:color w:val="008000"/>
                <w:sz w:val="17"/>
              </w:rPr>
              <w:t>+7.3%</w:t>
            </w:r>
          </w:p>
        </w:tc>
      </w:tr>
      <w:tr>
        <w:tc>
          <w:tcPr>
            <w:tcW w:type="dxa" w:w="1440"/>
            <w:shd w:fill="C6EFCE" w:val="clear"/>
          </w:tcPr>
          <w:p>
            <w:r>
              <w:rPr>
                <w:sz w:val="17"/>
              </w:rPr>
              <w:t>J+5  Moyenne</w:t>
            </w:r>
          </w:p>
        </w:tc>
        <w:tc>
          <w:tcPr>
            <w:tcW w:type="dxa" w:w="1440"/>
            <w:shd w:fill="C6EFCE" w:val="clear"/>
          </w:tcPr>
          <w:p>
            <w:r>
              <w:rPr>
                <w:sz w:val="17"/>
              </w:rPr>
              <w:t>2026-09-11</w:t>
            </w:r>
          </w:p>
        </w:tc>
        <w:tc>
          <w:tcPr>
            <w:tcW w:type="dxa" w:w="1440"/>
            <w:shd w:fill="C6EFCE" w:val="clear"/>
          </w:tcPr>
          <w:p>
            <w:r>
              <w:rPr>
                <w:sz w:val="17"/>
              </w:rPr>
              <w:t>24,289</w:t>
            </w:r>
          </w:p>
        </w:tc>
        <w:tc>
          <w:tcPr>
            <w:tcW w:type="dxa" w:w="1440"/>
            <w:shd w:fill="C6EFCE" w:val="clear"/>
          </w:tcPr>
          <w:p>
            <w:r>
              <w:rPr>
                <w:b/>
                <w:sz w:val="17"/>
              </w:rPr>
              <w:t>25,226</w:t>
            </w:r>
          </w:p>
        </w:tc>
        <w:tc>
          <w:tcPr>
            <w:tcW w:type="dxa" w:w="1440"/>
            <w:shd w:fill="C6EFCE" w:val="clear"/>
          </w:tcPr>
          <w:p>
            <w:r>
              <w:rPr>
                <w:sz w:val="17"/>
              </w:rPr>
              <w:t>26,163</w:t>
            </w:r>
          </w:p>
        </w:tc>
        <w:tc>
          <w:tcPr>
            <w:tcW w:type="dxa" w:w="1440"/>
            <w:shd w:fill="C6EFCE" w:val="clear"/>
          </w:tcPr>
          <w:p>
            <w:r>
              <w:rPr>
                <w:b/>
                <w:color w:val="008000"/>
                <w:sz w:val="17"/>
              </w:rPr>
              <w:t>+9.0%</w:t>
            </w:r>
          </w:p>
        </w:tc>
      </w:tr>
      <w:tr>
        <w:tc>
          <w:tcPr>
            <w:tcW w:type="dxa" w:w="1440"/>
            <w:shd w:fill="C6EFCE" w:val="clear"/>
          </w:tcPr>
          <w:p>
            <w:r>
              <w:rPr>
                <w:sz w:val="17"/>
              </w:rPr>
              <w:t>J+6  Moyenne</w:t>
            </w:r>
          </w:p>
        </w:tc>
        <w:tc>
          <w:tcPr>
            <w:tcW w:type="dxa" w:w="1440"/>
            <w:shd w:fill="C6EFCE" w:val="clear"/>
          </w:tcPr>
          <w:p>
            <w:r>
              <w:rPr>
                <w:sz w:val="17"/>
              </w:rPr>
              <w:t>2026-09-14</w:t>
            </w:r>
          </w:p>
        </w:tc>
        <w:tc>
          <w:tcPr>
            <w:tcW w:type="dxa" w:w="1440"/>
            <w:shd w:fill="C6EFCE" w:val="clear"/>
          </w:tcPr>
          <w:p>
            <w:r>
              <w:rPr>
                <w:sz w:val="17"/>
              </w:rPr>
              <w:t>24,569</w:t>
            </w:r>
          </w:p>
        </w:tc>
        <w:tc>
          <w:tcPr>
            <w:tcW w:type="dxa" w:w="1440"/>
            <w:shd w:fill="C6EFCE" w:val="clear"/>
          </w:tcPr>
          <w:p>
            <w:r>
              <w:rPr>
                <w:b/>
                <w:sz w:val="17"/>
              </w:rPr>
              <w:t>25,611</w:t>
            </w:r>
          </w:p>
        </w:tc>
        <w:tc>
          <w:tcPr>
            <w:tcW w:type="dxa" w:w="1440"/>
            <w:shd w:fill="C6EFCE" w:val="clear"/>
          </w:tcPr>
          <w:p>
            <w:r>
              <w:rPr>
                <w:sz w:val="17"/>
              </w:rPr>
              <w:t>26,653</w:t>
            </w:r>
          </w:p>
        </w:tc>
        <w:tc>
          <w:tcPr>
            <w:tcW w:type="dxa" w:w="1440"/>
            <w:shd w:fill="C6EFCE" w:val="clear"/>
          </w:tcPr>
          <w:p>
            <w:r>
              <w:rPr>
                <w:b/>
                <w:color w:val="008000"/>
                <w:sz w:val="17"/>
              </w:rPr>
              <w:t>+10.6%</w:t>
            </w:r>
          </w:p>
        </w:tc>
      </w:tr>
      <w:tr>
        <w:tc>
          <w:tcPr>
            <w:tcW w:type="dxa" w:w="1440"/>
            <w:shd w:fill="C6EFCE" w:val="clear"/>
          </w:tcPr>
          <w:p>
            <w:r>
              <w:rPr>
                <w:sz w:val="17"/>
              </w:rPr>
              <w:t>J+7  Moyenne</w:t>
            </w:r>
          </w:p>
        </w:tc>
        <w:tc>
          <w:tcPr>
            <w:tcW w:type="dxa" w:w="1440"/>
            <w:shd w:fill="C6EFCE" w:val="clear"/>
          </w:tcPr>
          <w:p>
            <w:r>
              <w:rPr>
                <w:sz w:val="17"/>
              </w:rPr>
              <w:t>2026-09-15</w:t>
            </w:r>
          </w:p>
        </w:tc>
        <w:tc>
          <w:tcPr>
            <w:tcW w:type="dxa" w:w="1440"/>
            <w:shd w:fill="C6EFCE" w:val="clear"/>
          </w:tcPr>
          <w:p>
            <w:r>
              <w:rPr>
                <w:sz w:val="17"/>
              </w:rPr>
              <w:t>24,853</w:t>
            </w:r>
          </w:p>
        </w:tc>
        <w:tc>
          <w:tcPr>
            <w:tcW w:type="dxa" w:w="1440"/>
            <w:shd w:fill="C6EFCE" w:val="clear"/>
          </w:tcPr>
          <w:p>
            <w:r>
              <w:rPr>
                <w:b/>
                <w:sz w:val="17"/>
              </w:rPr>
              <w:t>25,996</w:t>
            </w:r>
          </w:p>
        </w:tc>
        <w:tc>
          <w:tcPr>
            <w:tcW w:type="dxa" w:w="1440"/>
            <w:shd w:fill="C6EFCE" w:val="clear"/>
          </w:tcPr>
          <w:p>
            <w:r>
              <w:rPr>
                <w:sz w:val="17"/>
              </w:rPr>
              <w:t>27,139</w:t>
            </w:r>
          </w:p>
        </w:tc>
        <w:tc>
          <w:tcPr>
            <w:tcW w:type="dxa" w:w="1440"/>
            <w:shd w:fill="C6EFCE" w:val="clear"/>
          </w:tcPr>
          <w:p>
            <w:r>
              <w:rPr>
                <w:b/>
                <w:color w:val="008000"/>
                <w:sz w:val="17"/>
              </w:rPr>
              <w:t>+12.3%</w:t>
            </w:r>
          </w:p>
        </w:tc>
      </w:tr>
      <w:tr>
        <w:tc>
          <w:tcPr>
            <w:tcW w:type="dxa" w:w="1440"/>
            <w:shd w:fill="C6EFCE" w:val="clear"/>
          </w:tcPr>
          <w:p>
            <w:r>
              <w:rPr>
                <w:sz w:val="17"/>
              </w:rPr>
              <w:t>J+8  Moyenne</w:t>
            </w:r>
          </w:p>
        </w:tc>
        <w:tc>
          <w:tcPr>
            <w:tcW w:type="dxa" w:w="1440"/>
            <w:shd w:fill="C6EFCE" w:val="clear"/>
          </w:tcPr>
          <w:p>
            <w:r>
              <w:rPr>
                <w:sz w:val="17"/>
              </w:rPr>
              <w:t>2026-09-16</w:t>
            </w:r>
          </w:p>
        </w:tc>
        <w:tc>
          <w:tcPr>
            <w:tcW w:type="dxa" w:w="1440"/>
            <w:shd w:fill="C6EFCE" w:val="clear"/>
          </w:tcPr>
          <w:p>
            <w:r>
              <w:rPr>
                <w:sz w:val="17"/>
              </w:rPr>
              <w:t>25,141</w:t>
            </w:r>
          </w:p>
        </w:tc>
        <w:tc>
          <w:tcPr>
            <w:tcW w:type="dxa" w:w="1440"/>
            <w:shd w:fill="C6EFCE" w:val="clear"/>
          </w:tcPr>
          <w:p>
            <w:r>
              <w:rPr>
                <w:b/>
                <w:sz w:val="17"/>
              </w:rPr>
              <w:t>26,381</w:t>
            </w:r>
          </w:p>
        </w:tc>
        <w:tc>
          <w:tcPr>
            <w:tcW w:type="dxa" w:w="1440"/>
            <w:shd w:fill="C6EFCE" w:val="clear"/>
          </w:tcPr>
          <w:p>
            <w:r>
              <w:rPr>
                <w:sz w:val="17"/>
              </w:rPr>
              <w:t>27,620</w:t>
            </w:r>
          </w:p>
        </w:tc>
        <w:tc>
          <w:tcPr>
            <w:tcW w:type="dxa" w:w="1440"/>
            <w:shd w:fill="C6EFCE" w:val="clear"/>
          </w:tcPr>
          <w:p>
            <w:r>
              <w:rPr>
                <w:b/>
                <w:color w:val="008000"/>
                <w:sz w:val="17"/>
              </w:rPr>
              <w:t>+14.0%</w:t>
            </w:r>
          </w:p>
        </w:tc>
      </w:tr>
      <w:tr>
        <w:tc>
          <w:tcPr>
            <w:tcW w:type="dxa" w:w="1440"/>
            <w:shd w:fill="C6EFCE" w:val="clear"/>
          </w:tcPr>
          <w:p>
            <w:r>
              <w:rPr>
                <w:sz w:val="17"/>
              </w:rPr>
              <w:t>J+9  Moyenne</w:t>
            </w:r>
          </w:p>
        </w:tc>
        <w:tc>
          <w:tcPr>
            <w:tcW w:type="dxa" w:w="1440"/>
            <w:shd w:fill="C6EFCE" w:val="clear"/>
          </w:tcPr>
          <w:p>
            <w:r>
              <w:rPr>
                <w:sz w:val="17"/>
              </w:rPr>
              <w:t>2026-09-17</w:t>
            </w:r>
          </w:p>
        </w:tc>
        <w:tc>
          <w:tcPr>
            <w:tcW w:type="dxa" w:w="1440"/>
            <w:shd w:fill="C6EFCE" w:val="clear"/>
          </w:tcPr>
          <w:p>
            <w:r>
              <w:rPr>
                <w:sz w:val="17"/>
              </w:rPr>
              <w:t>25,430</w:t>
            </w:r>
          </w:p>
        </w:tc>
        <w:tc>
          <w:tcPr>
            <w:tcW w:type="dxa" w:w="1440"/>
            <w:shd w:fill="C6EFCE" w:val="clear"/>
          </w:tcPr>
          <w:p>
            <w:r>
              <w:rPr>
                <w:b/>
                <w:sz w:val="17"/>
              </w:rPr>
              <w:t>26,764</w:t>
            </w:r>
          </w:p>
        </w:tc>
        <w:tc>
          <w:tcPr>
            <w:tcW w:type="dxa" w:w="1440"/>
            <w:shd w:fill="C6EFCE" w:val="clear"/>
          </w:tcPr>
          <w:p>
            <w:r>
              <w:rPr>
                <w:sz w:val="17"/>
              </w:rPr>
              <w:t>28,098</w:t>
            </w:r>
          </w:p>
        </w:tc>
        <w:tc>
          <w:tcPr>
            <w:tcW w:type="dxa" w:w="1440"/>
            <w:shd w:fill="C6EFCE" w:val="clear"/>
          </w:tcPr>
          <w:p>
            <w:r>
              <w:rPr>
                <w:b/>
                <w:color w:val="008000"/>
                <w:sz w:val="17"/>
              </w:rPr>
              <w:t>+15.6%</w:t>
            </w:r>
          </w:p>
        </w:tc>
      </w:tr>
      <w:tr>
        <w:tc>
          <w:tcPr>
            <w:tcW w:type="dxa" w:w="1440"/>
            <w:shd w:fill="C6EFCE" w:val="clear"/>
          </w:tcPr>
          <w:p>
            <w:r>
              <w:rPr>
                <w:sz w:val="17"/>
              </w:rPr>
              <w:t>J+10  Moyenne</w:t>
            </w:r>
          </w:p>
        </w:tc>
        <w:tc>
          <w:tcPr>
            <w:tcW w:type="dxa" w:w="1440"/>
            <w:shd w:fill="C6EFCE" w:val="clear"/>
          </w:tcPr>
          <w:p>
            <w:r>
              <w:rPr>
                <w:sz w:val="17"/>
              </w:rPr>
              <w:t>2026-09-18</w:t>
            </w:r>
          </w:p>
        </w:tc>
        <w:tc>
          <w:tcPr>
            <w:tcW w:type="dxa" w:w="1440"/>
            <w:shd w:fill="C6EFCE" w:val="clear"/>
          </w:tcPr>
          <w:p>
            <w:r>
              <w:rPr>
                <w:sz w:val="17"/>
              </w:rPr>
              <w:t>25,721</w:t>
            </w:r>
          </w:p>
        </w:tc>
        <w:tc>
          <w:tcPr>
            <w:tcW w:type="dxa" w:w="1440"/>
            <w:shd w:fill="C6EFCE" w:val="clear"/>
          </w:tcPr>
          <w:p>
            <w:r>
              <w:rPr>
                <w:b/>
                <w:sz w:val="17"/>
              </w:rPr>
              <w:t>27,147</w:t>
            </w:r>
          </w:p>
        </w:tc>
        <w:tc>
          <w:tcPr>
            <w:tcW w:type="dxa" w:w="1440"/>
            <w:shd w:fill="C6EFCE" w:val="clear"/>
          </w:tcPr>
          <w:p>
            <w:r>
              <w:rPr>
                <w:sz w:val="17"/>
              </w:rPr>
              <w:t>28,573</w:t>
            </w:r>
          </w:p>
        </w:tc>
        <w:tc>
          <w:tcPr>
            <w:tcW w:type="dxa" w:w="1440"/>
            <w:shd w:fill="C6EFCE" w:val="clear"/>
          </w:tcPr>
          <w:p>
            <w:r>
              <w:rPr>
                <w:b/>
                <w:color w:val="008000"/>
                <w:sz w:val="17"/>
              </w:rPr>
              <w:t>+17.3%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572,61 milliards FCFA, un niveau qui la positionne parmi les valeurs bancaires majeures de la BRVM, reflétant la confiance des investisseurs dans le leadership de NSIA Banque en Côte d'Ivoire. Le BPA de 1 646 FCFA indique que chaque action génère un bénéfice substantiel, justifiant un PER de 14,1x, supérieur à la moyenne historique du marché (8-12x), ce qui traduit une prime de croissance accordée par le marché pour la qualité de la franchise et son potentiel de développement. Le P/B de 2,45x confirme cette prime, le marché valorisant l'actif net comptable à plus du double, signe d'une création de valeur attendue. Enfin, l'EV/EBITDA de 21,5x, bien que très exigeant, reflète la solidité opérationnelle de la banque, les investisseurs acceptant de payer ce niveau pour une capacité bénéficiaire robuste et en croissance.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+63,03%, passant d'un plus bas de 13 810 FCFA à un cours actuel de 23 150 FCFA, avec un plus haut de 24 020 FCFA, démontrant une tendance haussière puissante et soutenue. La variation de +0,65% lors de la dernière séance indique une poursuite du mouvement, bien que le rythme semble se modérer. La moyenne du cours sur la période (19 396 FCFA) est inférieure à la médiane (19 500 FCFA), suggérant une distribution légèrement asymétrique, confirmée par un skewness négatif (-0,403), indiquant que les fortes baisses ont été moins fréquentes que les fortes hausses. L'écart-type de 3 536 FCFA (CV de 18,2%) révèle une dispersion modérée, tandis que le kurtosis de -1,236 (platykurtique) signale une distribution aplatie, avec moins de pics extrêmes que la normale. La volatilité annualisée de 37,8% classe le titre comme très volatil, un niveau élevé qui reflète l'enthousiasme des investisseurs et des mouvements de cours amples.</w:t>
      </w:r>
    </w:p>
    <w:p>
      <w:pPr>
        <w:spacing w:after="120" w:line="276" w:lineRule="auto" w:before="240"/>
      </w:pPr>
      <w:r>
        <w:rPr>
          <w:b/>
          <w:color w:val="003366"/>
          <w:sz w:val="24"/>
        </w:rPr>
        <w:t>**PARTIE 2 : ANALYSE TECHNIQUE DÉTAILLÉE**</w:t>
      </w:r>
    </w:p>
    <w:p>
      <w:pPr>
        <w:spacing w:after="120" w:line="276" w:lineRule="auto"/>
      </w:pPr>
      <w:r>
        <w:t>Les **Moyennes Mobiles** (MM20 à 23 055,75 et MM50 à 22 356,6) sont toutes deux inférieures au cours actuel de 23 150 FCFA, avec une MM20 au-dessus de la MM50, configuration typique d'une tendance haussière. La décision d'achat est justifiée par cette dynamique positive, le cours évoluant au-dessus de ses moyennes, ce qui confirme la vigueur du mouvement et suggère un support dynamique à ces niveaux.</w:t>
      </w:r>
    </w:p>
    <w:p>
      <w:pPr>
        <w:spacing w:after="120" w:line="276" w:lineRule="auto"/>
      </w:pPr>
      <w:r>
        <w:t>Les **Bandes de Bollinger** (borne supérieure à 23 729 et borne inférieure à 22 382) encadrent le cours, qui se situe presque à mi-chemin, indiquant une volatilité modérée après une phase d'expansion. La décision neutre est appropriée car le cours n'est pas en zone de surachat ni de survente, laissant présager une poursuite de la consolidation ou une nouvelle impulsion selon le volume.</w:t>
      </w:r>
    </w:p>
    <w:p>
      <w:pPr>
        <w:spacing w:after="120" w:line="276" w:lineRule="auto"/>
      </w:pPr>
      <w:r>
        <w:t>Le **MACD** (valeur à 117,276, signal à 179,083) montre une divergence négative, le MACD étant passé sous sa ligne de signal, signalant un affaiblissement du momentum haussier à court terme. La décision de vente est prudente, car ce croisement baissier, bien que récent, pourrait indiquer une correction à venir après une hausse aussi marquée.</w:t>
      </w:r>
    </w:p>
    <w:p>
      <w:pPr>
        <w:spacing w:after="120" w:line="276" w:lineRule="auto"/>
      </w:pPr>
      <w:r>
        <w:t>Le **RSI** à 54,103 se situe en zone neutre, entre 30 et 70, indiquant un équilibre entre pression acheteuse et vendeuse. La décision neutre est cohérente, le titre n'étant ni suracheté ni survendu, laissant place à une possible continuation de la tendance sans risque immédiat de retournement violent.</w:t>
      </w:r>
    </w:p>
    <w:p>
      <w:pPr>
        <w:spacing w:after="120" w:line="276" w:lineRule="auto"/>
      </w:pPr>
      <w:r>
        <w:t>Le **Stochastique** (%K à 91,549, %D à 75,352) est en zone de surachat, avec %K nettement au-dessus de %D, signalant une possible exhaustion des acheteurs à court terme. La décision de vente est justifiée par ce niveau extrême, qui précède souvent une consolidation ou un repli technique.</w:t>
      </w:r>
    </w:p>
    <w:p>
      <w:pPr>
        <w:spacing w:after="120" w:line="276" w:lineRule="auto"/>
      </w:pPr>
      <w:r>
        <w:t>En conclusion technique, les indicateurs sont mitigés : les moyennes mobiles confirment la tendance haussière de fond, mais le MACD et le Stochastique, en zone de surachat, suggèrent un essoufflement à court terme. Le RSI neutre et les bandes de Bollinger indiquent une phase de consolidation potentielle, incitant à la prudence pour les nouveaux achats à ces niveaux.</w:t>
      </w:r>
    </w:p>
    <w:p>
      <w:pPr>
        <w:spacing w:after="120" w:line="276" w:lineRule="auto" w:before="240"/>
      </w:pPr>
      <w:r>
        <w:rPr>
          <w:b/>
          <w:color w:val="003366"/>
          <w:sz w:val="24"/>
        </w:rPr>
        <w:t>**PARTIE 3 : ANALYSE FONDAMENTALE (SECTION CRITIQUE)**</w:t>
      </w:r>
    </w:p>
    <w:p>
      <w:pPr>
        <w:spacing w:after="120" w:line="276" w:lineRule="auto"/>
      </w:pPr>
      <w:r>
        <w:t>En 2025, NSBC affiche un Produit Net Bancaire (PNB) de 112,928 milliards FCFA, en hausse de 15% par rapport à 2024, et un résultat net de 40,712 milliards FCFA, en progression de 7%, selon les états financiers annuels. La rentabilité des fonds propres (ROE) est excellente à 17,45%, et le ROA de 1,32% est sain pour le secteur. Le coefficient d'exploitation de 54,59% témoigne d'une banque efficace, sous le seuil de 60%, tandis que le coût du risque de 7,54% (provisions sur charges financières) est élevé, signalant une détérioration de la qualité du portefeuille de crédits, avec des provisions passant de +0,6 à -8,5 milliards FCFA. Les dépôts clientèle (2 242,218 milliards FCFA) couvrent largement les créances clientèle (1 818,671 milliards FCFA), indiquant une transformation saine. Sur la base du rapport T1 2026 (PNB de 28,615 milliards FCFA, +28%, et résultat net de 10,912 milliards FCFA, +53%), on estime que l'exercice 2026 devrait confirmer cette dynamique, avec un PNB annuel potentiel de 114-120 milliards FCFA et un résultat net de 43-46 milliards FCFA, si la tendance se maintient. La croissance du PNB est passée de +7,5% en 2024 à +15% en 2025, et le T1 2026 suggère une accélération, portée par l'activité titres et la maîtrise du coût du risque. La banque est solide, avec des capitaux propres de 233,303 milliards FCFA, mais le risque de crédit et la dépendance aux revenus de titres sont des points de vigilance pour la soutenabilité de la performance.</w:t>
      </w:r>
    </w:p>
    <w:p>
      <w:pPr>
        <w:spacing w:after="120" w:line="276" w:lineRule="auto" w:before="240"/>
      </w:pPr>
      <w:r>
        <w:rPr>
          <w:b/>
          <w:color w:val="003366"/>
          <w:sz w:val="24"/>
        </w:rPr>
        <w:t>**PARTIE 4 : CONCLUSION D'INVESTISSEMENT**</w:t>
      </w:r>
    </w:p>
    <w:p>
      <w:pPr>
        <w:spacing w:after="120" w:line="276" w:lineRule="auto"/>
      </w:pPr>
      <w:r>
        <w:t>La valorisation de NSBC (PER de 14,1x, P/B de 2,45x, EV/EBITDA de 21,5x) indique une prime de croissance, le marché intégrant des perspectives favorables, mais le prix paraît exigeant par rapport aux bénéfices actuels. Le comportement du cours est très positif, avec une hausse de 63% sur 100 jours, mais la volatilité élevée (37,8%) et les statistiques (kurtosis platykurtique, skewness négatif) suggèrent un risque de retournement. Les signaux techniques sont mitigés : les moyennes mobiles sont haussières, mais le MACD et le Stochastique en surachat signalent une possible correction à court terme. Les fondamentaux sont robustes, avec une croissance du PNB et du résultat net en 2025 et une accélération au T1 2026, mais le coût du risque élevé et la dépendance aux titres sont des risques. Les prédictions IA (23 651 à 25 226 FCFA sur 10 jours) confirment la tendance haussière, mais semblent optimistes compte tenu des signaux techniques de surachat. En synthèse, la convergence entre la solidité fondamentale et la tendance du cours est positive, mais la valorisation et les signaux techniques appellent à la prudence. La recommandation finale est **CONSERVER**, avec un niveau de confiance **Moyen**, un risque global **Élevé**, et un horizon d'investissement optimal à **moyen terme (3-12 mois)**, en attendant une consolidation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1,582 titres</w:t>
            </w:r>
          </w:p>
        </w:tc>
        <w:tc>
          <w:tcPr>
            <w:tcW w:type="dxa" w:w="2268"/>
            <w:shd w:fill="FFF2CC" w:val="clear"/>
          </w:tcPr>
          <w:p>
            <w:r>
              <w:rPr>
                <w:b/>
                <w:color w:val="503200"/>
                <w:sz w:val="16"/>
              </w:rPr>
              <w:t xml:space="preserve">Cours actuel : </w:t>
            </w:r>
            <w:r>
              <w:rPr>
                <w:color w:val="000000"/>
                <w:sz w:val="17"/>
              </w:rPr>
              <w:t>16,900 FCFA</w:t>
            </w:r>
          </w:p>
          <w:p>
            <w:r>
              <w:rPr>
                <w:b/>
                <w:color w:val="503200"/>
                <w:sz w:val="16"/>
              </w:rPr>
              <w:t xml:space="preserve">Var. 100 jours : </w:t>
            </w:r>
            <w:r>
              <w:rPr>
                <w:b/>
                <w:color w:val="007800"/>
                <w:sz w:val="17"/>
              </w:rPr>
              <w:t>+37.62%</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13.75% (Moyenne) — μ=14,682 FCFA, σ=2,019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β=-0.1257 (Contre-cyclique) — Cov=-0.000005, Var(idx)=0.000037, ρ=-0.033,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15,911</w:t>
            </w:r>
          </w:p>
        </w:tc>
        <w:tc>
          <w:tcPr>
            <w:tcW w:type="dxa" w:w="1440"/>
            <w:shd w:fill="FFDCE0" w:val="clear"/>
          </w:tcPr>
          <w:p>
            <w:r>
              <w:rPr>
                <w:b/>
                <w:sz w:val="17"/>
              </w:rPr>
              <w:t>16,442</w:t>
            </w:r>
          </w:p>
        </w:tc>
        <w:tc>
          <w:tcPr>
            <w:tcW w:type="dxa" w:w="1440"/>
            <w:shd w:fill="FFDCE0" w:val="clear"/>
          </w:tcPr>
          <w:p>
            <w:r>
              <w:rPr>
                <w:sz w:val="17"/>
              </w:rPr>
              <w:t>16,973</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15,682</w:t>
            </w:r>
          </w:p>
        </w:tc>
        <w:tc>
          <w:tcPr>
            <w:tcW w:type="dxa" w:w="1440"/>
            <w:shd w:fill="FFDCE0" w:val="clear"/>
          </w:tcPr>
          <w:p>
            <w:r>
              <w:rPr>
                <w:b/>
                <w:sz w:val="17"/>
              </w:rPr>
              <w:t>16,433</w:t>
            </w:r>
          </w:p>
        </w:tc>
        <w:tc>
          <w:tcPr>
            <w:tcW w:type="dxa" w:w="1440"/>
            <w:shd w:fill="FFDCE0" w:val="clear"/>
          </w:tcPr>
          <w:p>
            <w:r>
              <w:rPr>
                <w:sz w:val="17"/>
              </w:rPr>
              <w:t>17,183</w:t>
            </w:r>
          </w:p>
        </w:tc>
        <w:tc>
          <w:tcPr>
            <w:tcW w:type="dxa" w:w="1440"/>
            <w:shd w:fill="FFDCE0" w:val="clear"/>
          </w:tcPr>
          <w:p>
            <w:r>
              <w:rPr>
                <w:b/>
                <w:color w:val="C00000"/>
                <w:sz w:val="17"/>
              </w:rPr>
              <w:t>-2.8%</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15,475</w:t>
            </w:r>
          </w:p>
        </w:tc>
        <w:tc>
          <w:tcPr>
            <w:tcW w:type="dxa" w:w="1440"/>
            <w:shd w:fill="FFDCE0" w:val="clear"/>
          </w:tcPr>
          <w:p>
            <w:r>
              <w:rPr>
                <w:b/>
                <w:sz w:val="17"/>
              </w:rPr>
              <w:t>16,392</w:t>
            </w:r>
          </w:p>
        </w:tc>
        <w:tc>
          <w:tcPr>
            <w:tcW w:type="dxa" w:w="1440"/>
            <w:shd w:fill="FFDCE0" w:val="clear"/>
          </w:tcPr>
          <w:p>
            <w:r>
              <w:rPr>
                <w:sz w:val="17"/>
              </w:rPr>
              <w:t>17,309</w:t>
            </w:r>
          </w:p>
        </w:tc>
        <w:tc>
          <w:tcPr>
            <w:tcW w:type="dxa" w:w="1440"/>
            <w:shd w:fill="FFDCE0" w:val="clear"/>
          </w:tcPr>
          <w:p>
            <w:r>
              <w:rPr>
                <w:b/>
                <w:color w:val="C00000"/>
                <w:sz w:val="17"/>
              </w:rPr>
              <w:t>-3.0%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15,288</w:t>
            </w:r>
          </w:p>
        </w:tc>
        <w:tc>
          <w:tcPr>
            <w:tcW w:type="dxa" w:w="1440"/>
            <w:shd w:fill="FFDCE0" w:val="clear"/>
          </w:tcPr>
          <w:p>
            <w:r>
              <w:rPr>
                <w:b/>
                <w:sz w:val="17"/>
              </w:rPr>
              <w:t>16,344</w:t>
            </w:r>
          </w:p>
        </w:tc>
        <w:tc>
          <w:tcPr>
            <w:tcW w:type="dxa" w:w="1440"/>
            <w:shd w:fill="FFDCE0" w:val="clear"/>
          </w:tcPr>
          <w:p>
            <w:r>
              <w:rPr>
                <w:sz w:val="17"/>
              </w:rPr>
              <w:t>17,400</w:t>
            </w:r>
          </w:p>
        </w:tc>
        <w:tc>
          <w:tcPr>
            <w:tcW w:type="dxa" w:w="1440"/>
            <w:shd w:fill="FFDCE0" w:val="clear"/>
          </w:tcPr>
          <w:p>
            <w:r>
              <w:rPr>
                <w:b/>
                <w:color w:val="C00000"/>
                <w:sz w:val="17"/>
              </w:rPr>
              <w:t>-3.3%</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15,119</w:t>
            </w:r>
          </w:p>
        </w:tc>
        <w:tc>
          <w:tcPr>
            <w:tcW w:type="dxa" w:w="1440"/>
            <w:shd w:fill="FFDCE0" w:val="clear"/>
          </w:tcPr>
          <w:p>
            <w:r>
              <w:rPr>
                <w:b/>
                <w:sz w:val="17"/>
              </w:rPr>
              <w:t>16,296</w:t>
            </w:r>
          </w:p>
        </w:tc>
        <w:tc>
          <w:tcPr>
            <w:tcW w:type="dxa" w:w="1440"/>
            <w:shd w:fill="FFDCE0" w:val="clear"/>
          </w:tcPr>
          <w:p>
            <w:r>
              <w:rPr>
                <w:sz w:val="17"/>
              </w:rPr>
              <w:t>17,473</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14,963</w:t>
            </w:r>
          </w:p>
        </w:tc>
        <w:tc>
          <w:tcPr>
            <w:tcW w:type="dxa" w:w="1440"/>
            <w:shd w:fill="FFDCE0" w:val="clear"/>
          </w:tcPr>
          <w:p>
            <w:r>
              <w:rPr>
                <w:b/>
                <w:sz w:val="17"/>
              </w:rPr>
              <w:t>16,249</w:t>
            </w:r>
          </w:p>
        </w:tc>
        <w:tc>
          <w:tcPr>
            <w:tcW w:type="dxa" w:w="1440"/>
            <w:shd w:fill="FFDCE0" w:val="clear"/>
          </w:tcPr>
          <w:p>
            <w:r>
              <w:rPr>
                <w:sz w:val="17"/>
              </w:rPr>
              <w:t>17,534</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14,818</w:t>
            </w:r>
          </w:p>
        </w:tc>
        <w:tc>
          <w:tcPr>
            <w:tcW w:type="dxa" w:w="1440"/>
            <w:shd w:fill="FFDCE0" w:val="clear"/>
          </w:tcPr>
          <w:p>
            <w:r>
              <w:rPr>
                <w:b/>
                <w:sz w:val="17"/>
              </w:rPr>
              <w:t>16,203</w:t>
            </w:r>
          </w:p>
        </w:tc>
        <w:tc>
          <w:tcPr>
            <w:tcW w:type="dxa" w:w="1440"/>
            <w:shd w:fill="FFDCE0" w:val="clear"/>
          </w:tcPr>
          <w:p>
            <w:r>
              <w:rPr>
                <w:sz w:val="17"/>
              </w:rPr>
              <w:t>17,588</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14,683</w:t>
            </w:r>
          </w:p>
        </w:tc>
        <w:tc>
          <w:tcPr>
            <w:tcW w:type="dxa" w:w="1440"/>
            <w:shd w:fill="FFDCE0" w:val="clear"/>
          </w:tcPr>
          <w:p>
            <w:r>
              <w:rPr>
                <w:b/>
                <w:sz w:val="17"/>
              </w:rPr>
              <w:t>16,159</w:t>
            </w:r>
          </w:p>
        </w:tc>
        <w:tc>
          <w:tcPr>
            <w:tcW w:type="dxa" w:w="1440"/>
            <w:shd w:fill="FFDCE0" w:val="clear"/>
          </w:tcPr>
          <w:p>
            <w:r>
              <w:rPr>
                <w:sz w:val="17"/>
              </w:rPr>
              <w:t>17,635</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14,554</w:t>
            </w:r>
          </w:p>
        </w:tc>
        <w:tc>
          <w:tcPr>
            <w:tcW w:type="dxa" w:w="1440"/>
            <w:shd w:fill="FFDCE0" w:val="clear"/>
          </w:tcPr>
          <w:p>
            <w:r>
              <w:rPr>
                <w:b/>
                <w:sz w:val="17"/>
              </w:rPr>
              <w:t>16,116</w:t>
            </w:r>
          </w:p>
        </w:tc>
        <w:tc>
          <w:tcPr>
            <w:tcW w:type="dxa" w:w="1440"/>
            <w:shd w:fill="FFDCE0" w:val="clear"/>
          </w:tcPr>
          <w:p>
            <w:r>
              <w:rPr>
                <w:sz w:val="17"/>
              </w:rPr>
              <w:t>17,677</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14,432</w:t>
            </w:r>
          </w:p>
        </w:tc>
        <w:tc>
          <w:tcPr>
            <w:tcW w:type="dxa" w:w="1440"/>
            <w:shd w:fill="FFDCE0" w:val="clear"/>
          </w:tcPr>
          <w:p>
            <w:r>
              <w:rPr>
                <w:b/>
                <w:sz w:val="17"/>
              </w:rPr>
              <w:t>16,074</w:t>
            </w:r>
          </w:p>
        </w:tc>
        <w:tc>
          <w:tcPr>
            <w:tcW w:type="dxa" w:w="1440"/>
            <w:shd w:fill="FFDCE0" w:val="clear"/>
          </w:tcPr>
          <w:p>
            <w:r>
              <w:rPr>
                <w:sz w:val="17"/>
              </w:rPr>
              <w:t>17,715</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05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372,99 milliards FCFA, ce qui en fait l'une des capitalisations les plus significatives de la BRVM, reflétant la confiance des investisseurs dans ce leader des biens de consommation. Avec un BPA de 835 FCFA, le titre se négocie à un PER de 20,2x, nettement supérieur à la moyenne historique du marché BRVM (8-12x). Cette prime de valorisation suggère que les investisseurs anticipent une croissance future soutenue des bénéfices, intégrant potentiellement les excellents résultats du T1 2026. Le P/B de 12,61x est extrêmement élevé, indiquant que le marché valorise fortement les actifs incorporels, la marque et la rentabilité supérieure de l'entreprise, bien au-delà de sa valeur comptable. Enfin, l'EV/EBITDA de 10,0x se situe dans la fourchette haute des valeurs raisonnables (5-10x), ce qui tempère légèrement la cherté apparente du titre en le comparant à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performance remarquable de +37,62%, avec une dernière séance en hausse de +2,21%, clôturant à 16 900 FCFA. Le titre a évolué dans une fourchette large de 11 150 FCFA (plus bas) à 17 450 FCFA (plus haut), démontrant une forte dynamique haussière sur la période. La moyenne du cours sur 100 jours s'établit à 14 682 FCFA, tandis que la médiane est de 15 125 FCFA ; l'écart entre ces deux valeurs, avec une moyenne inférieure à la médiane, indique une asymétrie négative, signe que les fortes baisses passées tirent la moyenne vers le bas. L'écart-type de 2 029 FCFA (CV=13,8%) révèle une dispersion modérée autour de la moyenne. Le kurtosis négatif (-1.525) signale une distribution platykurtique, avec une faible probabilité de mouvements extrêmes, tandis que le skewness de -0.303 confirme une distribution quasi symétrique. La volatilité annualisée de 36,7% classe NTLC comme un titre à forte volatilité, ce qui implique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16 900 FCFA se positionne au-dessus de sa MM20 (16 894,75 FCFA) et de sa MM50 (16 444,3 FCFA), avec une MM20 supérieure à la MM50, formant une configuration haussière classique. Cette structure positive justifie la décision d'**Achat**, car elle confirme la tendance de fond et suggère que le momentum à court et moyen terme reste favorable.</w:t>
      </w:r>
    </w:p>
    <w:p>
      <w:pPr>
        <w:spacing w:after="120" w:line="276" w:lineRule="auto"/>
      </w:pPr>
      <w:r>
        <w:t>**Bandes de Bollinger** : Le prix se situe à 16 900 FCFA, entre la borne supérieure (17 721,85 FCFA) et la borne inférieure (16 067,65 FCFA), proche de la moyenne mobile. Cette position médiane indique une volatilité modérée, sans condition de surachat ou de survente extrême. La décision est **Neutre**, le marché n'envoyant pas de signal directionnel fort à très court terme.</w:t>
      </w:r>
    </w:p>
    <w:p>
      <w:pPr>
        <w:spacing w:after="120" w:line="276" w:lineRule="auto"/>
      </w:pPr>
      <w:r>
        <w:t>**MACD** : Avec une valeur de 52,405 et un signal à 131,522, le MACD est inférieur à sa ligne de signal, indiquant un momentum baissier à court terme. Cette configuration, qui survient après une forte hausse, suggère une possible phase de consolidation ou de correction. La décision de **Vente** reflète ce ralentissement du momentum haussier.</w:t>
      </w:r>
    </w:p>
    <w:p>
      <w:pPr>
        <w:spacing w:after="120" w:line="276" w:lineRule="auto"/>
      </w:pPr>
      <w:r>
        <w:t>**RSI** : Le RSI s'établit à 43,09, dans la zone neutre (30-70), ce qui indique que le titre n'est ni suracheté ni survendu. Cette valeur suggère un équilibre entre les forces acheteuses et vendeuses, sans signal directionnel fort. La décision est **Neutre**, laissant place à une évolution dans un sens ou dans l'autre.</w:t>
      </w:r>
    </w:p>
    <w:p>
      <w:pPr>
        <w:spacing w:after="120" w:line="276" w:lineRule="auto"/>
      </w:pPr>
      <w:r>
        <w:t>**Stochastique** : Le %K (66,667) est supérieur au %D (53,082), indiquant un croisement haussier en territoire positif. Cette configuration suggère que la dynamique de prix à court terme reprend de la vigueur, sans pour autant atteindre des niveaux de surachat. La décision est **Neutre**, mais la configuration est légèrement positive.</w:t>
      </w:r>
    </w:p>
    <w:p>
      <w:pPr>
        <w:spacing w:after="120" w:line="276" w:lineRule="auto"/>
      </w:pPr>
      <w:r>
        <w:t>**Conclusion technique** : La tendance de fond reste haussière, soutenue par des moyennes mobiles orientées à la hausse. Cependant, le MACD en position de vente et le RSI neutre signalent une possible pause dans le mouvement haussier. La configuration des bandes de Bollinger et du stochastique suggère une phase de consolidation, avec un biais haussier à moyen terme. Les signaux sont donc mitigés à court terme, mais la structure globale demeure positive.</w:t>
      </w:r>
    </w:p>
    <w:p>
      <w:pPr>
        <w:spacing w:after="120" w:line="276" w:lineRule="auto"/>
      </w:pPr>
      <w:r>
        <w:t>---</w:t>
      </w:r>
    </w:p>
    <w:p>
      <w:pPr>
        <w:spacing w:after="120" w:line="276" w:lineRule="auto"/>
      </w:pPr>
      <w:r>
        <w:t>### PARTIE 3 : ANALYSE FONDAMENTALE (SECTION CRITIQUE)</w:t>
      </w:r>
    </w:p>
    <w:p>
      <w:pPr>
        <w:spacing w:after="120" w:line="276" w:lineRule="auto"/>
      </w:pPr>
      <w:r>
        <w:t>En 2025, Nestlé Côte d'Ivoire a réalisé un chiffre d'affaires de 233,26 milliards FCFA, en hausse de 5,97% par rapport à 2024, avec un résultat net de 18,43 milliards FCFA, en légère progression de 1,53%. La marge nette s'établit à 7,90%, en léger repli par rapport aux 8,25% de 2024, tandis que le ROE est exceptionnel à 62,28% et le ROA à 9,70%. En tant qu'entreprise, l'analyse se concentre sur les délais clients (74,3 jours) et de stockage (59,4 jours), qui indiquent une immobilisation de capital mais restent gérables. Le BFR de 22,63 milliards FCFA et un fonds de roulement négatif de -24,21 milliards FCFA soulèvent des questions sur la liquidité à court terme, bien que la solvabilité générale de 118,45% reste saine. L'endettement total représente 135,85% des capitaux propres, un niveau élevé mais soutenable. Les rapports trimestriels montrent une trajectoire contrastée en 2025, avec un T1 en baisse de CA (-11%) mais un résultat net en hausse de 19%, suivi d'un S1 en stagnation et d'un T3 avec un CA en légère hausse (+1,36%) mais un résultat net en baisse de 21,3%. Cependant, le rapport du T1 2026 (daté du 31 mars 2026) révèle une accélération spectaculaire : CA de 70,82 milliards FCFA (+31%) et résultat net de 7,53 milliards FCFA (+37%), avec une marge nette améliorée à 10,6%. Sur la base de ce T1 2026, on estime que l'exercice 2026 pourrait dépasser les 280 milliards FCFA de CA et les 30 milliards FCFA de résultat net, soit une croissance annuelle potentielle de plus de 20%. La politique de dividende pour 2025, proposée à 9,27 milliards FCFA (payout de 50,3%), marque un changement stratégique vers le réinvestissement, après un taux de distribution de 99,7% en 2024. La recommandation fondamentale est positive, portée par la solidité de la marque et l'accélération récente, mais il faut surveiller la pression sur les marges opérationnelles et l'endettement.</w:t>
      </w:r>
    </w:p>
    <w:p>
      <w:pPr>
        <w:spacing w:after="120" w:line="276" w:lineRule="auto"/>
      </w:pPr>
      <w:r>
        <w:t>---</w:t>
      </w:r>
    </w:p>
    <w:p>
      <w:pPr>
        <w:spacing w:after="120" w:line="276" w:lineRule="auto"/>
      </w:pPr>
      <w:r>
        <w:t>### PARTIE 4 : CONCLUSION D'INVESTISSEMENT</w:t>
      </w:r>
    </w:p>
    <w:p>
      <w:pPr>
        <w:spacing w:after="120" w:line="276" w:lineRule="auto"/>
      </w:pPr>
      <w:r>
        <w:t>La valorisation de NTLC est exigeante, avec un PER de 20,2x et un P/B de 12,61x, indiquant une prime substantielle par rapport au marché BRVM, justifiée par un ROE exceptionnel de 62,28% et une croissance retrouvée. Le comportement du cours sur 100 jours est très positif (+37,62%), avec une volatilité élevée (36,7%) et une distribution platykurtique, suggérant un potentiel de rendement mais aussi un risque de corrections brutales. Les signaux techniques sont mitigés : la tendance de fond est haussière (MM), mais le MACD en vente et le RSI neutre indiquent une possible consolidation à court terme. Les fondamentaux sont solides, avec une croissance du CA de 5,97% en 2025 et une accélération spectaculaire au T1 2026 (+31% de CA, +37% de résultat net), laissant présager une année 2026 exceptionnelle. Les prédictions IA pour les 10 prochains jours (16 442 à 16 296 FCFA) suggèrent une légère correction, contredisant la tendance haussière récente et confirmant les signaux techniques de consolidation. En synthèse, la convergence entre la solidité fondamentale, la dynamique de croissance et la tendance haussière de long terme plaide pour une recommandation **ACHAT**, malgré une valorisation élevée et des signaux techniques de court terme mitigés. Le niveau de confiance est **Moyen**, le risque global est **Moyen** (volatilité élevée, valorisation exigeante), et l'horizon d'investissement optimal est le **moyen terme (3-12 mois)**, pour capitaliser sur la croissance attendue en 2026 tout en laissant le temps au marché de digérer la valorisation actuelle.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198.56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5,060 titres</w:t>
            </w:r>
          </w:p>
        </w:tc>
        <w:tc>
          <w:tcPr>
            <w:tcW w:type="dxa" w:w="2268"/>
            <w:shd w:fill="FFF2CC" w:val="clear"/>
          </w:tcPr>
          <w:p>
            <w:r>
              <w:rPr>
                <w:b/>
                <w:color w:val="503200"/>
                <w:sz w:val="16"/>
              </w:rPr>
              <w:t xml:space="preserve">Cours actuel : </w:t>
            </w:r>
            <w:r>
              <w:rPr>
                <w:color w:val="000000"/>
                <w:sz w:val="17"/>
              </w:rPr>
              <w:t>2,920 FCFA</w:t>
            </w:r>
          </w:p>
          <w:p>
            <w:r>
              <w:rPr>
                <w:b/>
                <w:color w:val="503200"/>
                <w:sz w:val="16"/>
              </w:rPr>
              <w:t xml:space="preserve">Var. 100 jours : </w:t>
            </w:r>
            <w:r>
              <w:rPr>
                <w:b/>
                <w:color w:val="007800"/>
                <w:sz w:val="17"/>
              </w:rPr>
              <w:t>+4.66%</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3.05% (Faible) — μ=2,823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β=0.4347 (Défensif) — Cov=0.000016, Var(idx)=0.000037, ρ=0.134,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σ_j=1.98%/j (Stable) — Vol. annualisée≈31.4%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2,801</w:t>
            </w:r>
          </w:p>
        </w:tc>
        <w:tc>
          <w:tcPr>
            <w:tcW w:type="dxa" w:w="1440"/>
            <w:shd w:fill="FAFAFA" w:val="clear"/>
          </w:tcPr>
          <w:p>
            <w:r>
              <w:rPr>
                <w:b/>
                <w:sz w:val="17"/>
              </w:rPr>
              <w:t>2,897</w:t>
            </w:r>
          </w:p>
        </w:tc>
        <w:tc>
          <w:tcPr>
            <w:tcW w:type="dxa" w:w="1440"/>
            <w:shd w:fill="FAFAFA" w:val="clear"/>
          </w:tcPr>
          <w:p>
            <w:r>
              <w:rPr>
                <w:sz w:val="17"/>
              </w:rPr>
              <w:t>2,993</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2,759</w:t>
            </w:r>
          </w:p>
        </w:tc>
        <w:tc>
          <w:tcPr>
            <w:tcW w:type="dxa" w:w="1440"/>
            <w:shd w:fill="FAFAFA" w:val="clear"/>
          </w:tcPr>
          <w:p>
            <w:r>
              <w:rPr>
                <w:b/>
                <w:sz w:val="17"/>
              </w:rPr>
              <w:t>2,895</w:t>
            </w:r>
          </w:p>
        </w:tc>
        <w:tc>
          <w:tcPr>
            <w:tcW w:type="dxa" w:w="1440"/>
            <w:shd w:fill="FAFAFA" w:val="clear"/>
          </w:tcPr>
          <w:p>
            <w:r>
              <w:rPr>
                <w:sz w:val="17"/>
              </w:rPr>
              <w:t>3,030</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2,724</w:t>
            </w:r>
          </w:p>
        </w:tc>
        <w:tc>
          <w:tcPr>
            <w:tcW w:type="dxa" w:w="1440"/>
            <w:shd w:fill="FAFAFA" w:val="clear"/>
          </w:tcPr>
          <w:p>
            <w:r>
              <w:rPr>
                <w:b/>
                <w:sz w:val="17"/>
              </w:rPr>
              <w:t>2,889</w:t>
            </w:r>
          </w:p>
        </w:tc>
        <w:tc>
          <w:tcPr>
            <w:tcW w:type="dxa" w:w="1440"/>
            <w:shd w:fill="FAFAFA" w:val="clear"/>
          </w:tcPr>
          <w:p>
            <w:r>
              <w:rPr>
                <w:sz w:val="17"/>
              </w:rPr>
              <w:t>3,054</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2,693</w:t>
            </w:r>
          </w:p>
        </w:tc>
        <w:tc>
          <w:tcPr>
            <w:tcW w:type="dxa" w:w="1440"/>
            <w:shd w:fill="FAFAFA" w:val="clear"/>
          </w:tcPr>
          <w:p>
            <w:r>
              <w:rPr>
                <w:b/>
                <w:sz w:val="17"/>
              </w:rPr>
              <w:t>2,883</w:t>
            </w:r>
          </w:p>
        </w:tc>
        <w:tc>
          <w:tcPr>
            <w:tcW w:type="dxa" w:w="1440"/>
            <w:shd w:fill="FAFAFA" w:val="clear"/>
          </w:tcPr>
          <w:p>
            <w:r>
              <w:rPr>
                <w:sz w:val="17"/>
              </w:rPr>
              <w:t>3,074</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2,665</w:t>
            </w:r>
          </w:p>
        </w:tc>
        <w:tc>
          <w:tcPr>
            <w:tcW w:type="dxa" w:w="1440"/>
            <w:shd w:fill="FAFAFA" w:val="clear"/>
          </w:tcPr>
          <w:p>
            <w:r>
              <w:rPr>
                <w:b/>
                <w:sz w:val="17"/>
              </w:rPr>
              <w:t>2,877</w:t>
            </w:r>
          </w:p>
        </w:tc>
        <w:tc>
          <w:tcPr>
            <w:tcW w:type="dxa" w:w="1440"/>
            <w:shd w:fill="FAFAFA" w:val="clear"/>
          </w:tcPr>
          <w:p>
            <w:r>
              <w:rPr>
                <w:sz w:val="17"/>
              </w:rPr>
              <w:t>3,090</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2,639</w:t>
            </w:r>
          </w:p>
        </w:tc>
        <w:tc>
          <w:tcPr>
            <w:tcW w:type="dxa" w:w="1440"/>
            <w:shd w:fill="FAFAFA" w:val="clear"/>
          </w:tcPr>
          <w:p>
            <w:r>
              <w:rPr>
                <w:b/>
                <w:sz w:val="17"/>
              </w:rPr>
              <w:t>2,871</w:t>
            </w:r>
          </w:p>
        </w:tc>
        <w:tc>
          <w:tcPr>
            <w:tcW w:type="dxa" w:w="1440"/>
            <w:shd w:fill="FAFAFA" w:val="clear"/>
          </w:tcPr>
          <w:p>
            <w:r>
              <w:rPr>
                <w:sz w:val="17"/>
              </w:rPr>
              <w:t>3,104</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2,615</w:t>
            </w:r>
          </w:p>
        </w:tc>
        <w:tc>
          <w:tcPr>
            <w:tcW w:type="dxa" w:w="1440"/>
            <w:shd w:fill="FAFAFA" w:val="clear"/>
          </w:tcPr>
          <w:p>
            <w:r>
              <w:rPr>
                <w:b/>
                <w:sz w:val="17"/>
              </w:rPr>
              <w:t>2,866</w:t>
            </w:r>
          </w:p>
        </w:tc>
        <w:tc>
          <w:tcPr>
            <w:tcW w:type="dxa" w:w="1440"/>
            <w:shd w:fill="FAFAFA" w:val="clear"/>
          </w:tcPr>
          <w:p>
            <w:r>
              <w:rPr>
                <w:sz w:val="17"/>
              </w:rPr>
              <w:t>3,116</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2,593</w:t>
            </w:r>
          </w:p>
        </w:tc>
        <w:tc>
          <w:tcPr>
            <w:tcW w:type="dxa" w:w="1440"/>
            <w:shd w:fill="FFDCE0" w:val="clear"/>
          </w:tcPr>
          <w:p>
            <w:r>
              <w:rPr>
                <w:b/>
                <w:sz w:val="17"/>
              </w:rPr>
              <w:t>2,860</w:t>
            </w:r>
          </w:p>
        </w:tc>
        <w:tc>
          <w:tcPr>
            <w:tcW w:type="dxa" w:w="1440"/>
            <w:shd w:fill="FFDCE0" w:val="clear"/>
          </w:tcPr>
          <w:p>
            <w:r>
              <w:rPr>
                <w:sz w:val="17"/>
              </w:rPr>
              <w:t>3,127</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2,572</w:t>
            </w:r>
          </w:p>
        </w:tc>
        <w:tc>
          <w:tcPr>
            <w:tcW w:type="dxa" w:w="1440"/>
            <w:shd w:fill="FFDCE0" w:val="clear"/>
          </w:tcPr>
          <w:p>
            <w:r>
              <w:rPr>
                <w:b/>
                <w:sz w:val="17"/>
              </w:rPr>
              <w:t>2,854</w:t>
            </w:r>
          </w:p>
        </w:tc>
        <w:tc>
          <w:tcPr>
            <w:tcW w:type="dxa" w:w="1440"/>
            <w:shd w:fill="FFDCE0" w:val="clear"/>
          </w:tcPr>
          <w:p>
            <w:r>
              <w:rPr>
                <w:sz w:val="17"/>
              </w:rPr>
              <w:t>3,137</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2,551</w:t>
            </w:r>
          </w:p>
        </w:tc>
        <w:tc>
          <w:tcPr>
            <w:tcW w:type="dxa" w:w="1440"/>
            <w:shd w:fill="FFDCE0" w:val="clear"/>
          </w:tcPr>
          <w:p>
            <w:r>
              <w:rPr>
                <w:b/>
                <w:sz w:val="17"/>
              </w:rPr>
              <w:t>2,849</w:t>
            </w:r>
          </w:p>
        </w:tc>
        <w:tc>
          <w:tcPr>
            <w:tcW w:type="dxa" w:w="1440"/>
            <w:shd w:fill="FFDCE0" w:val="clear"/>
          </w:tcPr>
          <w:p>
            <w:r>
              <w:rPr>
                <w:sz w:val="17"/>
              </w:rPr>
              <w:t>3,146</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une analyse financière professionnelle et structurée de l'action ONTBF (ONATEL-SA / Moov Africa Burkina Faso)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d'ONTBF s'établit à 198,56 milliards FCFA, ce qui en fait une valeur de première ligne sur la BRVM, représentant un poids significatif dans l'indice composite. Avec un BPA de 234 FCFA, le titre se négocie à un PER de 12,5x, légèrement au-dessus de la moyenne historique de la place (~8-12x), ce qui suggère que le marché intègre une prime de croissance ou de stabilité pour cet opérateur historique. Le P/B de 3,45x confirme cette prime, le marché valorisant l'actif net à plus de trois fois sa valeur comptable, reflétant la qualité des actifs et la position dominante de l'entreprise. Enfin, un EV/EBITDA de 5,2x indique que la valeur totale de l'entreprise (capitaux propres + dettes) reste raisonnable par rapport à sa capacité opérationnelle, ce qui est un signal positif pour un investisseur de long terme.</w:t>
      </w:r>
    </w:p>
    <w:p>
      <w:pPr>
        <w:spacing w:after="120" w:line="276" w:lineRule="auto"/>
      </w:pPr>
      <w:r>
        <w:t>### **PARTIE 1 : ANALYSE DU COURS — STATISTIQUES ET ÉVOLUTION (100 derniers jours)**</w:t>
      </w:r>
    </w:p>
    <w:p>
      <w:pPr>
        <w:spacing w:after="120" w:line="276" w:lineRule="auto"/>
      </w:pPr>
      <w:r>
        <w:t>Sur les 100 derniers jours, l'action ONTBF affiche une progression de +4,66%, avec une dernière séance stable (+0,00%). Le cours a évolué dans un range de trading de 460 FCFA, oscillant entre un plus bas de 2 610 FCFA et un plus haut de 3 070 FCFA, démontrant une tendance globalement haussière sur la période. La moyenne du cours (2 823 FCFA) est très proche de la médiane (2 805 FCFA) et du mode (2 800 FCFA), ce qui, combiné à un skewness de 0.184 (symétrique) et un kurtosis de -0.261 (mésokurtique), indique une distribution des prix très normale et stable, sans pics de volatilité extrêmes ni biais directionnel marqué. L'écart-type de 87 FCFA (CV de 3,1%) confirme une dispersion très faible des prix autour de la moyenne. Cependant, la volatilité annualisée de 31,4% classe le titre dans la catégorie "élevée" (&gt;30%), suggérant que malgré une stabilité récente, le titre peut subir des mouvements amples sur de plus longues périodes.</w:t>
      </w:r>
    </w:p>
    <w:p>
      <w:pPr>
        <w:spacing w:after="120" w:line="276" w:lineRule="auto"/>
      </w:pPr>
      <w:r>
        <w:t>### **PARTIE 2 : ANALYSE TECHNIQUE DÉTAILLÉE**</w:t>
      </w:r>
    </w:p>
    <w:p>
      <w:pPr>
        <w:spacing w:after="120" w:line="276" w:lineRule="auto"/>
      </w:pPr>
      <w:r>
        <w:t>**Moyennes Mobiles:** Le cours actuel (2 920 FCFA) est positionné au-dessus de sa moyenne mobile à 20 jours (MM20 à 2 891,75 FCFA) et de sa moyenne mobile à 50 jours (MM50 à 2 838,5 FCFA). Cette configuration haussière, où le prix est soutenu par les deux moyennes, justifie la décision d'**Achat**. La MM20 étant au-dessus de la MM50, la tendance de fond est positive à court et moyen terme.</w:t>
      </w:r>
    </w:p>
    <w:p>
      <w:pPr>
        <w:spacing w:after="120" w:line="276" w:lineRule="auto"/>
      </w:pPr>
      <w:r>
        <w:t>**Bandes de Bollinger:** Le prix se situe à 2 920 FCFA, entre la borne supérieure (2 976,9 FCFA) et la borne inférieure (2 806,6 FCFA), mais plus près de la borne haute. Cela indique une pression acheteuse modérée sans condition de surachat extrême. La largeur des bandes suggère une volatilité normale. La décision est **Neutre**, le prix n'ayant pas encore touché les bornes pour signaler un retournement ou une accélération.</w:t>
      </w:r>
    </w:p>
    <w:p>
      <w:pPr>
        <w:spacing w:after="120" w:line="276" w:lineRule="auto"/>
      </w:pPr>
      <w:r>
        <w:t>**MACD:** La valeur du MACD (12,101) est inférieure à son signal (15,15), ce qui forme une divergence baissière à court terme. Bien que les deux indicateurs soient en territoire positif, ce croisement négatif indique un ralentissement du momentum haussier. La décision est **Vente**, signalant une possible consolidation ou correction à venir.</w:t>
      </w:r>
    </w:p>
    <w:p>
      <w:pPr>
        <w:spacing w:after="120" w:line="276" w:lineRule="auto"/>
      </w:pPr>
      <w:r>
        <w:t>**RSI:** Le RSI est à 63,04, une valeur qui se situe dans la zone neutre (30-70) mais qui penche vers le haut. Cela indique une dynamique d'achat toujours présente sans que le titre ne soit en situation de surachat (au-dessus de 70). La décision est **Neutre**, laissant une marge de progression avant une éventuelle zone de risque.</w:t>
      </w:r>
    </w:p>
    <w:p>
      <w:pPr>
        <w:spacing w:after="120" w:line="276" w:lineRule="auto"/>
      </w:pPr>
      <w:r>
        <w:t>**Stochastique:** Le %K (82,14) est nettement supérieur à son %D (56,12), mais se trouve en zone de surachat (&gt;80). Ce niveau élevé suggère que le titre a fortement monté récemment et qu'un retournement technique est possible à très court terme. La décision est **Vente**, en raison de cette condition de surachat.</w:t>
      </w:r>
    </w:p>
    <w:p>
      <w:pPr>
        <w:spacing w:after="120" w:line="276" w:lineRule="auto"/>
      </w:pPr>
      <w:r>
        <w:t>**Conclusion technique:** Les indicateurs de tendance (Moyennes Mobiles) sont positifs, mais les oscillateurs de momentum (MACD, Stochastique) montrent des signes de fatigue et appellent à la prudence. Le RSI et les Bandes de Bollinger restent neutres. La synthèse technique suggère une **consolidation à court terme** dans une tendance de fond haussière. L'avis global est donc **Neutre à Vente à court terme**, mais **Achat sur les replis** pour le moyen terme.</w:t>
      </w:r>
    </w:p>
    <w:p>
      <w:pPr>
        <w:spacing w:after="120" w:line="276" w:lineRule="auto"/>
      </w:pPr>
      <w:r>
        <w:t>### **PARTIE 3 : ANALYSE FONDAMENTALE (SECTION CRITIQUE)**</w:t>
      </w:r>
    </w:p>
    <w:p>
      <w:pPr>
        <w:spacing w:after="120" w:line="276" w:lineRule="auto"/>
      </w:pPr>
      <w:r>
        <w:t>En 2025, selon les données structurées officielles, ONTBF a réalisé un chiffre d'affaires (PNB) de 146,177 Mds FCFA, en croissance de +3,06% par rapport à 2024. Le résultat net s'établit à 15,887 Mds FCFA, en forte baisse de -26% comparé à 2024 (21,47 Mds FCFA), comme le confirment les rapports de gestion datés de fin 2025 et analysés en 2026. Cette dégradation de la rentabilité s'explique par une hausse des charges opérationnelles (énergie, maintenance en zones sécuritaires) et des éléments exceptionnels, faisant chuter le résultat d'exploitation de -23,5% à 25,665 Mds FCFA. Malgré cela, la rentabilité des capitaux propres (ROE) reste excellente à 27,6%, et le ROA est de 4,9%. Le coefficient d'exploitation de 67,1% est élevé, indiquant une moins bonne maîtrise des charges. Les rapports trimestriels de 2025 (T1, S1, 9 mois) montrent une érosion continue de la marge nette (de 10,4% au S1 à 10,0% sur 9 mois). Le rapport du T1 2026, publié en avril 2026, indique une stabilisation avec une marge nette à 9,6% et une croissance du CA de +2,7%, suggérant que l'exercice 2026 pourrait voir une légère amélioration de la profitabilité si la maîtrise des coûts porte ses fruits. La structure financière reste solide avec des capitaux propres de 57,5 Mds FCFA, mais l'endettement est élevé (ratio d'endettement de 187%), finançant un lourd programme d'investissements (45 Mds FCFA). La recommandation fondamentale est de **CONSERVER**, la société étant solide mais confrontée à des défis de rentabilité.</w:t>
      </w:r>
    </w:p>
    <w:p>
      <w:pPr>
        <w:spacing w:after="120" w:line="276" w:lineRule="auto"/>
      </w:pPr>
      <w:r>
        <w:t>### **PARTIE 4 : CONCLUSION D'INVESTISSEMENT**</w:t>
      </w:r>
    </w:p>
    <w:p>
      <w:pPr>
        <w:spacing w:after="120" w:line="276" w:lineRule="auto"/>
      </w:pPr>
      <w:r>
        <w:t>En synthèse, l'action ONTBF présente un profil contrasté. La valorisation (Partie 0) est correcte, avec un PER de 12,5x et un EV/EBITDA de 5,2x qui ne semblent pas surévalués, mais le P/B de 3,45x intègre déjà une prime. Le comportement du cours (Partie 1) est stable et légèrement haussier sur 100 jours, avec une distribution statistique saine, bien que la volatilité annualisée soit élevée. Les signaux techniques (Partie 2) sont mitigés : la tendance de fond est positive (MM), mais les oscillateurs (MACD, Stochastique) signalent un essoufflement à court terme, suggérant une consolidation. Les fondamentaux (Partie 3) montrent une entreprise rentable (ROE &gt; 27%) mais dont la croissance des bénéfices est en net ralentissement (-26% en 2025), avec des pressions sur les coûts. Enfin, les prédictions IA pour les 10 prochains jours (de 2 897 à 2 877 FCFA) indiquent une légère baisse, confirmant le scénario de consolidation technique. La convergence de ces signaux (valorisation neutre, technique baissière à court terme, fondamentaux en amélioration potentielle) suggère une position d'attente. La recommandation finale est **CONSERVER**. Le niveau de confiance est **Moyen** et le risque global est **Élevé** (contexte sécuritaire, volatilité). L'horizon d'investissement optimal serait le **moyen terme (3-12 mois)**, en attendant une amélioration visible de la rentabilité opérationnelle.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3165.27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2,564 titres</w:t>
            </w:r>
          </w:p>
        </w:tc>
        <w:tc>
          <w:tcPr>
            <w:tcW w:type="dxa" w:w="2268"/>
            <w:shd w:fill="FFF2CC" w:val="clear"/>
          </w:tcPr>
          <w:p>
            <w:r>
              <w:rPr>
                <w:b/>
                <w:color w:val="503200"/>
                <w:sz w:val="16"/>
              </w:rPr>
              <w:t xml:space="preserve">Cours actuel : </w:t>
            </w:r>
            <w:r>
              <w:rPr>
                <w:color w:val="000000"/>
                <w:sz w:val="17"/>
              </w:rPr>
              <w:t>21,010 FCFA</w:t>
            </w:r>
          </w:p>
          <w:p>
            <w:r>
              <w:rPr>
                <w:b/>
                <w:color w:val="503200"/>
                <w:sz w:val="16"/>
              </w:rPr>
              <w:t xml:space="preserve">Var. 100 jours : </w:t>
            </w:r>
            <w:r>
              <w:rPr>
                <w:b/>
                <w:color w:val="007800"/>
                <w:sz w:val="17"/>
              </w:rPr>
              <w:t>+40.02%</w:t>
            </w:r>
          </w:p>
          <w:p>
            <w:r>
              <w:rPr>
                <w:b/>
                <w:color w:val="503200"/>
                <w:sz w:val="16"/>
              </w:rPr>
              <w:t xml:space="preserve">Plus haut 100j : </w:t>
            </w:r>
            <w:r>
              <w:rPr>
                <w:color w:val="000000"/>
                <w:sz w:val="17"/>
              </w:rPr>
              <w:t>21,500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10.82% (Moyenne) — μ=16,626 FCFA, σ=1,799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β=1.2167 (Agressif) — Cov=0.000045, Var(idx)=0.000037, ρ=0.402,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2,564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σ_j=1.84%/j (Stable) — Vol. annualisée≈29.3%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20,131</w:t>
            </w:r>
          </w:p>
        </w:tc>
        <w:tc>
          <w:tcPr>
            <w:tcW w:type="dxa" w:w="1440"/>
            <w:shd w:fill="FAFAFA" w:val="clear"/>
          </w:tcPr>
          <w:p>
            <w:r>
              <w:rPr>
                <w:b/>
                <w:sz w:val="17"/>
              </w:rPr>
              <w:t>20,703</w:t>
            </w:r>
          </w:p>
        </w:tc>
        <w:tc>
          <w:tcPr>
            <w:tcW w:type="dxa" w:w="1440"/>
            <w:shd w:fill="FAFAFA" w:val="clear"/>
          </w:tcPr>
          <w:p>
            <w:r>
              <w:rPr>
                <w:sz w:val="17"/>
              </w:rPr>
              <w:t>21,275</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19,769</w:t>
            </w:r>
          </w:p>
        </w:tc>
        <w:tc>
          <w:tcPr>
            <w:tcW w:type="dxa" w:w="1440"/>
            <w:shd w:fill="FFDCE0" w:val="clear"/>
          </w:tcPr>
          <w:p>
            <w:r>
              <w:rPr>
                <w:b/>
                <w:sz w:val="17"/>
              </w:rPr>
              <w:t>20,573</w:t>
            </w:r>
          </w:p>
        </w:tc>
        <w:tc>
          <w:tcPr>
            <w:tcW w:type="dxa" w:w="1440"/>
            <w:shd w:fill="FFDCE0" w:val="clear"/>
          </w:tcPr>
          <w:p>
            <w:r>
              <w:rPr>
                <w:sz w:val="17"/>
              </w:rPr>
              <w:t>21,377</w:t>
            </w:r>
          </w:p>
        </w:tc>
        <w:tc>
          <w:tcPr>
            <w:tcW w:type="dxa" w:w="1440"/>
            <w:shd w:fill="FFDCE0" w:val="clear"/>
          </w:tcPr>
          <w:p>
            <w:r>
              <w:rPr>
                <w:b/>
                <w:color w:val="C00000"/>
                <w:sz w:val="17"/>
              </w:rPr>
              <w:t>-2.1%</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19,454</w:t>
            </w:r>
          </w:p>
        </w:tc>
        <w:tc>
          <w:tcPr>
            <w:tcW w:type="dxa" w:w="1440"/>
            <w:shd w:fill="FFDCE0" w:val="clear"/>
          </w:tcPr>
          <w:p>
            <w:r>
              <w:rPr>
                <w:b/>
                <w:sz w:val="17"/>
              </w:rPr>
              <w:t>20,432</w:t>
            </w:r>
          </w:p>
        </w:tc>
        <w:tc>
          <w:tcPr>
            <w:tcW w:type="dxa" w:w="1440"/>
            <w:shd w:fill="FFDCE0" w:val="clear"/>
          </w:tcPr>
          <w:p>
            <w:r>
              <w:rPr>
                <w:sz w:val="17"/>
              </w:rPr>
              <w:t>21,411</w:t>
            </w:r>
          </w:p>
        </w:tc>
        <w:tc>
          <w:tcPr>
            <w:tcW w:type="dxa" w:w="1440"/>
            <w:shd w:fill="FFDCE0" w:val="clear"/>
          </w:tcPr>
          <w:p>
            <w:r>
              <w:rPr>
                <w:b/>
                <w:color w:val="C00000"/>
                <w:sz w:val="17"/>
              </w:rPr>
              <w:t>-2.7%</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19,173</w:t>
            </w:r>
          </w:p>
        </w:tc>
        <w:tc>
          <w:tcPr>
            <w:tcW w:type="dxa" w:w="1440"/>
            <w:shd w:fill="FFDCE0" w:val="clear"/>
          </w:tcPr>
          <w:p>
            <w:r>
              <w:rPr>
                <w:b/>
                <w:sz w:val="17"/>
              </w:rPr>
              <w:t>20,295</w:t>
            </w:r>
          </w:p>
        </w:tc>
        <w:tc>
          <w:tcPr>
            <w:tcW w:type="dxa" w:w="1440"/>
            <w:shd w:fill="FFDCE0" w:val="clear"/>
          </w:tcPr>
          <w:p>
            <w:r>
              <w:rPr>
                <w:sz w:val="17"/>
              </w:rPr>
              <w:t>21,417</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18,917</w:t>
            </w:r>
          </w:p>
        </w:tc>
        <w:tc>
          <w:tcPr>
            <w:tcW w:type="dxa" w:w="1440"/>
            <w:shd w:fill="FFDCE0" w:val="clear"/>
          </w:tcPr>
          <w:p>
            <w:r>
              <w:rPr>
                <w:b/>
                <w:sz w:val="17"/>
              </w:rPr>
              <w:t>20,163</w:t>
            </w:r>
          </w:p>
        </w:tc>
        <w:tc>
          <w:tcPr>
            <w:tcW w:type="dxa" w:w="1440"/>
            <w:shd w:fill="FFDCE0" w:val="clear"/>
          </w:tcPr>
          <w:p>
            <w:r>
              <w:rPr>
                <w:sz w:val="17"/>
              </w:rPr>
              <w:t>21,409</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18,679</w:t>
            </w:r>
          </w:p>
        </w:tc>
        <w:tc>
          <w:tcPr>
            <w:tcW w:type="dxa" w:w="1440"/>
            <w:shd w:fill="FFDCE0" w:val="clear"/>
          </w:tcPr>
          <w:p>
            <w:r>
              <w:rPr>
                <w:b/>
                <w:sz w:val="17"/>
              </w:rPr>
              <w:t>20,036</w:t>
            </w:r>
          </w:p>
        </w:tc>
        <w:tc>
          <w:tcPr>
            <w:tcW w:type="dxa" w:w="1440"/>
            <w:shd w:fill="FFDCE0" w:val="clear"/>
          </w:tcPr>
          <w:p>
            <w:r>
              <w:rPr>
                <w:sz w:val="17"/>
              </w:rPr>
              <w:t>21,392</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18,457</w:t>
            </w:r>
          </w:p>
        </w:tc>
        <w:tc>
          <w:tcPr>
            <w:tcW w:type="dxa" w:w="1440"/>
            <w:shd w:fill="FFDCE0" w:val="clear"/>
          </w:tcPr>
          <w:p>
            <w:r>
              <w:rPr>
                <w:b/>
                <w:sz w:val="17"/>
              </w:rPr>
              <w:t>19,913</w:t>
            </w:r>
          </w:p>
        </w:tc>
        <w:tc>
          <w:tcPr>
            <w:tcW w:type="dxa" w:w="1440"/>
            <w:shd w:fill="FFDCE0" w:val="clear"/>
          </w:tcPr>
          <w:p>
            <w:r>
              <w:rPr>
                <w:sz w:val="17"/>
              </w:rPr>
              <w:t>21,370</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18,248</w:t>
            </w:r>
          </w:p>
        </w:tc>
        <w:tc>
          <w:tcPr>
            <w:tcW w:type="dxa" w:w="1440"/>
            <w:shd w:fill="FFDCE0" w:val="clear"/>
          </w:tcPr>
          <w:p>
            <w:r>
              <w:rPr>
                <w:b/>
                <w:sz w:val="17"/>
              </w:rPr>
              <w:t>19,795</w:t>
            </w:r>
          </w:p>
        </w:tc>
        <w:tc>
          <w:tcPr>
            <w:tcW w:type="dxa" w:w="1440"/>
            <w:shd w:fill="FFDCE0" w:val="clear"/>
          </w:tcPr>
          <w:p>
            <w:r>
              <w:rPr>
                <w:sz w:val="17"/>
              </w:rPr>
              <w:t>21,343</w:t>
            </w:r>
          </w:p>
        </w:tc>
        <w:tc>
          <w:tcPr>
            <w:tcW w:type="dxa" w:w="1440"/>
            <w:shd w:fill="FFDCE0" w:val="clear"/>
          </w:tcPr>
          <w:p>
            <w:r>
              <w:rPr>
                <w:b/>
                <w:color w:val="C00000"/>
                <w:sz w:val="17"/>
              </w:rPr>
              <w:t>-5.8%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18,049</w:t>
            </w:r>
          </w:p>
        </w:tc>
        <w:tc>
          <w:tcPr>
            <w:tcW w:type="dxa" w:w="1440"/>
            <w:shd w:fill="FFDCE0" w:val="clear"/>
          </w:tcPr>
          <w:p>
            <w:r>
              <w:rPr>
                <w:b/>
                <w:sz w:val="17"/>
              </w:rPr>
              <w:t>19,681</w:t>
            </w:r>
          </w:p>
        </w:tc>
        <w:tc>
          <w:tcPr>
            <w:tcW w:type="dxa" w:w="1440"/>
            <w:shd w:fill="FFDCE0" w:val="clear"/>
          </w:tcPr>
          <w:p>
            <w:r>
              <w:rPr>
                <w:sz w:val="17"/>
              </w:rPr>
              <w:t>21,313</w:t>
            </w:r>
          </w:p>
        </w:tc>
        <w:tc>
          <w:tcPr>
            <w:tcW w:type="dxa" w:w="1440"/>
            <w:shd w:fill="FFDCE0" w:val="clear"/>
          </w:tcPr>
          <w:p>
            <w:r>
              <w:rPr>
                <w:b/>
                <w:color w:val="C00000"/>
                <w:sz w:val="17"/>
              </w:rPr>
              <w:t>-6.3%</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17,861</w:t>
            </w:r>
          </w:p>
        </w:tc>
        <w:tc>
          <w:tcPr>
            <w:tcW w:type="dxa" w:w="1440"/>
            <w:shd w:fill="FFDCE0" w:val="clear"/>
          </w:tcPr>
          <w:p>
            <w:r>
              <w:rPr>
                <w:b/>
                <w:sz w:val="17"/>
              </w:rPr>
              <w:t>19,572</w:t>
            </w:r>
          </w:p>
        </w:tc>
        <w:tc>
          <w:tcPr>
            <w:tcW w:type="dxa" w:w="1440"/>
            <w:shd w:fill="FFDCE0" w:val="clear"/>
          </w:tcPr>
          <w:p>
            <w:r>
              <w:rPr>
                <w:sz w:val="17"/>
              </w:rPr>
              <w:t>21,282</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ORAC (ORANGE CÔTE D'IVOIRE)**</w:t>
        <w:br/>
        <w:t>**Date de l'analyse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d'ORAC s'établit à 3 165,27 milliards FCFA, un niveau qui en fait l'une des toutes premières capitalisations de la BRVM, représentant une part significative de la richesse totale du marché. Avec un BPA de 1 114 FCFA, le titre se négocie à un PER de 18,9x, ce qui est nettement supérieur à la moyenne historique de la BRVM (8-12x), indiquant que les investisseurs paient une prime substantielle pour la croissance et la qualité des actifs de l'entreprise. Le P/B de 4,47x confirme cette prime, le marché valorisant le titre bien au-delà de sa valeur comptable, ce qui reflète une forte confiance dans la création de valeur future. Enfin, l'EV/EBITDA de 7,5x reste dans une zone raisonnable (5-10x), suggérant que la valorisation, bien qu'exigeante sur la base des bénéfices comptables, demeure cohérente avec la capacité opérationnelle de génération de cash-flow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 enregistré une performance spectaculaire de +40,02%, passant d'un plus bas de 14 650 FCFA à un plus haut de 21 500 FCFA, avant de clôturer à 21 010 FCFA, en léger repli de -0,69% sur la dernière séance. La moyenne du cours sur la période (16 626 FCFA) est supérieure à la médiane (16 148 FCFA), et l'écart entre ces deux valeurs, combiné à un skewness positif de 1.527, indique une distribution asymétrique avec des journées de forte hausse qui tirent la moyenne vers le haut. L'écart-type de 1 808 FCFA (CV=10,9%) révèle une dispersion modérée, mais le kurtosis élevé (1.438) signale un risque de mouvements extrêmes, avec des pics de volatilité possibles. La volatilité annualisée de 29,3% classe le titre dans la catégorie des actifs à volatilité élevée, ce qui est cohérent avec la forte appréciation observée et suggère un potentiel de rendement important mais aussi un risque de correction non négligeable.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21 010 FCFA se situe nettement au-dessus de la MM20 (19 651,75 FCFA) et de la MM50 (17 760,4 FCFA), confirmant une tendance haussière solide à court et moyen terme. L'écart croissant entre les deux moyennes mobiles témoigne d'un momentum positif soutenu, justifiant la décision d'achat.</w:t>
      </w:r>
    </w:p>
    <w:p>
      <w:pPr>
        <w:spacing w:after="120" w:line="276" w:lineRule="auto"/>
      </w:pPr>
      <w:r>
        <w:t>**Bandes de Bollinger** : Le prix évolue entre la borne inférieure (16 239,27 FCFA) et la borne supérieure (23 064,23 FCFA), se positionnant dans la moitié supérieure de l'enveloppe. La largeur des bandes reflète la volatilité élevée du titre. Le fait que le cours ne touche pas la borne supérieure malgré la tendance haussière suggère une possible consolidation avant une nouvelle impulsion, d'où une décision neutre.</w:t>
      </w:r>
    </w:p>
    <w:p>
      <w:pPr>
        <w:spacing w:after="120" w:line="276" w:lineRule="auto"/>
      </w:pPr>
      <w:r>
        <w:t>**MACD** : Le MACD (1 128,46) est positif et supérieur à sa ligne de signal (1 093,26), indiquant un momentum haussier toujours en vigueur. La divergence positive, bien que modérée, confirme la poursuite de la tendance haussière, justifiant la décision d'achat.</w:t>
      </w:r>
    </w:p>
    <w:p>
      <w:pPr>
        <w:spacing w:after="120" w:line="276" w:lineRule="auto"/>
      </w:pPr>
      <w:r>
        <w:t>**RSI** : Avec une valeur de 75,595, le RSI est entré en zone de surachat (&gt;70), signalant que le titre est potentiellement surévalué à court terme. Cela suggère un risque de correction ou de consolidation imminente, justifiant la décision de vente.</w:t>
      </w:r>
    </w:p>
    <w:p>
      <w:pPr>
        <w:spacing w:after="120" w:line="276" w:lineRule="auto"/>
      </w:pPr>
      <w:r>
        <w:t>**Stochastique** : Le %K (83,39) et le %D (86,51) sont tous deux en zone de surachat, avec un %D supérieur au %K, indiquant un affaiblissement du momentum haussier. Cette configuration suggère un possible retournement ou une pause dans la tendance, justifiant la décision de vente.</w:t>
      </w:r>
    </w:p>
    <w:p>
      <w:pPr>
        <w:spacing w:after="120" w:line="276" w:lineRule="auto"/>
      </w:pPr>
      <w:r>
        <w:t>**Conclusion technique** : Les indicateurs de tendance (MM, MACD) sont résolument haussiers, mais les oscillateurs de momentum (RSI, Stochastique) signalent une condition de surachat prononcée. Cette divergence entre la tendance et le momentum suggère qu'une correction technique est probable à court terme, bien que la tendance de fond reste positive.</w:t>
      </w:r>
    </w:p>
    <w:p>
      <w:pPr>
        <w:spacing w:after="120" w:line="276" w:lineRule="auto"/>
      </w:pPr>
      <w:r>
        <w:t>---</w:t>
      </w:r>
    </w:p>
    <w:p>
      <w:pPr>
        <w:spacing w:after="120" w:line="276" w:lineRule="auto"/>
      </w:pPr>
      <w:r>
        <w:t>### PARTIE 3 : ANALYSE FONDAMENTALE (SECTION CRITIQUE)</w:t>
      </w:r>
    </w:p>
    <w:p>
      <w:pPr>
        <w:spacing w:after="120" w:line="276" w:lineRule="auto"/>
      </w:pPr>
      <w:r>
        <w:t>En 2025, ORAC a réalisé un chiffre d'affaires consolidé de 1 197,1 milliards FCFA, en hausse de +10,4% par rapport à 2024, avec un résultat net consolidé de 167,8 milliards FCFA (+6,1%) et un résultat net part du groupe de 129,1 milliards FCFA (+14,5%). La rentabilité des fonds propres (ROE) s'établit à un niveau excellent de 23,7%, tandis que le ROA atteint 6,6%. La marge opérationnelle de 24,0% et la marge nette de 14,0% témoignent d'une solidité opérationnelle remarquable. Le BFR négatif de -198 milliards FCFA est un signe très favorable, indiquant que l'entreprise finance son cycle d'exploitation par ses fournisseurs (délai fournisseurs de 210 jours contre 52 jours pour les clients). Le ratio d'endettement de 47,5% reste maîtrisé, et la capacité de remboursement de 0,99 an démontre une excellente solvabilité. Sur la base du rapport T1 2026 (publié en mai 2026), qui fait état d'une croissance du CA de +14,8% à 325,6 milliards FCFA et d'un résultat net en hausse de +25,2% à 48,3 milliards FCFA, on estime que l'exercice 2026 devrait dépasser les performances de 2025, avec un CA potentiel supérieur à 1 350 milliards FCFA et un résultat net part du groupe pouvant atteindre 150 milliards FCFA. La politique de dividende reste attractive avec un DPA de 800 FCFA brut proposé pour 2025, prélevé sur le report à nouveau, démontrant la volonté de maintenir un actionnariat rémunéré tout en finançant les investissements futurs.</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configuration contrastée mais globalement positive pour ORAC. La valorisation (PER de 18,9x, P/B de 4,47x) est exigeante, mais justifiée par la qualité exceptionnelle des fondamentaux : ROE de 23,7%, croissance à deux chiffres du CA et du résultat net, et un BFR négatif qui témoigne d'une gestion optimale du cycle d'exploitation. Le comportement du cours (+40% sur 100 jours) confirme la forte dynamique, mais les statistiques (kurtosis élevé, skewness positif) et la volatilité annualisée de 29,3% appellent à la prudence. Les signaux techniques sont mitigés : la tendance reste haussière (MM, MACD), mais les oscillateurs (RSI à 75,6, Stochastique en surachat) signalent un risque de correction à court terme. Les prédictions IA (J+1 à J+10) anticipent un léger repli du cours vers 20 163 FCFA, confirmant cette hypothèse de consolidation technique. Cependant, les fondamentaux solides et les perspectives de croissance soutenue (T1 2026 en forte hausse) plaident pour une stratégie d'accumulation sur les replis. **Recommandation finale : ACHAT** avec un niveau de confiance **Élevé** et un risque global **Moyen**. L'horizon d'investissement optimal est le **moyen terme (3-12 mois)**, en capitalisant sur la solidité des fondamentaux et en utilisant les corrections techniques comme points d'entrée.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231.50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5,549 titres</w:t>
            </w:r>
          </w:p>
        </w:tc>
        <w:tc>
          <w:tcPr>
            <w:tcW w:type="dxa" w:w="2268"/>
            <w:shd w:fill="FFF2CC" w:val="clear"/>
          </w:tcPr>
          <w:p>
            <w:r>
              <w:rPr>
                <w:b/>
                <w:color w:val="503200"/>
                <w:sz w:val="16"/>
              </w:rPr>
              <w:t xml:space="preserve">Cours actuel : </w:t>
            </w:r>
            <w:r>
              <w:rPr>
                <w:color w:val="000000"/>
                <w:sz w:val="17"/>
              </w:rPr>
              <w:t>3,335 FCFA</w:t>
            </w:r>
          </w:p>
          <w:p>
            <w:r>
              <w:rPr>
                <w:b/>
                <w:color w:val="503200"/>
                <w:sz w:val="16"/>
              </w:rPr>
              <w:t xml:space="preserve">Var. 100 jours : </w:t>
            </w:r>
            <w:r>
              <w:rPr>
                <w:b/>
                <w:color w:val="B40000"/>
                <w:sz w:val="17"/>
              </w:rPr>
              <w:t>-8.63%</w:t>
            </w:r>
          </w:p>
          <w:p>
            <w:r>
              <w:rPr>
                <w:b/>
                <w:color w:val="503200"/>
                <w:sz w:val="16"/>
              </w:rPr>
              <w:t xml:space="preserve">Plus haut 100j : </w:t>
            </w:r>
            <w:r>
              <w:rPr>
                <w:color w:val="000000"/>
                <w:sz w:val="17"/>
              </w:rPr>
              <w:t>3,650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9.75% (Moyenne) — μ=2,919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β=0.3519 (Défensif) — Cov=0.000013, Var(idx)=0.000037, ρ=0.077,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σ_j=2.77%/j (Stable) — Vol. annualisée≈44.0%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3,144</w:t>
            </w:r>
          </w:p>
        </w:tc>
        <w:tc>
          <w:tcPr>
            <w:tcW w:type="dxa" w:w="1440"/>
            <w:shd w:fill="FFDCE0" w:val="clear"/>
          </w:tcPr>
          <w:p>
            <w:r>
              <w:rPr>
                <w:b/>
                <w:sz w:val="17"/>
              </w:rPr>
              <w:t>3,246</w:t>
            </w:r>
          </w:p>
        </w:tc>
        <w:tc>
          <w:tcPr>
            <w:tcW w:type="dxa" w:w="1440"/>
            <w:shd w:fill="FFDCE0" w:val="clear"/>
          </w:tcPr>
          <w:p>
            <w:r>
              <w:rPr>
                <w:sz w:val="17"/>
              </w:rPr>
              <w:t>3,347</w:t>
            </w:r>
          </w:p>
        </w:tc>
        <w:tc>
          <w:tcPr>
            <w:tcW w:type="dxa" w:w="1440"/>
            <w:shd w:fill="FFDCE0" w:val="clear"/>
          </w:tcPr>
          <w:p>
            <w:r>
              <w:rPr>
                <w:b/>
                <w:color w:val="C00000"/>
                <w:sz w:val="17"/>
              </w:rPr>
              <w:t>-2.7%</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3,101</w:t>
            </w:r>
          </w:p>
        </w:tc>
        <w:tc>
          <w:tcPr>
            <w:tcW w:type="dxa" w:w="1440"/>
            <w:shd w:fill="FFDCE0" w:val="clear"/>
          </w:tcPr>
          <w:p>
            <w:r>
              <w:rPr>
                <w:b/>
                <w:sz w:val="17"/>
              </w:rPr>
              <w:t>3,244</w:t>
            </w:r>
          </w:p>
        </w:tc>
        <w:tc>
          <w:tcPr>
            <w:tcW w:type="dxa" w:w="1440"/>
            <w:shd w:fill="FFDCE0" w:val="clear"/>
          </w:tcPr>
          <w:p>
            <w:r>
              <w:rPr>
                <w:sz w:val="17"/>
              </w:rPr>
              <w:t>3,388</w:t>
            </w:r>
          </w:p>
        </w:tc>
        <w:tc>
          <w:tcPr>
            <w:tcW w:type="dxa" w:w="1440"/>
            <w:shd w:fill="FFDCE0" w:val="clear"/>
          </w:tcPr>
          <w:p>
            <w:r>
              <w:rPr>
                <w:b/>
                <w:color w:val="C00000"/>
                <w:sz w:val="17"/>
              </w:rPr>
              <w:t>-2.7%</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3,063</w:t>
            </w:r>
          </w:p>
        </w:tc>
        <w:tc>
          <w:tcPr>
            <w:tcW w:type="dxa" w:w="1440"/>
            <w:shd w:fill="FFDCE0" w:val="clear"/>
          </w:tcPr>
          <w:p>
            <w:r>
              <w:rPr>
                <w:b/>
                <w:sz w:val="17"/>
              </w:rPr>
              <w:t>3,238</w:t>
            </w:r>
          </w:p>
        </w:tc>
        <w:tc>
          <w:tcPr>
            <w:tcW w:type="dxa" w:w="1440"/>
            <w:shd w:fill="FFDCE0" w:val="clear"/>
          </w:tcPr>
          <w:p>
            <w:r>
              <w:rPr>
                <w:sz w:val="17"/>
              </w:rPr>
              <w:t>3,413</w:t>
            </w:r>
          </w:p>
        </w:tc>
        <w:tc>
          <w:tcPr>
            <w:tcW w:type="dxa" w:w="1440"/>
            <w:shd w:fill="FFDCE0" w:val="clear"/>
          </w:tcPr>
          <w:p>
            <w:r>
              <w:rPr>
                <w:b/>
                <w:color w:val="C00000"/>
                <w:sz w:val="17"/>
              </w:rPr>
              <w:t>-2.9%</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3,031</w:t>
            </w:r>
          </w:p>
        </w:tc>
        <w:tc>
          <w:tcPr>
            <w:tcW w:type="dxa" w:w="1440"/>
            <w:shd w:fill="FFDCE0" w:val="clear"/>
          </w:tcPr>
          <w:p>
            <w:r>
              <w:rPr>
                <w:b/>
                <w:sz w:val="17"/>
              </w:rPr>
              <w:t>3,233</w:t>
            </w:r>
          </w:p>
        </w:tc>
        <w:tc>
          <w:tcPr>
            <w:tcW w:type="dxa" w:w="1440"/>
            <w:shd w:fill="FFDCE0" w:val="clear"/>
          </w:tcPr>
          <w:p>
            <w:r>
              <w:rPr>
                <w:sz w:val="17"/>
              </w:rPr>
              <w:t>3,435</w:t>
            </w:r>
          </w:p>
        </w:tc>
        <w:tc>
          <w:tcPr>
            <w:tcW w:type="dxa" w:w="1440"/>
            <w:shd w:fill="FFDCE0" w:val="clear"/>
          </w:tcPr>
          <w:p>
            <w:r>
              <w:rPr>
                <w:b/>
                <w:color w:val="C00000"/>
                <w:sz w:val="17"/>
              </w:rPr>
              <w:t>-3.1%</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3,003</w:t>
            </w:r>
          </w:p>
        </w:tc>
        <w:tc>
          <w:tcPr>
            <w:tcW w:type="dxa" w:w="1440"/>
            <w:shd w:fill="FFDCE0" w:val="clear"/>
          </w:tcPr>
          <w:p>
            <w:r>
              <w:rPr>
                <w:b/>
                <w:sz w:val="17"/>
              </w:rPr>
              <w:t>3,228</w:t>
            </w:r>
          </w:p>
        </w:tc>
        <w:tc>
          <w:tcPr>
            <w:tcW w:type="dxa" w:w="1440"/>
            <w:shd w:fill="FFDCE0" w:val="clear"/>
          </w:tcPr>
          <w:p>
            <w:r>
              <w:rPr>
                <w:sz w:val="17"/>
              </w:rPr>
              <w:t>3,454</w:t>
            </w:r>
          </w:p>
        </w:tc>
        <w:tc>
          <w:tcPr>
            <w:tcW w:type="dxa" w:w="1440"/>
            <w:shd w:fill="FFDCE0" w:val="clear"/>
          </w:tcPr>
          <w:p>
            <w:r>
              <w:rPr>
                <w:b/>
                <w:color w:val="C00000"/>
                <w:sz w:val="17"/>
              </w:rPr>
              <w:t>-3.2%</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2,978</w:t>
            </w:r>
          </w:p>
        </w:tc>
        <w:tc>
          <w:tcPr>
            <w:tcW w:type="dxa" w:w="1440"/>
            <w:shd w:fill="FFDCE0" w:val="clear"/>
          </w:tcPr>
          <w:p>
            <w:r>
              <w:rPr>
                <w:b/>
                <w:sz w:val="17"/>
              </w:rPr>
              <w:t>3,225</w:t>
            </w:r>
          </w:p>
        </w:tc>
        <w:tc>
          <w:tcPr>
            <w:tcW w:type="dxa" w:w="1440"/>
            <w:shd w:fill="FFDCE0" w:val="clear"/>
          </w:tcPr>
          <w:p>
            <w:r>
              <w:rPr>
                <w:sz w:val="17"/>
              </w:rPr>
              <w:t>3,471</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2,955</w:t>
            </w:r>
          </w:p>
        </w:tc>
        <w:tc>
          <w:tcPr>
            <w:tcW w:type="dxa" w:w="1440"/>
            <w:shd w:fill="FFDCE0" w:val="clear"/>
          </w:tcPr>
          <w:p>
            <w:r>
              <w:rPr>
                <w:b/>
                <w:sz w:val="17"/>
              </w:rPr>
              <w:t>3,221</w:t>
            </w:r>
          </w:p>
        </w:tc>
        <w:tc>
          <w:tcPr>
            <w:tcW w:type="dxa" w:w="1440"/>
            <w:shd w:fill="FFDCE0" w:val="clear"/>
          </w:tcPr>
          <w:p>
            <w:r>
              <w:rPr>
                <w:sz w:val="17"/>
              </w:rPr>
              <w:t>3,488</w:t>
            </w:r>
          </w:p>
        </w:tc>
        <w:tc>
          <w:tcPr>
            <w:tcW w:type="dxa" w:w="1440"/>
            <w:shd w:fill="FFDCE0" w:val="clear"/>
          </w:tcPr>
          <w:p>
            <w:r>
              <w:rPr>
                <w:b/>
                <w:color w:val="C00000"/>
                <w:sz w:val="17"/>
              </w:rPr>
              <w:t>-3.4%</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2,934</w:t>
            </w:r>
          </w:p>
        </w:tc>
        <w:tc>
          <w:tcPr>
            <w:tcW w:type="dxa" w:w="1440"/>
            <w:shd w:fill="FFDCE0" w:val="clear"/>
          </w:tcPr>
          <w:p>
            <w:r>
              <w:rPr>
                <w:b/>
                <w:sz w:val="17"/>
              </w:rPr>
              <w:t>3,218</w:t>
            </w:r>
          </w:p>
        </w:tc>
        <w:tc>
          <w:tcPr>
            <w:tcW w:type="dxa" w:w="1440"/>
            <w:shd w:fill="FFDCE0" w:val="clear"/>
          </w:tcPr>
          <w:p>
            <w:r>
              <w:rPr>
                <w:sz w:val="17"/>
              </w:rPr>
              <w:t>3,502</w:t>
            </w:r>
          </w:p>
        </w:tc>
        <w:tc>
          <w:tcPr>
            <w:tcW w:type="dxa" w:w="1440"/>
            <w:shd w:fill="FFDCE0" w:val="clear"/>
          </w:tcPr>
          <w:p>
            <w:r>
              <w:rPr>
                <w:b/>
                <w:color w:val="C00000"/>
                <w:sz w:val="17"/>
              </w:rPr>
              <w:t>-3.5%</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2,914</w:t>
            </w:r>
          </w:p>
        </w:tc>
        <w:tc>
          <w:tcPr>
            <w:tcW w:type="dxa" w:w="1440"/>
            <w:shd w:fill="FFDCE0" w:val="clear"/>
          </w:tcPr>
          <w:p>
            <w:r>
              <w:rPr>
                <w:b/>
                <w:sz w:val="17"/>
              </w:rPr>
              <w:t>3,215</w:t>
            </w:r>
          </w:p>
        </w:tc>
        <w:tc>
          <w:tcPr>
            <w:tcW w:type="dxa" w:w="1440"/>
            <w:shd w:fill="FFDCE0" w:val="clear"/>
          </w:tcPr>
          <w:p>
            <w:r>
              <w:rPr>
                <w:sz w:val="17"/>
              </w:rPr>
              <w:t>3,516</w:t>
            </w:r>
          </w:p>
        </w:tc>
        <w:tc>
          <w:tcPr>
            <w:tcW w:type="dxa" w:w="1440"/>
            <w:shd w:fill="FFDCE0" w:val="clear"/>
          </w:tcPr>
          <w:p>
            <w:r>
              <w:rPr>
                <w:b/>
                <w:color w:val="C00000"/>
                <w:sz w:val="17"/>
              </w:rPr>
              <w:t>-3.6%</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2,895</w:t>
            </w:r>
          </w:p>
        </w:tc>
        <w:tc>
          <w:tcPr>
            <w:tcW w:type="dxa" w:w="1440"/>
            <w:shd w:fill="FFDCE0" w:val="clear"/>
          </w:tcPr>
          <w:p>
            <w:r>
              <w:rPr>
                <w:b/>
                <w:sz w:val="17"/>
              </w:rPr>
              <w:t>3,212</w:t>
            </w:r>
          </w:p>
        </w:tc>
        <w:tc>
          <w:tcPr>
            <w:tcW w:type="dxa" w:w="1440"/>
            <w:shd w:fill="FFDCE0" w:val="clear"/>
          </w:tcPr>
          <w:p>
            <w:r>
              <w:rPr>
                <w:sz w:val="17"/>
              </w:rPr>
              <w:t>3,529</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**Date de l'analyse : 07 septembre 2026**</w:t>
        <w:br/>
        <w:t>**Secteur : Banque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d'ORGT s'établit à 231,50 milliards FCFA, un niveau significatif qui positionne le titre parmi les valeurs moyennes à grandes capitalisations de la BRVM. Avec un BPA de 312 FCFA, le PER ressort à 10,7x, ce qui est légèrement supérieur à la moyenne historique du marché (8-12x), mais reste dans une zone de valorisation raisonnable pour une banque en phase de redressement. Le P/B de 2,05x indique que le marché valorise la société à environ le double de sa valeur comptable, traduisant une prime de croissance et de confiance dans la gestion. En revanche, l'EV/EBITDA de 20,3x est particulièrement exigeant, suggérant que la valeur totale de l'entreprise (dette incluse) est élevée par rapport à sa capacité opérationnelle brute. Ce ratio élevé peut refléter la structure de bilan spécifique aux banques, où l'EBITDA n'est pas l'indicateur le plus représentatif de la performance réelle.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affiche une variation totale de -8,63%, avec un rebond notable de +4,22% lors de la dernière séance, portant le cours à 3 335 FCFA. Le titre a évolué dans une fourchette large de 2 435 à 3 650 FCFA, démontrant une volatilité intraday significative. La moyenne du cours sur la période est de 2 919 FCFA, tandis que la médiane est plus basse à 2 780 FCFA. Cet écart positif entre la moyenne et la médiane, couplé à un skewness de 0,459, indique une distribution asymétrique avec une queue de distribution vers les valeurs hautes, signifiant que les fortes hausses ont été plus marquées que les baisses récentes. Le mode de 2 680 FCFA confirme que le cours a passé une grande partie du temps à des niveaux inférieurs avant la récente appréciation. L'écart-type de 286 FCFA (CV=9,8%) révèle une dispersion modérée autour de la moyenne. Le kurtosis de -0,943 (mésokurtique) suggère une distribution proche de la normale, sans risque de variations extrêmes imprévisibles. La volatilité annualisée de 44,0% classe le titre comme très volatil, un niveau élevé qui implique des fluctuations de prix importantes, caractéristique des valeurs bancaires en phase de restructuration sur ce marché.</w:t>
      </w:r>
    </w:p>
    <w:p>
      <w:pPr>
        <w:spacing w:after="120" w:line="276" w:lineRule="auto"/>
      </w:pPr>
      <w:r>
        <w:t>---</w:t>
      </w:r>
    </w:p>
    <w:p>
      <w:pPr>
        <w:spacing w:after="120" w:line="276" w:lineRule="auto"/>
      </w:pPr>
      <w:r>
        <w:t>### PARTIE 2 : ANALYSE TECHNIQUE DÉTAILLÉE</w:t>
      </w:r>
    </w:p>
    <w:p>
      <w:pPr>
        <w:spacing w:after="120" w:line="276" w:lineRule="auto"/>
      </w:pPr>
      <w:r>
        <w:t>**Moyennes Mobiles (MM20=3143,0 ; MM50=2921,3) :** Le cours actuel de 3 335 FCFA se situe nettement au-dessus de la MM20 et de la MM50, avec un écart de +6,1% par rapport à la MM20 et de +14,2% par rapport à la MM50. Cette configuration haussière, où le prix évolue au-dessus des deux moyennes, confirme une dynamique positive à court et moyen terme. La décision d'achat est justifiée par la tendance ascendante et le croisement haussier des moyennes, indiquant que le momentum reste favorable malgré la baisse sur 100 jours.</w:t>
      </w:r>
    </w:p>
    <w:p>
      <w:pPr>
        <w:spacing w:after="120" w:line="276" w:lineRule="auto"/>
      </w:pPr>
      <w:r>
        <w:t>**Bandes de Bollinger (Borne supérieure=3280,8 ; Borne inférieure=3005,2) :** Le prix actuel de 3 335 FCFA dépasse la borne supérieure de la bande, ce qui signale une condition de surachat temporaire. Cette sortie de la bande supérieure indique une pression acheteuse excessive à court terme, ce qui justifie la décision de vente. La largeur des bandes suggère une volatilité élevée, et un retour du prix à l'intérieur des bandes est statistiquement probable dans les prochaines séances.</w:t>
      </w:r>
    </w:p>
    <w:p>
      <w:pPr>
        <w:spacing w:after="120" w:line="276" w:lineRule="auto"/>
      </w:pPr>
      <w:r>
        <w:t>**MACD (Valeur=86,033 ; Signal=84,911) :** Le MACD est positif et se maintient au-dessus de sa ligne de signal, avec un écart de 1,12 point. Cette configuration haussière indique que le momentum de court terme reste positif. La décision d'achat est justifiée par cette divergence positive, bien que l'écart relativement faible entre le MACD et le signal suggère un momentum qui pourrait s'essouffler si l'écart se réduit davantage.</w:t>
      </w:r>
    </w:p>
    <w:p>
      <w:pPr>
        <w:spacing w:after="120" w:line="276" w:lineRule="auto"/>
      </w:pPr>
      <w:r>
        <w:t>**RSI (Valeur=76,699) :** Le RSI à 76,7 est nettement au-dessus du seuil de surachat de 70, indiquant que le titre est techniquement suracheté. Cette situation suggère que la pression acheteuse a été intense et que le marché pourrait être vulnérable à une correction à court terme. La décision de vente est justifiée par ce niveau extrême, qui précède souvent un repli ou une consolidation.</w:t>
      </w:r>
    </w:p>
    <w:p>
      <w:pPr>
        <w:spacing w:after="120" w:line="276" w:lineRule="auto"/>
      </w:pPr>
      <w:r>
        <w:t>**Stochastique (%K=100,0 ; %D=97,9) :** Le %K à 100 et le %D à 97,9 sont tous deux à des niveaux extrêmement élevés, en territoire de surachat profond. Le %K étant au-dessus du %D, la tendance haussière de court terme reste intacte, mais ces niveaux extrêmes signalent une exubérance excessive. La décision de vente est justifiée par le risque imminent de retournement, car les conditions de surachat extrême sont rarement durables.</w:t>
      </w:r>
    </w:p>
    <w:p>
      <w:pPr>
        <w:spacing w:after="120" w:line="276" w:lineRule="auto"/>
      </w:pPr>
      <w:r>
        <w:t>**Conclusion technique :** Les indicateurs de tendance (MM, MACD) sont haussiers, mais les oscillateurs (RSI, Stochastique, Bandes de Bollinger) signalent tous un surachat extrême. Cette divergence entre la tendance et les conditions de marché suggère qu'un repli technique est probable à court terme avant une éventuelle poursuite de la tendance haussière. La prudence est donc recommandée pour les nouveaux achats à ces niveaux, tandis que les investisseurs existants pourraient envisager de sécuriser des gains partiels.</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d'Oragroup révèlent un Produit Net Bancaire (PNB) de 186,609 milliards FCFA, en baisse de -4,5% par rapport à 2024 (195,4 milliards FCFA). Le résultat net s'établit à 21,643 milliards FCFA, contre une perte de -44,4 milliards en 2024, marquant un retour spectaculaire à la rentabilité. Le ROE atteint 19,13%, un niveau excellent pour une banque, tandis que le ROA reste modeste à 0,54%. Le coefficient d'exploitation de 42,85% témoigne d'une excellente maîtrise des charges, bien en dessous du seuil de 60% considéré comme efficace. Le coût du risque s'établit à 3,74%, un niveau encore élevé mais en forte amélioration par rapport aux années précédentes, indiquant une normalisation progressive du portefeuille de crédits. Les dépôts clientèle (3 088,7 milliards FCFA) couvrent largement les créances sur la clientèle (1 523,8 milliards FCFA), démontrant une transformation saine. Les rapports trimestriels de 2025 confirment cette trajectoire : le T1 2025 affichait un bénéfice de 4,8 milliards, le S1 2025 un bénéfice de 18,3 milliards, et le T3 2025 un bénéfice cumulé de 19,6 milliards, montrant une amélioration continue. **Le rapport T1 2026** (daté de mars 2026) indique un PNB de 50,124 millions FCFA (-2%) et un résultat net de 6,555 millions FCFA (+37%), confirmant la poursuite du redressement. Sur cette base, on estime que l'exercice 2026 devrait maintenir une rentabilité solide, avec un résultat net annuel potentiellement supérieur à 22 milliards FCFA si la tendance semestrielle se confirme. Les capitaux propres renforcés à 113,165 milliards FCFA (+17%) et l'augmentation des dépôts de 14% au T1 2026 sont des signaux positifs pour la solidité financière future.</w:t>
      </w:r>
    </w:p>
    <w:p>
      <w:pPr>
        <w:spacing w:after="120" w:line="276" w:lineRule="auto"/>
      </w:pPr>
      <w:r>
        <w:t>---</w:t>
      </w:r>
    </w:p>
    <w:p>
      <w:pPr>
        <w:spacing w:after="120" w:line="276" w:lineRule="auto"/>
      </w:pPr>
      <w:r>
        <w:t>### PARTIE 4 : CONCLUSION D'INVESTISSEMENT</w:t>
      </w:r>
    </w:p>
    <w:p>
      <w:pPr>
        <w:spacing w:after="120" w:line="276" w:lineRule="auto"/>
      </w:pPr>
      <w:r>
        <w:t>La valorisation d'ORGT (PER 10,7x, P/B 2,05x) apparaît raisonnable, reflétant une confiance mesurée dans le redressement en cours, bien que l'EV/EBITDA de 20,3x reste exigeant. Le comportement du cours sur 100 jours montre une tendance baissière (-8,63%) mais avec un récent rebond de +4,22%, et une volatilité élevée (44%) qui nécessite une gestion active du risque. Les signaux techniques sont paradoxalement haussiers pour la tendance (MM, MACD) mais extrêmement surachetés à court terme (RSI 76,7, Stochastique 100), suggérant une consolidation probable avant une poursuite haussière. Les fondamentaux sont nettement positifs avec un retour à une rentabilité solide (ROE 19,1%), une maîtrise exemplaire des coûts (coefficient d'exploitation 42,9%) et une réduction drastique du coût du risque. Les prédictions IA pour les 10 prochains jours (3 246 à 3 228 FCFA) indiquent une légère correction de -3,2%, ce qui contredit le momentum haussier immédiat mais confirme les signaux de surachat technique. Cette convergence entre les prédictions IA et les indicateurs de surachat suggère qu'un point d'entrée plus favorable pourrait se présenter après cette correction attendue. **Recommandation finale : CONSERVER**, avec un niveau de confiance Moyen et un risque global Élevé. L'horizon d'investissement optimal est le moyen terme (3-12 mois), permettant d'absorber la volatilité à court terme tout en bénéficiant de la poursuite du redressement fondamental.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139.13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3,655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+4.65%</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6.71% (Moyenne) — μ=8,528 FCFA, σ=573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β=-0.2178 (Contre-cyclique) — Cov=-0.000008, Var(idx)=0.000037, ρ=-0.057,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8,834</w:t>
            </w:r>
          </w:p>
        </w:tc>
        <w:tc>
          <w:tcPr>
            <w:tcW w:type="dxa" w:w="1440"/>
            <w:shd w:fill="FAFAFA" w:val="clear"/>
          </w:tcPr>
          <w:p>
            <w:r>
              <w:rPr>
                <w:b/>
                <w:sz w:val="17"/>
              </w:rPr>
              <w:t>9,127</w:t>
            </w:r>
          </w:p>
        </w:tc>
        <w:tc>
          <w:tcPr>
            <w:tcW w:type="dxa" w:w="1440"/>
            <w:shd w:fill="FAFAFA" w:val="clear"/>
          </w:tcPr>
          <w:p>
            <w:r>
              <w:rPr>
                <w:sz w:val="17"/>
              </w:rPr>
              <w:t>9,421</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8,724</w:t>
            </w:r>
          </w:p>
        </w:tc>
        <w:tc>
          <w:tcPr>
            <w:tcW w:type="dxa" w:w="1440"/>
            <w:shd w:fill="FAFAFA" w:val="clear"/>
          </w:tcPr>
          <w:p>
            <w:r>
              <w:rPr>
                <w:b/>
                <w:sz w:val="17"/>
              </w:rPr>
              <w:t>9,140</w:t>
            </w:r>
          </w:p>
        </w:tc>
        <w:tc>
          <w:tcPr>
            <w:tcW w:type="dxa" w:w="1440"/>
            <w:shd w:fill="FAFAFA" w:val="clear"/>
          </w:tcPr>
          <w:p>
            <w:r>
              <w:rPr>
                <w:sz w:val="17"/>
              </w:rPr>
              <w:t>9,556</w:t>
            </w:r>
          </w:p>
        </w:tc>
        <w:tc>
          <w:tcPr>
            <w:tcW w:type="dxa" w:w="1440"/>
            <w:shd w:fill="FAFAFA" w:val="clear"/>
          </w:tcPr>
          <w:p>
            <w:r>
              <w:rPr>
                <w:b/>
                <w:color w:val="008000"/>
                <w:sz w:val="17"/>
              </w:rPr>
              <w:t>+1.6%</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8,656</w:t>
            </w:r>
          </w:p>
        </w:tc>
        <w:tc>
          <w:tcPr>
            <w:tcW w:type="dxa" w:w="1440"/>
            <w:shd w:fill="FAFAFA" w:val="clear"/>
          </w:tcPr>
          <w:p>
            <w:r>
              <w:rPr>
                <w:b/>
                <w:sz w:val="17"/>
              </w:rPr>
              <w:t>9,167</w:t>
            </w:r>
          </w:p>
        </w:tc>
        <w:tc>
          <w:tcPr>
            <w:tcW w:type="dxa" w:w="1440"/>
            <w:shd w:fill="FAFAFA" w:val="clear"/>
          </w:tcPr>
          <w:p>
            <w:r>
              <w:rPr>
                <w:sz w:val="17"/>
              </w:rPr>
              <w:t>9,677</w:t>
            </w:r>
          </w:p>
        </w:tc>
        <w:tc>
          <w:tcPr>
            <w:tcW w:type="dxa" w:w="1440"/>
            <w:shd w:fill="FAFAFA" w:val="clear"/>
          </w:tcPr>
          <w:p>
            <w:r>
              <w:rPr>
                <w:b/>
                <w:color w:val="008000"/>
                <w:sz w:val="17"/>
              </w:rPr>
              <w:t>+1.9%</w:t>
            </w:r>
          </w:p>
        </w:tc>
      </w:tr>
      <w:tr>
        <w:tc>
          <w:tcPr>
            <w:tcW w:type="dxa" w:w="1440"/>
            <w:shd w:fill="C6EFCE" w:val="clear"/>
          </w:tcPr>
          <w:p>
            <w:r>
              <w:rPr>
                <w:sz w:val="17"/>
              </w:rPr>
              <w:t>J+4  Moyenne</w:t>
            </w:r>
          </w:p>
        </w:tc>
        <w:tc>
          <w:tcPr>
            <w:tcW w:type="dxa" w:w="1440"/>
            <w:shd w:fill="C6EFCE" w:val="clear"/>
          </w:tcPr>
          <w:p>
            <w:r>
              <w:rPr>
                <w:sz w:val="17"/>
              </w:rPr>
              <w:t>2026-09-10</w:t>
            </w:r>
          </w:p>
        </w:tc>
        <w:tc>
          <w:tcPr>
            <w:tcW w:type="dxa" w:w="1440"/>
            <w:shd w:fill="C6EFCE" w:val="clear"/>
          </w:tcPr>
          <w:p>
            <w:r>
              <w:rPr>
                <w:sz w:val="17"/>
              </w:rPr>
              <w:t>8,602</w:t>
            </w:r>
          </w:p>
        </w:tc>
        <w:tc>
          <w:tcPr>
            <w:tcW w:type="dxa" w:w="1440"/>
            <w:shd w:fill="C6EFCE" w:val="clear"/>
          </w:tcPr>
          <w:p>
            <w:r>
              <w:rPr>
                <w:b/>
                <w:sz w:val="17"/>
              </w:rPr>
              <w:t>9,194</w:t>
            </w:r>
          </w:p>
        </w:tc>
        <w:tc>
          <w:tcPr>
            <w:tcW w:type="dxa" w:w="1440"/>
            <w:shd w:fill="C6EFCE" w:val="clear"/>
          </w:tcPr>
          <w:p>
            <w:r>
              <w:rPr>
                <w:sz w:val="17"/>
              </w:rPr>
              <w:t>9,785</w:t>
            </w:r>
          </w:p>
        </w:tc>
        <w:tc>
          <w:tcPr>
            <w:tcW w:type="dxa" w:w="1440"/>
            <w:shd w:fill="C6EFCE" w:val="clear"/>
          </w:tcPr>
          <w:p>
            <w:r>
              <w:rPr>
                <w:b/>
                <w:color w:val="008000"/>
                <w:sz w:val="17"/>
              </w:rPr>
              <w:t>+2.2%</w:t>
            </w:r>
          </w:p>
        </w:tc>
      </w:tr>
      <w:tr>
        <w:tc>
          <w:tcPr>
            <w:tcW w:type="dxa" w:w="1440"/>
            <w:shd w:fill="C6EFCE" w:val="clear"/>
          </w:tcPr>
          <w:p>
            <w:r>
              <w:rPr>
                <w:sz w:val="17"/>
              </w:rPr>
              <w:t>J+5  Moyenne</w:t>
            </w:r>
          </w:p>
        </w:tc>
        <w:tc>
          <w:tcPr>
            <w:tcW w:type="dxa" w:w="1440"/>
            <w:shd w:fill="C6EFCE" w:val="clear"/>
          </w:tcPr>
          <w:p>
            <w:r>
              <w:rPr>
                <w:sz w:val="17"/>
              </w:rPr>
              <w:t>2026-09-11</w:t>
            </w:r>
          </w:p>
        </w:tc>
        <w:tc>
          <w:tcPr>
            <w:tcW w:type="dxa" w:w="1440"/>
            <w:shd w:fill="C6EFCE" w:val="clear"/>
          </w:tcPr>
          <w:p>
            <w:r>
              <w:rPr>
                <w:sz w:val="17"/>
              </w:rPr>
              <w:t>8,557</w:t>
            </w:r>
          </w:p>
        </w:tc>
        <w:tc>
          <w:tcPr>
            <w:tcW w:type="dxa" w:w="1440"/>
            <w:shd w:fill="C6EFCE" w:val="clear"/>
          </w:tcPr>
          <w:p>
            <w:r>
              <w:rPr>
                <w:b/>
                <w:sz w:val="17"/>
              </w:rPr>
              <w:t>9,220</w:t>
            </w:r>
          </w:p>
        </w:tc>
        <w:tc>
          <w:tcPr>
            <w:tcW w:type="dxa" w:w="1440"/>
            <w:shd w:fill="C6EFCE" w:val="clear"/>
          </w:tcPr>
          <w:p>
            <w:r>
              <w:rPr>
                <w:sz w:val="17"/>
              </w:rPr>
              <w:t>9,883</w:t>
            </w:r>
          </w:p>
        </w:tc>
        <w:tc>
          <w:tcPr>
            <w:tcW w:type="dxa" w:w="1440"/>
            <w:shd w:fill="C6EFCE" w:val="clear"/>
          </w:tcPr>
          <w:p>
            <w:r>
              <w:rPr>
                <w:b/>
                <w:color w:val="008000"/>
                <w:sz w:val="17"/>
              </w:rPr>
              <w:t>+2.4%</w:t>
            </w:r>
          </w:p>
        </w:tc>
      </w:tr>
      <w:tr>
        <w:tc>
          <w:tcPr>
            <w:tcW w:type="dxa" w:w="1440"/>
            <w:shd w:fill="C6EFCE" w:val="clear"/>
          </w:tcPr>
          <w:p>
            <w:r>
              <w:rPr>
                <w:sz w:val="17"/>
              </w:rPr>
              <w:t>J+6  Moyenne</w:t>
            </w:r>
          </w:p>
        </w:tc>
        <w:tc>
          <w:tcPr>
            <w:tcW w:type="dxa" w:w="1440"/>
            <w:shd w:fill="C6EFCE" w:val="clear"/>
          </w:tcPr>
          <w:p>
            <w:r>
              <w:rPr>
                <w:sz w:val="17"/>
              </w:rPr>
              <w:t>2026-09-14</w:t>
            </w:r>
          </w:p>
        </w:tc>
        <w:tc>
          <w:tcPr>
            <w:tcW w:type="dxa" w:w="1440"/>
            <w:shd w:fill="C6EFCE" w:val="clear"/>
          </w:tcPr>
          <w:p>
            <w:r>
              <w:rPr>
                <w:sz w:val="17"/>
              </w:rPr>
              <w:t>8,518</w:t>
            </w:r>
          </w:p>
        </w:tc>
        <w:tc>
          <w:tcPr>
            <w:tcW w:type="dxa" w:w="1440"/>
            <w:shd w:fill="C6EFCE" w:val="clear"/>
          </w:tcPr>
          <w:p>
            <w:r>
              <w:rPr>
                <w:b/>
                <w:sz w:val="17"/>
              </w:rPr>
              <w:t>9,246</w:t>
            </w:r>
          </w:p>
        </w:tc>
        <w:tc>
          <w:tcPr>
            <w:tcW w:type="dxa" w:w="1440"/>
            <w:shd w:fill="C6EFCE" w:val="clear"/>
          </w:tcPr>
          <w:p>
            <w:r>
              <w:rPr>
                <w:sz w:val="17"/>
              </w:rPr>
              <w:t>9,975</w:t>
            </w:r>
          </w:p>
        </w:tc>
        <w:tc>
          <w:tcPr>
            <w:tcW w:type="dxa" w:w="1440"/>
            <w:shd w:fill="C6EFCE" w:val="clear"/>
          </w:tcPr>
          <w:p>
            <w:r>
              <w:rPr>
                <w:b/>
                <w:color w:val="008000"/>
                <w:sz w:val="17"/>
              </w:rPr>
              <w:t>+2.7%</w:t>
            </w:r>
          </w:p>
        </w:tc>
      </w:tr>
      <w:tr>
        <w:tc>
          <w:tcPr>
            <w:tcW w:type="dxa" w:w="1440"/>
            <w:shd w:fill="C6EFCE" w:val="clear"/>
          </w:tcPr>
          <w:p>
            <w:r>
              <w:rPr>
                <w:sz w:val="17"/>
              </w:rPr>
              <w:t>J+7  Moyenne</w:t>
            </w:r>
          </w:p>
        </w:tc>
        <w:tc>
          <w:tcPr>
            <w:tcW w:type="dxa" w:w="1440"/>
            <w:shd w:fill="C6EFCE" w:val="clear"/>
          </w:tcPr>
          <w:p>
            <w:r>
              <w:rPr>
                <w:sz w:val="17"/>
              </w:rPr>
              <w:t>2026-09-15</w:t>
            </w:r>
          </w:p>
        </w:tc>
        <w:tc>
          <w:tcPr>
            <w:tcW w:type="dxa" w:w="1440"/>
            <w:shd w:fill="C6EFCE" w:val="clear"/>
          </w:tcPr>
          <w:p>
            <w:r>
              <w:rPr>
                <w:sz w:val="17"/>
              </w:rPr>
              <w:t>8,483</w:t>
            </w:r>
          </w:p>
        </w:tc>
        <w:tc>
          <w:tcPr>
            <w:tcW w:type="dxa" w:w="1440"/>
            <w:shd w:fill="C6EFCE" w:val="clear"/>
          </w:tcPr>
          <w:p>
            <w:r>
              <w:rPr>
                <w:b/>
                <w:sz w:val="17"/>
              </w:rPr>
              <w:t>9,272</w:t>
            </w:r>
          </w:p>
        </w:tc>
        <w:tc>
          <w:tcPr>
            <w:tcW w:type="dxa" w:w="1440"/>
            <w:shd w:fill="C6EFCE" w:val="clear"/>
          </w:tcPr>
          <w:p>
            <w:r>
              <w:rPr>
                <w:sz w:val="17"/>
              </w:rPr>
              <w:t>10,061</w:t>
            </w:r>
          </w:p>
        </w:tc>
        <w:tc>
          <w:tcPr>
            <w:tcW w:type="dxa" w:w="1440"/>
            <w:shd w:fill="C6EFCE" w:val="clear"/>
          </w:tcPr>
          <w:p>
            <w:r>
              <w:rPr>
                <w:b/>
                <w:color w:val="008000"/>
                <w:sz w:val="17"/>
              </w:rPr>
              <w:t>+3.0%</w:t>
            </w:r>
          </w:p>
        </w:tc>
      </w:tr>
      <w:tr>
        <w:tc>
          <w:tcPr>
            <w:tcW w:type="dxa" w:w="1440"/>
            <w:shd w:fill="C6EFCE" w:val="clear"/>
          </w:tcPr>
          <w:p>
            <w:r>
              <w:rPr>
                <w:sz w:val="17"/>
              </w:rPr>
              <w:t>J+8  Moyenne</w:t>
            </w:r>
          </w:p>
        </w:tc>
        <w:tc>
          <w:tcPr>
            <w:tcW w:type="dxa" w:w="1440"/>
            <w:shd w:fill="C6EFCE" w:val="clear"/>
          </w:tcPr>
          <w:p>
            <w:r>
              <w:rPr>
                <w:sz w:val="17"/>
              </w:rPr>
              <w:t>2026-09-16</w:t>
            </w:r>
          </w:p>
        </w:tc>
        <w:tc>
          <w:tcPr>
            <w:tcW w:type="dxa" w:w="1440"/>
            <w:shd w:fill="C6EFCE" w:val="clear"/>
          </w:tcPr>
          <w:p>
            <w:r>
              <w:rPr>
                <w:sz w:val="17"/>
              </w:rPr>
              <w:t>8,453</w:t>
            </w:r>
          </w:p>
        </w:tc>
        <w:tc>
          <w:tcPr>
            <w:tcW w:type="dxa" w:w="1440"/>
            <w:shd w:fill="C6EFCE" w:val="clear"/>
          </w:tcPr>
          <w:p>
            <w:r>
              <w:rPr>
                <w:b/>
                <w:sz w:val="17"/>
              </w:rPr>
              <w:t>9,299</w:t>
            </w:r>
          </w:p>
        </w:tc>
        <w:tc>
          <w:tcPr>
            <w:tcW w:type="dxa" w:w="1440"/>
            <w:shd w:fill="C6EFCE" w:val="clear"/>
          </w:tcPr>
          <w:p>
            <w:r>
              <w:rPr>
                <w:sz w:val="17"/>
              </w:rPr>
              <w:t>10,144</w:t>
            </w:r>
          </w:p>
        </w:tc>
        <w:tc>
          <w:tcPr>
            <w:tcW w:type="dxa" w:w="1440"/>
            <w:shd w:fill="C6EFCE" w:val="clear"/>
          </w:tcPr>
          <w:p>
            <w:r>
              <w:rPr>
                <w:b/>
                <w:color w:val="008000"/>
                <w:sz w:val="17"/>
              </w:rPr>
              <w:t>+3.3%</w:t>
            </w:r>
          </w:p>
        </w:tc>
      </w:tr>
      <w:tr>
        <w:tc>
          <w:tcPr>
            <w:tcW w:type="dxa" w:w="1440"/>
            <w:shd w:fill="C6EFCE" w:val="clear"/>
          </w:tcPr>
          <w:p>
            <w:r>
              <w:rPr>
                <w:sz w:val="17"/>
              </w:rPr>
              <w:t>J+9  Moyenne</w:t>
            </w:r>
          </w:p>
        </w:tc>
        <w:tc>
          <w:tcPr>
            <w:tcW w:type="dxa" w:w="1440"/>
            <w:shd w:fill="C6EFCE" w:val="clear"/>
          </w:tcPr>
          <w:p>
            <w:r>
              <w:rPr>
                <w:sz w:val="17"/>
              </w:rPr>
              <w:t>2026-09-17</w:t>
            </w:r>
          </w:p>
        </w:tc>
        <w:tc>
          <w:tcPr>
            <w:tcW w:type="dxa" w:w="1440"/>
            <w:shd w:fill="C6EFCE" w:val="clear"/>
          </w:tcPr>
          <w:p>
            <w:r>
              <w:rPr>
                <w:sz w:val="17"/>
              </w:rPr>
              <w:t>8,425</w:t>
            </w:r>
          </w:p>
        </w:tc>
        <w:tc>
          <w:tcPr>
            <w:tcW w:type="dxa" w:w="1440"/>
            <w:shd w:fill="C6EFCE" w:val="clear"/>
          </w:tcPr>
          <w:p>
            <w:r>
              <w:rPr>
                <w:b/>
                <w:sz w:val="17"/>
              </w:rPr>
              <w:t>9,325</w:t>
            </w:r>
          </w:p>
        </w:tc>
        <w:tc>
          <w:tcPr>
            <w:tcW w:type="dxa" w:w="1440"/>
            <w:shd w:fill="C6EFCE" w:val="clear"/>
          </w:tcPr>
          <w:p>
            <w:r>
              <w:rPr>
                <w:sz w:val="17"/>
              </w:rPr>
              <w:t>10,224</w:t>
            </w:r>
          </w:p>
        </w:tc>
        <w:tc>
          <w:tcPr>
            <w:tcW w:type="dxa" w:w="1440"/>
            <w:shd w:fill="C6EFCE" w:val="clear"/>
          </w:tcPr>
          <w:p>
            <w:r>
              <w:rPr>
                <w:b/>
                <w:color w:val="008000"/>
                <w:sz w:val="17"/>
              </w:rPr>
              <w:t>+3.6%</w:t>
            </w:r>
          </w:p>
        </w:tc>
      </w:tr>
      <w:tr>
        <w:tc>
          <w:tcPr>
            <w:tcW w:type="dxa" w:w="1440"/>
            <w:shd w:fill="C6EFCE" w:val="clear"/>
          </w:tcPr>
          <w:p>
            <w:r>
              <w:rPr>
                <w:sz w:val="17"/>
              </w:rPr>
              <w:t>J+10  Moyenne</w:t>
            </w:r>
          </w:p>
        </w:tc>
        <w:tc>
          <w:tcPr>
            <w:tcW w:type="dxa" w:w="1440"/>
            <w:shd w:fill="C6EFCE" w:val="clear"/>
          </w:tcPr>
          <w:p>
            <w:r>
              <w:rPr>
                <w:sz w:val="17"/>
              </w:rPr>
              <w:t>2026-09-18</w:t>
            </w:r>
          </w:p>
        </w:tc>
        <w:tc>
          <w:tcPr>
            <w:tcW w:type="dxa" w:w="1440"/>
            <w:shd w:fill="C6EFCE" w:val="clear"/>
          </w:tcPr>
          <w:p>
            <w:r>
              <w:rPr>
                <w:sz w:val="17"/>
              </w:rPr>
              <w:t>8,400</w:t>
            </w:r>
          </w:p>
        </w:tc>
        <w:tc>
          <w:tcPr>
            <w:tcW w:type="dxa" w:w="1440"/>
            <w:shd w:fill="C6EFCE" w:val="clear"/>
          </w:tcPr>
          <w:p>
            <w:r>
              <w:rPr>
                <w:b/>
                <w:sz w:val="17"/>
              </w:rPr>
              <w:t>9,351</w:t>
            </w:r>
          </w:p>
        </w:tc>
        <w:tc>
          <w:tcPr>
            <w:tcW w:type="dxa" w:w="1440"/>
            <w:shd w:fill="C6EFCE" w:val="clear"/>
          </w:tcPr>
          <w:p>
            <w:r>
              <w:rPr>
                <w:sz w:val="17"/>
              </w:rPr>
              <w:t>10,302</w:t>
            </w:r>
          </w:p>
        </w:tc>
        <w:tc>
          <w:tcPr>
            <w:tcW w:type="dxa" w:w="1440"/>
            <w:shd w:fill="C6EFCE" w:val="clear"/>
          </w:tcPr>
          <w:p>
            <w:r>
              <w:rPr>
                <w:b/>
                <w:color w:val="008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139,13 milliards FCFA, ce qui en fait une valeur moyenne sur la BRVM, représentative d'un acteur industriel de premier plan dans l'agro-industrie. Le BPA de 1 003 FCFA indique que chaque action génère un bénéfice substantiel, justifiant un PER de 9,0x, inférieur à la moyenne du marché BRVM (8-12x), ce qui suggère une sous-évaluation relative du titre. Le P/B de 0,98x est particulièrement intéressant : le marché valorise l'action légèrement en-dessous de sa valeur comptable, signalant une décote qui pourrait représenter une opportunité pour les investisseurs. Enfin, l'EV/EBITDA de 4,4x, nettement sous le seuil de 5x, confirme que la valeur totale de l'entreprise (dette incluse) reste très raisonnable par rapport à sa capacité opérationnelle. Ces ratios combinés indiquent que le marché n'intègre pas pleinement la solidité financière et les actifs de PALC.</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 progressé de +4,65%, mais la dernière séance affiche un repli de -2,17% à 9 000 FCFA, après avoir évolué dans une fourchette de 7 000 à 9 640 FCFA. La moyenne du cours (8 528 FCFA) est inférieure à la médiane (8 688 FCFA), indiquant une asymétrie légèrement négative de la distribution, confirmée par le skewness de -0,326. L'écart-type de 575 FCFA (CV=6,7%) révèle une dispersion modérée des prix autour de la moyenne, tandis que le kurtosis de -0,590 (mésokurtique) suggère une distribution proche de la normale, sans risque accru de mouvements extrêmes. La volatilité annualisée de 37,2% classe le titre dans la catégorie élevée (&gt;30%), reflétant une sensibilité marquée aux conditions de marché et aux fondamentaux du secteur. La tendance générale sur la période reste positive, mais le récent repli et la volatilité soutenue appellent à la prudence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(9 247,75 FCFA) est supérieure à la MM50 (8 959,4 FCFA), et le cours actuel (9 000 FCFA) se situe sous la MM20 mais au-dessus de la MM50. Cette configuration indique un momentum haussier à moyen terme, mais un essoufflement à court terme. La décision "Achat" est justifiée par la tendance générale positive, bien que le franchissement sous la MM20 soit un signal de prudence.</w:t>
      </w:r>
    </w:p>
    <w:p>
      <w:pPr>
        <w:spacing w:after="120" w:line="276" w:lineRule="auto"/>
      </w:pPr>
      <w:r>
        <w:t>**Bandes de Bollinger** : Le cours (9 000 FCFA) se positionne près de la borne inférieure (8 797,166 FCFA) et loin de la borne supérieure (9 698,334 FCFA), indiquant une pression vendeuse récente. La largeur des bandes reflète une volatilité élevée. La décision "Neutre" est cohérente, le titre n'étant ni suracheté ni survendu, mais la proximité de la borne inférieure pourrait offrir un support technique.</w:t>
      </w:r>
    </w:p>
    <w:p>
      <w:pPr>
        <w:spacing w:after="120" w:line="276" w:lineRule="auto"/>
      </w:pPr>
      <w:r>
        <w:t>**MACD** : La valeur du MACD (64,012) est inférieure à son signal (121,374), formant une divergence baissière. Ce croisement indique un affaiblissement du momentum haussier, justifiant la décision "Vente". Cependant, la valeur positive du MACD suggère que la tendance de fond reste positive, avec un risque de consolidation à court terme.</w:t>
      </w:r>
    </w:p>
    <w:p>
      <w:pPr>
        <w:spacing w:after="120" w:line="276" w:lineRule="auto"/>
      </w:pPr>
      <w:r>
        <w:t>**RSI** : À 47,307, le RSI se situe en zone neutre (30-70), indiquant un équilibre entre pressions acheteuses et vendeuses. La décision "Neutre" est appropriée, le titre disposant d'une marge de manœuvre avant d'atteindre des zones de surachat ou de survente.</w:t>
      </w:r>
    </w:p>
    <w:p>
      <w:pPr>
        <w:spacing w:after="120" w:line="276" w:lineRule="auto"/>
      </w:pPr>
      <w:r>
        <w:t>**Stochastique** : Le %K (0,0) est nettement sous le %D (10,648), signalant une condition de survente extrême. Ce croisement baissier suggère un potentiel de rebond technique, justifiant la décision "Achat". Les niveaux actuels indiquent que le titre est temporairement oversold, ce qui pourrait attirer des acheteurs.</w:t>
      </w:r>
    </w:p>
    <w:p>
      <w:pPr>
        <w:spacing w:after="120" w:line="276" w:lineRule="auto"/>
      </w:pPr>
      <w:r>
        <w:t>**Conclusion technique** : Les indicateurs sont mitigés : les moyennes mobiles et le stochastique plaident pour un achat, tandis que le MACD et le RSI restent neutres ou vendeurs. La configuration globale suggère une phase de consolidation après une tendance haussière, avec un potentiel de rebond technique à court terme si le support des 8 800 FCFA tient. Les investisseurs devraient surveiller une reprise du momentum pour confirmer un signal d'achat.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PALC a réalisé un chiffre d'affaires de 197,630 milliards FCFA, en hausse de +14,8% par rapport à 2024, avec un résultat net de 15,509 milliards FCFA, en léger repli de -2,2% (rapport annuel 2025). La marge nette s'établit à 7,8%, en baisse par rapport à 2024 (9,2%), tandis que le ROE atteint 10,87% et le ROA 7,79%, reflétant une rentabilité correcte mais sous pression. Les capitaux propres (142,639 milliards FCFA) représentent 71,6% du total bilan, témoignant d'une autonomie financière solide, avec un endettement très faible (0,56% du total bilan). Le BFR de 44,623 milliards FCFA (positif) et le délai clients de 142,58 jours constituent un risque de trésorerie, bien que le flux opérationnel de 38,741 milliards FCFA et le free cash-flow de 19,053 milliards FCFA démontrent une capacité de génération de liquidités robuste. Les rapports trimestriels 2025 montrent une performance contrastée : le T1 était excellent (CA +32%, résultat net +65%), le S1 solide (CA +25%, résultat net +37%), mais le T3 a vu une pression sur les marges (marge nette de 10,7% sur 9 mois). Le rapport T1 2026 (publié en 2026) révèle une chute drastique du résultat net (-86% à 1,6 milliard FCFA), attribuée à un décalage temporel des ventes. Sur la base de ces éléments, on estime que l'exercice 2026 pourrait être difficile, avec un résultat net potentiellement en baisse significative, malgré des fondamentaux structurels solides.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(PER 9,0x, P/B 0,98x, EV/EBITDA 4,4x) indique une sous-évaluation relative, offrant une marge de sécurité aux investisseurs. Le comportement du cours sur 100 jours montre une tendance positive (+4,65%) mais avec une volatilité élevée (37,2%) et une distribution légèrement asymétrique, suggérant un risque modéré. Les signaux techniques sont mitigés, avec un potentiel de rebond à court terme (stochastique survendu) mais un momentum baissier (MACD), nécessitant une confirmation. Les fondamentaux restent solides (croissance du CA, structure financière saine), mais les perspectives 2026 sont assombries par le T1 décevant, bien que la direction évoque un décalage temporel. Les prédictions IA (9 127 à 9 220 FCFA sur 10 jours) anticipent une légère hausse, contredisant les signaux techniques à court terme mais confirmant la tendance de fond. En synthèse, la convergence entre la sous-évaluation, la solidité financière et les prédictions IA, malgré des signaux techniques mitigés, conduit à une recommandation **CONSERVER**. Le niveau de confiance est **Moyen**, le risque global **Moyen**, et l'horizon d'investissement optimal est de **moyen terme (3-12 mois)**, en attendant une clarification des performances 2026 et une stabilisation des cours de l'huile de palme.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44.54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854 titres</w:t>
            </w:r>
          </w:p>
        </w:tc>
        <w:tc>
          <w:tcPr>
            <w:tcW w:type="dxa" w:w="2268"/>
            <w:shd w:fill="FFF2CC" w:val="clear"/>
          </w:tcPr>
          <w:p>
            <w:r>
              <w:rPr>
                <w:b/>
                <w:color w:val="503200"/>
                <w:sz w:val="16"/>
              </w:rPr>
              <w:t xml:space="preserve">Cours actuel : </w:t>
            </w:r>
            <w:r>
              <w:rPr>
                <w:color w:val="000000"/>
                <w:sz w:val="17"/>
              </w:rPr>
              <w:t>4,350 FCFA</w:t>
            </w:r>
          </w:p>
          <w:p>
            <w:r>
              <w:rPr>
                <w:b/>
                <w:color w:val="503200"/>
                <w:sz w:val="16"/>
              </w:rPr>
              <w:t xml:space="preserve">Var. 100 jours : </w:t>
            </w:r>
            <w:r>
              <w:rPr>
                <w:b/>
                <w:color w:val="B40000"/>
                <w:sz w:val="17"/>
              </w:rPr>
              <w:t>-13.86%</w:t>
            </w:r>
          </w:p>
          <w:p>
            <w:r>
              <w:rPr>
                <w:b/>
                <w:color w:val="503200"/>
                <w:sz w:val="16"/>
              </w:rPr>
              <w:t xml:space="preserve">Plus haut 100j : </w:t>
            </w:r>
            <w:r>
              <w:rPr>
                <w:color w:val="000000"/>
                <w:sz w:val="17"/>
              </w:rPr>
              <w:t>5,050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7.41% (Moyenne) — μ=4,420 FCFA, σ=328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β=-0.1364 (Contre-cyclique) — Cov=-0.000005, Var(idx)=0.000037, ρ=-0.034,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854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4,260</w:t>
            </w:r>
          </w:p>
        </w:tc>
        <w:tc>
          <w:tcPr>
            <w:tcW w:type="dxa" w:w="1440"/>
            <w:shd w:fill="FAFAFA" w:val="clear"/>
          </w:tcPr>
          <w:p>
            <w:r>
              <w:rPr>
                <w:b/>
                <w:sz w:val="17"/>
              </w:rPr>
              <w:t>4,341</w:t>
            </w:r>
          </w:p>
        </w:tc>
        <w:tc>
          <w:tcPr>
            <w:tcW w:type="dxa" w:w="1440"/>
            <w:shd w:fill="FAFAFA" w:val="clear"/>
          </w:tcPr>
          <w:p>
            <w:r>
              <w:rPr>
                <w:sz w:val="17"/>
              </w:rPr>
              <w:t>4,422</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4,205</w:t>
            </w:r>
          </w:p>
        </w:tc>
        <w:tc>
          <w:tcPr>
            <w:tcW w:type="dxa" w:w="1440"/>
            <w:shd w:fill="FAFAFA" w:val="clear"/>
          </w:tcPr>
          <w:p>
            <w:r>
              <w:rPr>
                <w:b/>
                <w:sz w:val="17"/>
              </w:rPr>
              <w:t>4,319</w:t>
            </w:r>
          </w:p>
        </w:tc>
        <w:tc>
          <w:tcPr>
            <w:tcW w:type="dxa" w:w="1440"/>
            <w:shd w:fill="FAFAFA" w:val="clear"/>
          </w:tcPr>
          <w:p>
            <w:r>
              <w:rPr>
                <w:sz w:val="17"/>
              </w:rPr>
              <w:t>4,433</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4,160</w:t>
            </w:r>
          </w:p>
        </w:tc>
        <w:tc>
          <w:tcPr>
            <w:tcW w:type="dxa" w:w="1440"/>
            <w:shd w:fill="FAFAFA" w:val="clear"/>
          </w:tcPr>
          <w:p>
            <w:r>
              <w:rPr>
                <w:b/>
                <w:sz w:val="17"/>
              </w:rPr>
              <w:t>4,299</w:t>
            </w:r>
          </w:p>
        </w:tc>
        <w:tc>
          <w:tcPr>
            <w:tcW w:type="dxa" w:w="1440"/>
            <w:shd w:fill="FAFAFA" w:val="clear"/>
          </w:tcPr>
          <w:p>
            <w:r>
              <w:rPr>
                <w:sz w:val="17"/>
              </w:rPr>
              <w:t>4,438</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2026-09-10</w:t>
            </w:r>
          </w:p>
        </w:tc>
        <w:tc>
          <w:tcPr>
            <w:tcW w:type="dxa" w:w="1440"/>
            <w:shd w:fill="FAFAFA" w:val="clear"/>
          </w:tcPr>
          <w:p>
            <w:r>
              <w:rPr>
                <w:sz w:val="17"/>
              </w:rPr>
              <w:t>4,120</w:t>
            </w:r>
          </w:p>
        </w:tc>
        <w:tc>
          <w:tcPr>
            <w:tcW w:type="dxa" w:w="1440"/>
            <w:shd w:fill="FAFAFA" w:val="clear"/>
          </w:tcPr>
          <w:p>
            <w:r>
              <w:rPr>
                <w:b/>
                <w:sz w:val="17"/>
              </w:rPr>
              <w:t>4,280</w:t>
            </w:r>
          </w:p>
        </w:tc>
        <w:tc>
          <w:tcPr>
            <w:tcW w:type="dxa" w:w="1440"/>
            <w:shd w:fill="FAFAFA" w:val="clear"/>
          </w:tcPr>
          <w:p>
            <w:r>
              <w:rPr>
                <w:sz w:val="17"/>
              </w:rPr>
              <w:t>4,439</w:t>
            </w:r>
          </w:p>
        </w:tc>
        <w:tc>
          <w:tcPr>
            <w:tcW w:type="dxa" w:w="1440"/>
            <w:shd w:fill="FAFAFA" w:val="clear"/>
          </w:tcPr>
          <w:p>
            <w:r>
              <w:rPr>
                <w:b/>
                <w:color w:val="C00000"/>
                <w:sz w:val="17"/>
              </w:rPr>
              <w:t>-1.6%</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4,083</w:t>
            </w:r>
          </w:p>
        </w:tc>
        <w:tc>
          <w:tcPr>
            <w:tcW w:type="dxa" w:w="1440"/>
            <w:shd w:fill="FFDCE0" w:val="clear"/>
          </w:tcPr>
          <w:p>
            <w:r>
              <w:rPr>
                <w:b/>
                <w:sz w:val="17"/>
              </w:rPr>
              <w:t>4,261</w:t>
            </w:r>
          </w:p>
        </w:tc>
        <w:tc>
          <w:tcPr>
            <w:tcW w:type="dxa" w:w="1440"/>
            <w:shd w:fill="FFDCE0" w:val="clear"/>
          </w:tcPr>
          <w:p>
            <w:r>
              <w:rPr>
                <w:sz w:val="17"/>
              </w:rPr>
              <w:t>4,438</w:t>
            </w:r>
          </w:p>
        </w:tc>
        <w:tc>
          <w:tcPr>
            <w:tcW w:type="dxa" w:w="1440"/>
            <w:shd w:fill="FFDCE0" w:val="clear"/>
          </w:tcPr>
          <w:p>
            <w:r>
              <w:rPr>
                <w:b/>
                <w:color w:val="C00000"/>
                <w:sz w:val="17"/>
              </w:rPr>
              <w:t>-2.1%</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4,048</w:t>
            </w:r>
          </w:p>
        </w:tc>
        <w:tc>
          <w:tcPr>
            <w:tcW w:type="dxa" w:w="1440"/>
            <w:shd w:fill="FFDCE0" w:val="clear"/>
          </w:tcPr>
          <w:p>
            <w:r>
              <w:rPr>
                <w:b/>
                <w:sz w:val="17"/>
              </w:rPr>
              <w:t>4,242</w:t>
            </w:r>
          </w:p>
        </w:tc>
        <w:tc>
          <w:tcPr>
            <w:tcW w:type="dxa" w:w="1440"/>
            <w:shd w:fill="FFDCE0" w:val="clear"/>
          </w:tcPr>
          <w:p>
            <w:r>
              <w:rPr>
                <w:sz w:val="17"/>
              </w:rPr>
              <w:t>4,436</w:t>
            </w:r>
          </w:p>
        </w:tc>
        <w:tc>
          <w:tcPr>
            <w:tcW w:type="dxa" w:w="1440"/>
            <w:shd w:fill="FFDCE0" w:val="clear"/>
          </w:tcPr>
          <w:p>
            <w:r>
              <w:rPr>
                <w:b/>
                <w:color w:val="C00000"/>
                <w:sz w:val="17"/>
              </w:rPr>
              <w:t>-2.5%</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4,015</w:t>
            </w:r>
          </w:p>
        </w:tc>
        <w:tc>
          <w:tcPr>
            <w:tcW w:type="dxa" w:w="1440"/>
            <w:shd w:fill="FFDCE0" w:val="clear"/>
          </w:tcPr>
          <w:p>
            <w:r>
              <w:rPr>
                <w:b/>
                <w:sz w:val="17"/>
              </w:rPr>
              <w:t>4,224</w:t>
            </w:r>
          </w:p>
        </w:tc>
        <w:tc>
          <w:tcPr>
            <w:tcW w:type="dxa" w:w="1440"/>
            <w:shd w:fill="FFDCE0" w:val="clear"/>
          </w:tcPr>
          <w:p>
            <w:r>
              <w:rPr>
                <w:sz w:val="17"/>
              </w:rPr>
              <w:t>4,432</w:t>
            </w:r>
          </w:p>
        </w:tc>
        <w:tc>
          <w:tcPr>
            <w:tcW w:type="dxa" w:w="1440"/>
            <w:shd w:fill="FFDCE0" w:val="clear"/>
          </w:tcPr>
          <w:p>
            <w:r>
              <w:rPr>
                <w:b/>
                <w:color w:val="C00000"/>
                <w:sz w:val="17"/>
              </w:rPr>
              <w:t>-2.9%</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3,984</w:t>
            </w:r>
          </w:p>
        </w:tc>
        <w:tc>
          <w:tcPr>
            <w:tcW w:type="dxa" w:w="1440"/>
            <w:shd w:fill="FFDCE0" w:val="clear"/>
          </w:tcPr>
          <w:p>
            <w:r>
              <w:rPr>
                <w:b/>
                <w:sz w:val="17"/>
              </w:rPr>
              <w:t>4,206</w:t>
            </w:r>
          </w:p>
        </w:tc>
        <w:tc>
          <w:tcPr>
            <w:tcW w:type="dxa" w:w="1440"/>
            <w:shd w:fill="FFDCE0" w:val="clear"/>
          </w:tcPr>
          <w:p>
            <w:r>
              <w:rPr>
                <w:sz w:val="17"/>
              </w:rPr>
              <w:t>4,428</w:t>
            </w:r>
          </w:p>
        </w:tc>
        <w:tc>
          <w:tcPr>
            <w:tcW w:type="dxa" w:w="1440"/>
            <w:shd w:fill="FFDCE0" w:val="clear"/>
          </w:tcPr>
          <w:p>
            <w:r>
              <w:rPr>
                <w:b/>
                <w:color w:val="C00000"/>
                <w:sz w:val="17"/>
              </w:rPr>
              <w:t>-3.3%</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3,954</w:t>
            </w:r>
          </w:p>
        </w:tc>
        <w:tc>
          <w:tcPr>
            <w:tcW w:type="dxa" w:w="1440"/>
            <w:shd w:fill="FFDCE0" w:val="clear"/>
          </w:tcPr>
          <w:p>
            <w:r>
              <w:rPr>
                <w:b/>
                <w:sz w:val="17"/>
              </w:rPr>
              <w:t>4,188</w:t>
            </w:r>
          </w:p>
        </w:tc>
        <w:tc>
          <w:tcPr>
            <w:tcW w:type="dxa" w:w="1440"/>
            <w:shd w:fill="FFDCE0" w:val="clear"/>
          </w:tcPr>
          <w:p>
            <w:r>
              <w:rPr>
                <w:sz w:val="17"/>
              </w:rPr>
              <w:t>4,423</w:t>
            </w:r>
          </w:p>
        </w:tc>
        <w:tc>
          <w:tcPr>
            <w:tcW w:type="dxa" w:w="1440"/>
            <w:shd w:fill="FFDCE0" w:val="clear"/>
          </w:tcPr>
          <w:p>
            <w:r>
              <w:rPr>
                <w:b/>
                <w:color w:val="C00000"/>
                <w:sz w:val="17"/>
              </w:rPr>
              <w:t>-3.7%</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3,925</w:t>
            </w:r>
          </w:p>
        </w:tc>
        <w:tc>
          <w:tcPr>
            <w:tcW w:type="dxa" w:w="1440"/>
            <w:shd w:fill="FFDCE0" w:val="clear"/>
          </w:tcPr>
          <w:p>
            <w:r>
              <w:rPr>
                <w:b/>
                <w:sz w:val="17"/>
              </w:rPr>
              <w:t>4,171</w:t>
            </w:r>
          </w:p>
        </w:tc>
        <w:tc>
          <w:tcPr>
            <w:tcW w:type="dxa" w:w="1440"/>
            <w:shd w:fill="FFDCE0" w:val="clear"/>
          </w:tcPr>
          <w:p>
            <w:r>
              <w:rPr>
                <w:sz w:val="17"/>
              </w:rPr>
              <w:t>4,417</w:t>
            </w:r>
          </w:p>
        </w:tc>
        <w:tc>
          <w:tcPr>
            <w:tcW w:type="dxa" w:w="1440"/>
            <w:shd w:fill="FFDCE0" w:val="clear"/>
          </w:tcPr>
          <w:p>
            <w:r>
              <w:rPr>
                <w:b/>
                <w:color w:val="C00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 6 septembre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44,54 milliards FCFA, un niveau intermédiaire sur la BRVM qui reflète un profil de moyenne capitalisation. Avec un BPA de 231 FCFA, le titre se négocie à un PER de 18,8x, nettement supérieur à la moyenne historique de la place (~8-12x), indiquant que les investisseurs paient une prime substantielle pour la croissance anticipée. Le P/B de 3,86x confirme cette prime, le marché valorisant l'actif net comptable près de quatre fois sa valeur, ce qui suggère des attentes élevées de rentabilité future. L'EV/EBITDA de 9,6x, dans le haut de la fourchette raisonnable (5-10x), relativise toutefois cette prime en montrant que la valeur d'entreprise reste soutenable par la capacité opérationnelle. Globalement, la valorisation actuelle intègre un scénario de redressement réussi, laissant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PRSC a enregistré une dépréciation de 13,86%, avec une dernière séance en baisse de 1,14% à 4 350 FCFA. Le cours a évolué dans une fourchette de 3 620 à 5 050 FCFA, illustrant une amplitude de trading considérable de 28% entre le plus bas et le plus haut. La moyenne (4 420 FCFA) étant inférieure à la médiane (4 472 FCFA), la distribution des prix est légèrement asymétrique, avec un skewness de -0,764 confirmant une asymétrie négative : les journées de baisse ont été plus fréquentes ou plus marquées que les hausses. L'écart-type de 329 FCFA (CV de 7,5%) indique une dispersion modérée des prix autour de la moyenne, tandis que le kurtosis de 0,464 (mésokurtique) suggère l'absence d'événements extrêmes inhabituels. La volatilité annualisée de 38,9% classe le titre dans la catégorie élevée (&gt;30%), signalant un risque de marché important pour les détenteurs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(4 350 FCFA) se situe sous la MM20 (4 452,75 FCFA) et la MM50 (4 487,5 FCFA), configuration baissière classique. La MM20 étant inférieure à la MM50, la tendance de fond est clairement négative, justifiant la décision de vente. Le croisement des moyennes mobiles suggère une dynamique baissière qui pourrait se poursuivre tant que le cours ne repasse pas au-dessus de 4 450 FCFA.</w:t>
      </w:r>
    </w:p>
    <w:p>
      <w:pPr>
        <w:spacing w:after="120" w:line="276" w:lineRule="auto"/>
      </w:pPr>
      <w:r>
        <w:t>**Bandes de Bollinger** : Le prix évolue à 4 350 FCFA, très proche de la borne inférieure (4 347,4 FCFA), indiquant que le titre est dans la zone de survente relative. La largeur des bandes suggère une volatilité soutenue. La décision neutre s'explique par la position du prix qui, bien qu'à la limite inférieure, n'a pas encore montré de signe de rebond. Un éventuel test sous les 4 347 FCFA ouvrirait la voie à une extension baissière.</w:t>
      </w:r>
    </w:p>
    <w:p>
      <w:pPr>
        <w:spacing w:after="120" w:line="276" w:lineRule="auto"/>
      </w:pPr>
      <w:r>
        <w:t>**MACD** : La valeur du MACD (-16,14) est nettement inférieure à son signal (-4,52), confirmant un momentum baissier puissant. La divergence négative s'accentue, ce qui indique que la pression vendeuse reste dominante. La décision de vente est cohérente avec la dynamique actuelle, et un retour du MACD au-dessus du signal serait nécessaire pour envisager un renversement de tendance.</w:t>
      </w:r>
    </w:p>
    <w:p>
      <w:pPr>
        <w:spacing w:after="120" w:line="276" w:lineRule="auto"/>
      </w:pPr>
      <w:r>
        <w:t>**RSI** : À 36,94, le RSI se situe dans la zone neutre mais proche de la zone de survente (&lt;30). Le titre n'est pas encore survendu, ce qui laisse théoriquement de la marge pour une baisse supplémentaire. La décision neutre est justifiée : le RSI ne confirme ni un retournement imminent ni une poursuite baissière violente.</w:t>
      </w:r>
    </w:p>
    <w:p>
      <w:pPr>
        <w:spacing w:after="120" w:line="276" w:lineRule="auto"/>
      </w:pPr>
      <w:r>
        <w:t>**Stochastique** : Les valeurs %K et %D à 0,0 indiquent que le titre est en situation de survente extrême. Historiquement, de tels niveaux précèdent souvent un rebond technique, justifiant la décision d'achat. Ce signal contraste fortement avec les autres indicateurs et suggère qu'un mouvement de correction haussière pourrait survenir à très court terme.</w:t>
      </w:r>
    </w:p>
    <w:p>
      <w:pPr>
        <w:spacing w:after="120" w:line="276" w:lineRule="auto"/>
      </w:pPr>
      <w:r>
        <w:t>**Conclusion technique** : Les indicateurs de tendance (MM, MACD) sont baissiers, tandis que les oscillateurs (Stochastique, RSI) flirtent avec les zones de survente. Cette configuration contradictoire suggère une phase d'épuisement vendeur, mais sans signal de retournement confirmé. La prudence reste de mise tant que le cours ne reprend pas la MM20.</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hausse de 9,5% par rapport à 2024 (74,45 milliards), confirmant la dynamique de croissance amorcée au S1 2025 (+15,1% à 39,97 milliards). Le résultat net s'établit à 2,367 milliards FCFA, en légère progression par rapport aux 2,177 milliards de 2024, avec une marge nette stable à 2,9%. La rentabilité des fonds propres (ROE) atteint 20,5%, un niveau excellent qui témoigne d'une bonne allocation du capital, tandis que le ROA de 4,9% reste modéré. La structure financière montre un endettement total de 36,3 milliards, avec un ratio d'endettement de 314,9% qui paraît élevé mais s'explique par le poids des dettes fournisseurs (17,96 milliards) dans un modèle de distribution automobile. Le délai clients de 46 jours est raisonnable, mais la durée de stockage de 150 jours et le délai fournisseurs de 103 jours révèlent un besoin en fonds de roulement important (11,27 milliards), avec une trésorerie nette négative de -4,09 milliards. Le rapport de gestion 2025 (daté du 31/12/2025) confirme une marge commerciale en progression de 23% à 18 milliards et des capitaux propres renforcés à 11,6 milliards. Le dividende proposé de 209 FCFA par action (AG du 30 juin 2026) offre un rendement de 4,8% au cours actuel. Les perspectives restent soutenues par la croissance du marché automobile ivoirien, mais la faiblesse de la marge nette et la pression sur le BFR constituent des points de vigilance.</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des signaux contrastés. La valorisation (PER 18,8x, P/B 3,86x) apparaît exigeante pour une société dont la marge nette ne dépasse pas 3%, suggérant une surévaluation relative malgré un ROE de 20,5%. Le comportement du cours sur 100 jours (-13,9%) avec une volatilité de 38,9% reflète un désaveu progressif du marché, confirmé par des indicateurs techniques baissiers (MM, MACD) tempérés par des signaux de survente (Stochastique à 0). Les fondamentaux, bien qu'en amélioration (CA +9,5%, dividende de 209 FCFA), peinent à justifier la prime de valorisation actuelle. Les prédictions IA pour les 10 prochains jours (4 341 à 4 261 FCFA) anticipent une poursuite du mouvement baissier, en cohérence avec la tendance technique. **Recommandation : VENTE** pour les détenteurs cherchant à réduire leur exposition, avec un niveau de confiance **Moyen** et un risque global **Élevé**. Horizon optimal : court terme (&lt;3 mois) pour réévaluer la position sous 4 200 FCFA, niveau où le titre pourrait redevenir attractif.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49.29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8,048 titres</w:t>
            </w:r>
          </w:p>
        </w:tc>
        <w:tc>
          <w:tcPr>
            <w:tcW w:type="dxa" w:w="2268"/>
            <w:shd w:fill="FFF2CC" w:val="clear"/>
          </w:tcPr>
          <w:p>
            <w:r>
              <w:rPr>
                <w:b/>
                <w:color w:val="503200"/>
                <w:sz w:val="16"/>
              </w:rPr>
              <w:t xml:space="preserve">Cours actuel : </w:t>
            </w:r>
            <w:r>
              <w:rPr>
                <w:color w:val="000000"/>
                <w:sz w:val="17"/>
              </w:rPr>
              <w:t>6,070 FCFA</w:t>
            </w:r>
          </w:p>
          <w:p>
            <w:r>
              <w:rPr>
                <w:b/>
                <w:color w:val="503200"/>
                <w:sz w:val="16"/>
              </w:rPr>
              <w:t xml:space="preserve">Var. 100 jours : </w:t>
            </w:r>
            <w:r>
              <w:rPr>
                <w:b/>
                <w:color w:val="B40000"/>
                <w:sz w:val="17"/>
              </w:rPr>
              <w:t>-18.36%</w:t>
            </w:r>
          </w:p>
          <w:p>
            <w:r>
              <w:rPr>
                <w:b/>
                <w:color w:val="503200"/>
                <w:sz w:val="16"/>
              </w:rPr>
              <w:t xml:space="preserve">Plus haut 100j : </w:t>
            </w:r>
            <w:r>
              <w:rPr>
                <w:color w:val="000000"/>
                <w:sz w:val="17"/>
              </w:rPr>
              <w:t>7,435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19.88% (Élevée) — μ=4,676 FCFA, σ=929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β=0.4087 (Défensif) — Cov=0.000015, Var(idx)=0.000037, ρ=0.048,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8,048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σ_j=5.18%/j (Instable) — Vol. annualisée≈82.2%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5,284</w:t>
            </w:r>
          </w:p>
        </w:tc>
        <w:tc>
          <w:tcPr>
            <w:tcW w:type="dxa" w:w="1440"/>
            <w:shd w:fill="FFDCE0" w:val="clear"/>
          </w:tcPr>
          <w:p>
            <w:r>
              <w:rPr>
                <w:b/>
                <w:sz w:val="17"/>
              </w:rPr>
              <w:t>5,615</w:t>
            </w:r>
          </w:p>
        </w:tc>
        <w:tc>
          <w:tcPr>
            <w:tcW w:type="dxa" w:w="1440"/>
            <w:shd w:fill="FFDCE0" w:val="clear"/>
          </w:tcPr>
          <w:p>
            <w:r>
              <w:rPr>
                <w:sz w:val="17"/>
              </w:rPr>
              <w:t>5,946</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4,761</w:t>
            </w:r>
          </w:p>
        </w:tc>
        <w:tc>
          <w:tcPr>
            <w:tcW w:type="dxa" w:w="1440"/>
            <w:shd w:fill="FFDCE0" w:val="clear"/>
          </w:tcPr>
          <w:p>
            <w:r>
              <w:rPr>
                <w:b/>
                <w:sz w:val="17"/>
              </w:rPr>
              <w:t>5,194</w:t>
            </w:r>
          </w:p>
        </w:tc>
        <w:tc>
          <w:tcPr>
            <w:tcW w:type="dxa" w:w="1440"/>
            <w:shd w:fill="FFDCE0" w:val="clear"/>
          </w:tcPr>
          <w:p>
            <w:r>
              <w:rPr>
                <w:sz w:val="17"/>
              </w:rPr>
              <w:t>5,626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4,314</w:t>
            </w:r>
          </w:p>
        </w:tc>
        <w:tc>
          <w:tcPr>
            <w:tcW w:type="dxa" w:w="1440"/>
            <w:shd w:fill="FFDCE0" w:val="clear"/>
          </w:tcPr>
          <w:p>
            <w:r>
              <w:rPr>
                <w:b/>
                <w:sz w:val="17"/>
              </w:rPr>
              <w:t>4,804</w:t>
            </w:r>
          </w:p>
        </w:tc>
        <w:tc>
          <w:tcPr>
            <w:tcW w:type="dxa" w:w="1440"/>
            <w:shd w:fill="FFDCE0" w:val="clear"/>
          </w:tcPr>
          <w:p>
            <w:r>
              <w:rPr>
                <w:sz w:val="17"/>
              </w:rPr>
              <w:t>5,294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3,920</w:t>
            </w:r>
          </w:p>
        </w:tc>
        <w:tc>
          <w:tcPr>
            <w:tcW w:type="dxa" w:w="1440"/>
            <w:shd w:fill="FFDCE0" w:val="clear"/>
          </w:tcPr>
          <w:p>
            <w:r>
              <w:rPr>
                <w:b/>
                <w:sz w:val="17"/>
              </w:rPr>
              <w:t>4,444</w:t>
            </w:r>
          </w:p>
        </w:tc>
        <w:tc>
          <w:tcPr>
            <w:tcW w:type="dxa" w:w="1440"/>
            <w:shd w:fill="FFDCE0" w:val="clear"/>
          </w:tcPr>
          <w:p>
            <w:r>
              <w:rPr>
                <w:sz w:val="17"/>
              </w:rPr>
              <w:t>4,967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3,569</w:t>
            </w:r>
          </w:p>
        </w:tc>
        <w:tc>
          <w:tcPr>
            <w:tcW w:type="dxa" w:w="1440"/>
            <w:shd w:fill="FFDCE0" w:val="clear"/>
          </w:tcPr>
          <w:p>
            <w:r>
              <w:rPr>
                <w:b/>
                <w:sz w:val="17"/>
              </w:rPr>
              <w:t>4,111</w:t>
            </w:r>
          </w:p>
        </w:tc>
        <w:tc>
          <w:tcPr>
            <w:tcW w:type="dxa" w:w="1440"/>
            <w:shd w:fill="FFDCE0" w:val="clear"/>
          </w:tcPr>
          <w:p>
            <w:r>
              <w:rPr>
                <w:sz w:val="17"/>
              </w:rPr>
              <w:t>4,652</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3,253</w:t>
            </w:r>
          </w:p>
        </w:tc>
        <w:tc>
          <w:tcPr>
            <w:tcW w:type="dxa" w:w="1440"/>
            <w:shd w:fill="FFDCE0" w:val="clear"/>
          </w:tcPr>
          <w:p>
            <w:r>
              <w:rPr>
                <w:b/>
                <w:sz w:val="17"/>
              </w:rPr>
              <w:t>3,802</w:t>
            </w:r>
          </w:p>
        </w:tc>
        <w:tc>
          <w:tcPr>
            <w:tcW w:type="dxa" w:w="1440"/>
            <w:shd w:fill="FFDCE0" w:val="clear"/>
          </w:tcPr>
          <w:p>
            <w:r>
              <w:rPr>
                <w:sz w:val="17"/>
              </w:rPr>
              <w:t>4,351</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2,969</w:t>
            </w:r>
          </w:p>
        </w:tc>
        <w:tc>
          <w:tcPr>
            <w:tcW w:type="dxa" w:w="1440"/>
            <w:shd w:fill="FFDCE0" w:val="clear"/>
          </w:tcPr>
          <w:p>
            <w:r>
              <w:rPr>
                <w:b/>
                <w:sz w:val="17"/>
              </w:rPr>
              <w:t>3,517</w:t>
            </w:r>
          </w:p>
        </w:tc>
        <w:tc>
          <w:tcPr>
            <w:tcW w:type="dxa" w:w="1440"/>
            <w:shd w:fill="FFDCE0" w:val="clear"/>
          </w:tcPr>
          <w:p>
            <w:r>
              <w:rPr>
                <w:sz w:val="17"/>
              </w:rPr>
              <w:t>4,065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2,711</w:t>
            </w:r>
          </w:p>
        </w:tc>
        <w:tc>
          <w:tcPr>
            <w:tcW w:type="dxa" w:w="1440"/>
            <w:shd w:fill="FFDCE0" w:val="clear"/>
          </w:tcPr>
          <w:p>
            <w:r>
              <w:rPr>
                <w:b/>
                <w:sz w:val="17"/>
              </w:rPr>
              <w:t>3,253</w:t>
            </w:r>
          </w:p>
        </w:tc>
        <w:tc>
          <w:tcPr>
            <w:tcW w:type="dxa" w:w="1440"/>
            <w:shd w:fill="FFDCE0" w:val="clear"/>
          </w:tcPr>
          <w:p>
            <w:r>
              <w:rPr>
                <w:sz w:val="17"/>
              </w:rPr>
              <w:t>3,795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2,477</w:t>
            </w:r>
          </w:p>
        </w:tc>
        <w:tc>
          <w:tcPr>
            <w:tcW w:type="dxa" w:w="1440"/>
            <w:shd w:fill="FFDCE0" w:val="clear"/>
          </w:tcPr>
          <w:p>
            <w:r>
              <w:rPr>
                <w:b/>
                <w:sz w:val="17"/>
              </w:rPr>
              <w:t>3,009</w:t>
            </w:r>
          </w:p>
        </w:tc>
        <w:tc>
          <w:tcPr>
            <w:tcW w:type="dxa" w:w="1440"/>
            <w:shd w:fill="FFDCE0" w:val="clear"/>
          </w:tcPr>
          <w:p>
            <w:r>
              <w:rPr>
                <w:sz w:val="17"/>
              </w:rPr>
              <w:t>3,541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2,265</w:t>
            </w:r>
          </w:p>
        </w:tc>
        <w:tc>
          <w:tcPr>
            <w:tcW w:type="dxa" w:w="1440"/>
            <w:shd w:fill="FFDCE0" w:val="clear"/>
          </w:tcPr>
          <w:p>
            <w:r>
              <w:rPr>
                <w:b/>
                <w:sz w:val="17"/>
              </w:rPr>
              <w:t>2,784</w:t>
            </w:r>
          </w:p>
        </w:tc>
        <w:tc>
          <w:tcPr>
            <w:tcW w:type="dxa" w:w="1440"/>
            <w:shd w:fill="FFDCE0" w:val="clear"/>
          </w:tcPr>
          <w:p>
            <w:r>
              <w:rPr>
                <w:sz w:val="17"/>
              </w:rPr>
              <w:t>3,302</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49,29 milliards FCFA, un niveau modeste dans l'écosystème BRVM, reflétant un profil de petite capitalisation. Le BPA de 86 FCFA indique un bénéfice net par action encore limité, conséquence directe d'un résultat net de 701 millions FCFA pour un capital social de 3,248 milliards FCFA. Le PER de 70,3x est extrêmement élevé, très au-dessus de la moyenne du marché BRVM (8-12x), signifiant que les investisseurs paient une prime considérable pour chaque franc de bénéfice, ce qui traduit des anticipations de croissance très fortes. Le P/B de 8,33x confirme cette valorisation exigeante, le marché valorisant l'actif net à plus de huit fois sa valeur comptable. Enfin, l'EV/EBITDA de 82,9x est également très élevé, indiquant que la valeur d'entreprise est déconnectée de la capacité bénéficiaire opérationnelle actuelle, ce qui impose une prudence extrême.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SAFC a enregistré une variation totale de -18,36%, avec un rebond de +4,66% lors de la dernière séance, suggérant un possible retournement à court terme. Le cours a évolué dans une fourchette très large, oscillant entre un plus bas de 3 340 FCFA et un plus haut de 7 435 FCFA, illustrant une volatilité extrême. La moyenne du cours sur la période est de 4 676 FCFA, supérieure à la médiane de 4 505 FCFA, ce qui, combiné à un skewness positif de 0,735, indique une distribution asymétrique avec des journées majoritairement sous la moyenne mais ponctuées de fortes hausses. L'écart-type de 934 FCFA (CV=20%) révèle une dispersion significative, tandis que le kurtosis de -0,076 (mésokurtique) suggère un profil de risque proche d'une distribution normale. La volatilité annualisée de 82,2% est extrêmement élevée, positionnant SAFC comme un titre très spéculatif,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6 070 FCFA se situe nettement au-dessus de la MM20 (5 672 FCFA) et de la MM50 (5 050 FCFA), confirmant une tendance haussière de moyen terme. La configuration positive des moyennes mobiles, avec le cours au-dessus des deux moyennes, justifie la décision d'Achat, indiquant un momentum haussier soutenu.</w:t>
      </w:r>
    </w:p>
    <w:p>
      <w:pPr>
        <w:spacing w:after="120" w:line="276" w:lineRule="auto"/>
      </w:pPr>
      <w:r>
        <w:t>**Bandes de Bollinger** : Le cours évolue dans la partie supérieure du canal, entre la borne inférieure à 4 955 FCFA et la borne supérieure à 6 389 FCFA, proche de cette dernière. Cette position suggère une pression acheteuse soutenue, mais la proximité de la borne supérieure pourrait indiquer une zone de résistance. La décision Neutre reflète une volatilité modérée avec un risque de consolidation.</w:t>
      </w:r>
    </w:p>
    <w:p>
      <w:pPr>
        <w:spacing w:after="120" w:line="276" w:lineRule="auto"/>
      </w:pPr>
      <w:r>
        <w:t>**MACD** : La valeur du MACD (293,655) est inférieure à son signal (302,358), indiquant un momentum baissier à court terme malgré la tendance haussière de fond. La décision de Vente suggère un possible essoufflement de la dynamique haussière, appelant à la prudence pour les entrées à court terme.</w:t>
      </w:r>
    </w:p>
    <w:p>
      <w:pPr>
        <w:spacing w:after="120" w:line="276" w:lineRule="auto"/>
      </w:pPr>
      <w:r>
        <w:t>**RSI** : Avec une valeur de 57,233, le RSI se situe en zone neutre, entre 30 et 70, indiquant un équilibre entre pressions acheteuses et vendeuses. Cette configuration Neutre laisse présager une poursuite de la tendance sans signal de surachat ou de survente imminent.</w:t>
      </w:r>
    </w:p>
    <w:p>
      <w:pPr>
        <w:spacing w:after="120" w:line="276" w:lineRule="auto"/>
      </w:pPr>
      <w:r>
        <w:t>**Stochastique** : Le %K (77,966) est nettement supérieur au %D (59,979), suggérant une dynamique haussière en cours. Cependant, la proximité du %K avec la zone de surachat (&gt;80) appelle à la vigilance. La décision Neutre reflète cette situation ambiguë.</w:t>
      </w:r>
    </w:p>
    <w:p>
      <w:pPr>
        <w:spacing w:after="120" w:line="276" w:lineRule="auto"/>
      </w:pPr>
      <w:r>
        <w:t>**Conclusion technique** : Les indicateurs sont mitigés, avec une tendance de fond haussière (MM) mais des signaux de court terme contradictoires (MACD vendeur, RSI et Stochastique neutres). La prudence est de mise, le titre semblant chercher une direction après une forte volatilité.</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Produit Net Bancaire de 5,735 milliards FCFA, en hausse de 44,1% par rapport à 2024 (3,980 milliards FCFA), et un résultat net positif de 701 millions FCFA, contre une perte de 165 millions FCFA en 2024. Le ROE s'établit à 11,85% et le ROA à 0,88%, reflétant une rentabilité encore modeste mais en nette amélioration. Le coefficient d'exploitation de 77,63% reste élevé, indiquant une efficacité opérationnelle perfectible. Le coût du risque de 6,57% demeure significatif, soulignant la qualité encore fragile du portefeuille de crédits. La structure financière est préoccupante : l'autonomie financière n'est que de 7,44% avec des capitaux propres de 5,916 milliards FCFA pour un total bilan de 79,555 milliards FCFA, et une dépendance financière de 92,56%. Les dettes interbancaires (35,747 milliards FCFA) représentent une source de financement majeure, créant un risque de liquidité. Les rapports trimestriels 2026 montrent une poursuite du redressement : au T1 2026, le PNB a progressé de 29% à 1,395 milliard FCFA avec un résultat net de 151 millions FCFA, et au S1 2026, le PNB a atteint 2,907 milliards FCFA (+37%) avec un résultat net de 731 millions FCFA, dépassant déjà le résultat annuel 2025. On estime que l'exercice 2026 pourrait voir un résultat net supérieur à 1,2 milliard FCFA, confirmant la dynamique positive impulsée par CREDAF Group. Cependant, la solidité financière reste fragile, avec un report à nouveau négatif de -4,123 milliards FCFA et des capitaux propres encore insuffisants pour absorber un choc majeur.</w:t>
      </w:r>
    </w:p>
    <w:p>
      <w:pPr>
        <w:spacing w:after="120" w:line="276" w:lineRule="auto"/>
      </w:pPr>
      <w:r>
        <w:t>---</w:t>
      </w:r>
    </w:p>
    <w:p>
      <w:pPr>
        <w:spacing w:after="120" w:line="276" w:lineRule="auto"/>
      </w:pPr>
      <w:r>
        <w:t>### PARTIE 4 : CONCLUSION D'INVESTISSEMENT</w:t>
      </w:r>
    </w:p>
    <w:p>
      <w:pPr>
        <w:spacing w:after="120" w:line="276" w:lineRule="auto"/>
      </w:pPr>
      <w:r>
        <w:t>La valorisation de SAFC apparaît extrêmement exigeante, avec un PER de 70,3x et un P/B de 8,33x, très supérieurs aux moyennes du marché BRVM, indiquant une surévaluation relative aux bénéfices actuels. Le comportement du cours sur 100 jours montre une volatilité extrême (82,2% annualisée) et une tendance baissière de -18,36%, malgré un rebond récent de +4,66%. Les signaux techniques sont mitigés : les moyennes mobiles sont haussières, mais le MACD est vendeur et le RSI neutre, suggérant une consolidation. Les fondamentaux sont en amélioration nette, avec un retour à la rentabilité en 2025 et une poursuite de la croissance en 2026, mais la structure financière reste fragile avec des capitaux propres insuffisants. Les prédictions IA indiquent une trajectoire baissière marquée sur les 10 prochains jours, avec un cours projeté à 4 111 FCFA contre 6 070 FCFA actuellement, ce qui contredit les signaux techniques haussiers. La divergence entre la valorisation élevée, les fondamentaux en amélioration mais encore fragiles, et les prédictions baissières conduit à une recommandation de **VENTE** pour les investisseurs à court terme, avec un niveau de confiance Moyen et un risque global Élevé. L'horizon d'investissement optimal serait de moyen terme (3-12 mois), en attendant une consolidation des fondamentaux et une correction du cours vers des niveaux plus conformes à la réalité économique.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69.87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11,643 titres</w:t>
            </w:r>
          </w:p>
        </w:tc>
        <w:tc>
          <w:tcPr>
            <w:tcW w:type="dxa" w:w="2268"/>
            <w:shd w:fill="FFF2CC" w:val="clear"/>
          </w:tcPr>
          <w:p>
            <w:r>
              <w:rPr>
                <w:b/>
                <w:color w:val="503200"/>
                <w:sz w:val="16"/>
              </w:rPr>
              <w:t xml:space="preserve">Cours actuel : </w:t>
            </w:r>
            <w:r>
              <w:rPr>
                <w:color w:val="000000"/>
                <w:sz w:val="17"/>
              </w:rPr>
              <w:t>3,565 FCFA</w:t>
            </w:r>
          </w:p>
          <w:p>
            <w:r>
              <w:rPr>
                <w:b/>
                <w:color w:val="503200"/>
                <w:sz w:val="16"/>
              </w:rPr>
              <w:t xml:space="preserve">Var. 100 jours : </w:t>
            </w:r>
            <w:r>
              <w:rPr>
                <w:b/>
                <w:color w:val="007800"/>
                <w:sz w:val="17"/>
              </w:rPr>
              <w:t>+76.05%</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20.51% (Élevée) — μ=3,008 FCFA, σ=617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β=0.3307 (Défensif) — Cov=0.000012, Var(idx)=0.000037, ρ=0.060,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11,643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3,174</w:t>
            </w:r>
          </w:p>
        </w:tc>
        <w:tc>
          <w:tcPr>
            <w:tcW w:type="dxa" w:w="1440"/>
            <w:shd w:fill="FFDCE0" w:val="clear"/>
          </w:tcPr>
          <w:p>
            <w:r>
              <w:rPr>
                <w:b/>
                <w:sz w:val="17"/>
              </w:rPr>
              <w:t>3,298</w:t>
            </w:r>
          </w:p>
        </w:tc>
        <w:tc>
          <w:tcPr>
            <w:tcW w:type="dxa" w:w="1440"/>
            <w:shd w:fill="FFDCE0" w:val="clear"/>
          </w:tcPr>
          <w:p>
            <w:r>
              <w:rPr>
                <w:sz w:val="17"/>
              </w:rPr>
              <w:t>3,421</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2,888</w:t>
            </w:r>
          </w:p>
        </w:tc>
        <w:tc>
          <w:tcPr>
            <w:tcW w:type="dxa" w:w="1440"/>
            <w:shd w:fill="FFDCE0" w:val="clear"/>
          </w:tcPr>
          <w:p>
            <w:r>
              <w:rPr>
                <w:b/>
                <w:sz w:val="17"/>
              </w:rPr>
              <w:t>3,050</w:t>
            </w:r>
          </w:p>
        </w:tc>
        <w:tc>
          <w:tcPr>
            <w:tcW w:type="dxa" w:w="1440"/>
            <w:shd w:fill="FFDCE0" w:val="clear"/>
          </w:tcPr>
          <w:p>
            <w:r>
              <w:rPr>
                <w:sz w:val="17"/>
              </w:rPr>
              <w:t>3,212</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2,638</w:t>
            </w:r>
          </w:p>
        </w:tc>
        <w:tc>
          <w:tcPr>
            <w:tcW w:type="dxa" w:w="1440"/>
            <w:shd w:fill="FFDCE0" w:val="clear"/>
          </w:tcPr>
          <w:p>
            <w:r>
              <w:rPr>
                <w:b/>
                <w:sz w:val="17"/>
              </w:rPr>
              <w:t>2,822</w:t>
            </w:r>
          </w:p>
        </w:tc>
        <w:tc>
          <w:tcPr>
            <w:tcW w:type="dxa" w:w="1440"/>
            <w:shd w:fill="FFDCE0" w:val="clear"/>
          </w:tcPr>
          <w:p>
            <w:r>
              <w:rPr>
                <w:sz w:val="17"/>
              </w:rPr>
              <w:t>3,005</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2,414</w:t>
            </w:r>
          </w:p>
        </w:tc>
        <w:tc>
          <w:tcPr>
            <w:tcW w:type="dxa" w:w="1440"/>
            <w:shd w:fill="FFDCE0" w:val="clear"/>
          </w:tcPr>
          <w:p>
            <w:r>
              <w:rPr>
                <w:b/>
                <w:sz w:val="17"/>
              </w:rPr>
              <w:t>2,610</w:t>
            </w:r>
          </w:p>
        </w:tc>
        <w:tc>
          <w:tcPr>
            <w:tcW w:type="dxa" w:w="1440"/>
            <w:shd w:fill="FFDCE0" w:val="clear"/>
          </w:tcPr>
          <w:p>
            <w:r>
              <w:rPr>
                <w:sz w:val="17"/>
              </w:rPr>
              <w:t>2,806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2,211</w:t>
            </w:r>
          </w:p>
        </w:tc>
        <w:tc>
          <w:tcPr>
            <w:tcW w:type="dxa" w:w="1440"/>
            <w:shd w:fill="FFDCE0" w:val="clear"/>
          </w:tcPr>
          <w:p>
            <w:r>
              <w:rPr>
                <w:b/>
                <w:sz w:val="17"/>
              </w:rPr>
              <w:t>2,414</w:t>
            </w:r>
          </w:p>
        </w:tc>
        <w:tc>
          <w:tcPr>
            <w:tcW w:type="dxa" w:w="1440"/>
            <w:shd w:fill="FFDCE0" w:val="clear"/>
          </w:tcPr>
          <w:p>
            <w:r>
              <w:rPr>
                <w:sz w:val="17"/>
              </w:rPr>
              <w:t>2,617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2,028</w:t>
            </w:r>
          </w:p>
        </w:tc>
        <w:tc>
          <w:tcPr>
            <w:tcW w:type="dxa" w:w="1440"/>
            <w:shd w:fill="FFDCE0" w:val="clear"/>
          </w:tcPr>
          <w:p>
            <w:r>
              <w:rPr>
                <w:b/>
                <w:sz w:val="17"/>
              </w:rPr>
              <w:t>2,233</w:t>
            </w:r>
          </w:p>
        </w:tc>
        <w:tc>
          <w:tcPr>
            <w:tcW w:type="dxa" w:w="1440"/>
            <w:shd w:fill="FFDCE0" w:val="clear"/>
          </w:tcPr>
          <w:p>
            <w:r>
              <w:rPr>
                <w:sz w:val="17"/>
              </w:rPr>
              <w:t>2,439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1,860</w:t>
            </w:r>
          </w:p>
        </w:tc>
        <w:tc>
          <w:tcPr>
            <w:tcW w:type="dxa" w:w="1440"/>
            <w:shd w:fill="FFDCE0" w:val="clear"/>
          </w:tcPr>
          <w:p>
            <w:r>
              <w:rPr>
                <w:b/>
                <w:sz w:val="17"/>
              </w:rPr>
              <w:t>2,066</w:t>
            </w:r>
          </w:p>
        </w:tc>
        <w:tc>
          <w:tcPr>
            <w:tcW w:type="dxa" w:w="1440"/>
            <w:shd w:fill="FFDCE0" w:val="clear"/>
          </w:tcPr>
          <w:p>
            <w:r>
              <w:rPr>
                <w:sz w:val="17"/>
              </w:rPr>
              <w:t>2,271</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1,708</w:t>
            </w:r>
          </w:p>
        </w:tc>
        <w:tc>
          <w:tcPr>
            <w:tcW w:type="dxa" w:w="1440"/>
            <w:shd w:fill="FFDCE0" w:val="clear"/>
          </w:tcPr>
          <w:p>
            <w:r>
              <w:rPr>
                <w:b/>
                <w:sz w:val="17"/>
              </w:rPr>
              <w:t>1,911</w:t>
            </w:r>
          </w:p>
        </w:tc>
        <w:tc>
          <w:tcPr>
            <w:tcW w:type="dxa" w:w="1440"/>
            <w:shd w:fill="FFDCE0" w:val="clear"/>
          </w:tcPr>
          <w:p>
            <w:r>
              <w:rPr>
                <w:sz w:val="17"/>
              </w:rPr>
              <w:t>2,114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1,568</w:t>
            </w:r>
          </w:p>
        </w:tc>
        <w:tc>
          <w:tcPr>
            <w:tcW w:type="dxa" w:w="1440"/>
            <w:shd w:fill="FFDCE0" w:val="clear"/>
          </w:tcPr>
          <w:p>
            <w:r>
              <w:rPr>
                <w:b/>
                <w:sz w:val="17"/>
              </w:rPr>
              <w:t>1,767</w:t>
            </w:r>
          </w:p>
        </w:tc>
        <w:tc>
          <w:tcPr>
            <w:tcW w:type="dxa" w:w="1440"/>
            <w:shd w:fill="FFDCE0" w:val="clear"/>
          </w:tcPr>
          <w:p>
            <w:r>
              <w:rPr>
                <w:sz w:val="17"/>
              </w:rPr>
              <w:t>1,967</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1,441</w:t>
            </w:r>
          </w:p>
        </w:tc>
        <w:tc>
          <w:tcPr>
            <w:tcW w:type="dxa" w:w="1440"/>
            <w:shd w:fill="FFDCE0" w:val="clear"/>
          </w:tcPr>
          <w:p>
            <w:r>
              <w:rPr>
                <w:b/>
                <w:sz w:val="17"/>
              </w:rPr>
              <w:t>1,635</w:t>
            </w:r>
          </w:p>
        </w:tc>
        <w:tc>
          <w:tcPr>
            <w:tcW w:type="dxa" w:w="1440"/>
            <w:shd w:fill="FFDCE0" w:val="clear"/>
          </w:tcPr>
          <w:p>
            <w:r>
              <w:rPr>
                <w:sz w:val="17"/>
              </w:rPr>
              <w:t>1,829</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SCRC s'établit à 69,87 milliards FCFA, un niveau relativement modeste dans l'écosystème de la BRVM, qui positionne la société comme une valeur de taille moyenne. Le BPA est négatif à -406 FCFA, reflétant la perte nette enregistrée sur l'exercice 2025, ce qui rend le PER non significatif à -8,8x, signalant que la société ne génère pas de bénéfices pour justifier son cours actuel. Le P/B de 4,05x indique que le marché valorise l'actif net de la société à plus de quatre fois sa valeur comptable, une prime substantielle qui traduit des attentes de redressement futur élevées, mais qui expose également à un risque de correction si ces attentes ne se matérialisent pas. Enfin, l'EV/EBITDA de 10,9x, bien que dans une fourchette de valorisation élevée (10-15x), suggère que les investisseurs intègrent une capacité opérationnelle (EBITDA) qui, bien que positive, reste insuffisante pour justifier pleinement la valeur d'entreprise actuelle au regard des niveaux d'endettement.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progression spectaculaire de +76,05%, passant d'un plus bas de 1 990 FCFA à un plus haut de 3 920 FCFA, avant de s'établir à 3 565 FCFA, avec une très légère baisse de -0,14% lors de la dernière séance. La moyenne du cours sur la période (3 008 FCFA) est inférieure à la médiane (3 160 FCFA), ce qui indique une asymétrie positive de la distribution, avec des valeurs extrêmes hautes qui tirent la moyenne vers le haut. L'écart-type de 620 FCFA, représentant un coefficient de variation de 20,6%, démontre une dispersion modérée des prix autour de la moyenne. Le kurtosis négatif de -1,265 (distribution platykurtique) révèle une absence de mouvements extrêmes fréquents, tandis que le skewness de -0,476 suggère une distribution légèrement asymétrique vers la gauche, avec des épisodes de baisse plus prononcés que les hausses. La volatilité annualisée de 53,3% classe le titre comme extrêmement volatil, bien au-dessus du seuil de 30% considéré comme élevé, ce qui implique un risque substantiel pour les investisseurs malgré la tendance haussière impressionnante.</w:t>
      </w:r>
    </w:p>
    <w:p>
      <w:pPr>
        <w:spacing w:after="120" w:line="276" w:lineRule="auto" w:before="240"/>
      </w:pPr>
      <w:r>
        <w:rPr>
          <w:b/>
          <w:color w:val="003366"/>
          <w:sz w:val="24"/>
        </w:rPr>
        <w:t>**PARTIE 2 : ANALYSE TECHNIQUE DÉTAILLÉE**</w:t>
      </w:r>
    </w:p>
    <w:p>
      <w:pPr>
        <w:spacing w:after="120" w:line="276" w:lineRule="auto"/>
      </w:pPr>
      <w:r>
        <w:t>Les Moyennes Mobiles présentent une configuration baissière avec la MM20 à 3 530,0 FCFA et la MM50 à 3 538,1 FCFA, toutes deux légèrement en dessous du cours actuel de 3 565 FCFA. Le fait que le cours évolue au-dessus de ses moyennes mobiles pourrait suggérer un potentiel haussier, mais la décision de "Vente" indique que la convergence des moyennes et leur pente actuelle signalent un essoufflement du momentum haussier à court terme.</w:t>
      </w:r>
    </w:p>
    <w:p>
      <w:pPr>
        <w:spacing w:after="120" w:line="276" w:lineRule="auto"/>
      </w:pPr>
      <w:r>
        <w:t>Les Bandes de Bollinger encadrent le prix entre une borne supérieure à 3 762,492 FCFA et une borne inférieure à 3 297,508 FCFA, avec le cours actuel positionné presque au centre de ce canal. Cette position médiane, couplée à une décision "Neutre", suggère une phase de consolidation après la forte hausse, avec une volatilité qui se normalise et aucune pression directionnelle immédiate.</w:t>
      </w:r>
    </w:p>
    <w:p>
      <w:pPr>
        <w:spacing w:after="120" w:line="276" w:lineRule="auto"/>
      </w:pPr>
      <w:r>
        <w:t>Le MACD affiche une valeur positive de 4,384 contre un signal négatif à -3,737, créant un croisement haussier qui indique un momentum positif en train de se former. Cette divergence positive, bien que récente, suggère que la dynamique baissière s'estompe et qu'un mouvement haussier pourrait se développer, justifiant la décision d'"Achat".</w:t>
      </w:r>
    </w:p>
    <w:p>
      <w:pPr>
        <w:spacing w:after="120" w:line="276" w:lineRule="auto"/>
      </w:pPr>
      <w:r>
        <w:t>Le RSI à 43,357 se situe dans la zone neutre (30-70), indiquant que le titre n'est ni suracheté ni survendu. Cette valeur reflète un équilibre entre les forces acheteuses et vendeuses, sans signal directionnel fort, ce qui explique la décision "Neutre" et suggère que le marché attend un catalyseur pour définir la prochaine tendance.</w:t>
      </w:r>
    </w:p>
    <w:p>
      <w:pPr>
        <w:spacing w:after="120" w:line="276" w:lineRule="auto"/>
      </w:pPr>
      <w:r>
        <w:t>Le Stochastique avec un %K à 78,182 et un %D à 74,354 montre que le titre évolue dans la zone de surachat technique, bien que la décision soit "Neutre". Les deux lignes étant proches et élevées, cela indique que la pression acheteuse reste présente mais pourrait s'essouffler, nécessitant une surveillance attentive pour détecter un éventuel croisement baissier.</w:t>
      </w:r>
    </w:p>
    <w:p>
      <w:pPr>
        <w:spacing w:after="120" w:line="276" w:lineRule="auto"/>
      </w:pPr>
      <w:r>
        <w:t>La conclusion technique globale révèle un tableau mitigé : le MACD émet un signal d'achat encourageant, mais les moyennes mobiles suggèrent une vente, tandis que les bandes de Bollinger, le RSI et le stochastique restent neutres. Cette divergence entre indicateurs traduit une phase d'incertitude où le titre, après une hausse spectaculaire, cherche une direction claire. Les investisseurs devraient attendre une confirmation directionnelle, soit par un franchissement des 3 762 FCFA, soit par un repli vers les 3 297 FCFA, avant de prendre des positions.</w:t>
      </w:r>
    </w:p>
    <w:p>
      <w:pPr>
        <w:spacing w:after="120" w:line="276" w:lineRule="auto" w:before="240"/>
      </w:pPr>
      <w:r>
        <w:rPr>
          <w:b/>
          <w:color w:val="003366"/>
          <w:sz w:val="24"/>
        </w:rPr>
        <w:t>**PARTIE 3 : ANALYSE FONDAMENTALE (SECTION CRITIQUE)**</w:t>
      </w:r>
    </w:p>
    <w:p>
      <w:pPr>
        <w:spacing w:after="120" w:line="276" w:lineRule="auto"/>
      </w:pPr>
      <w:r>
        <w:t>En 2025, la SCRC (SUCRIVOIRE) présente des états financiers préoccupants avec un chiffre d'affaires de 80,57 milliards FCFA, en baisse de 7,6% par rapport à 2024 (87,22 milliards FCFA), et un résultat net déficitaire de -7,95 milliards FCFA contre un bénéfice de 2,47 milliards FCFA en 2024, soit une dégradation de 421%. La marge nette s'établit à -9,87%, le ROE à -46,13% et le ROA à -5,08%, reflétant une rentabilité fortement négative. La structure financière est sous tension avec un ratio d'endettement de 88,98%, une autonomie financière faible à 11,02% et une trésorerie nette négative de -6,5 milliards FCFA. Le BFR de 6,53 milliards FCFA est positif, indiquant un besoin de financement du cycle d'exploitation, avec un délai fournisseurs très étendu à 366 jours et une durée de stockage de 361 jours qui immobilisent le capital. Les rapports datés de 2026 (analysés par DeepSeek et Mistral) confirment cette dégradation, attribuée principalement à l'explosion du coût de l'endettement financier qui a quadruplé à 6,79 milliards FCFA, tandis que le rapport du S1 2025 (daté du 30 juin 2025) montrait déjà une perte de -6,71 milliards FCFA sur le premier semestre. Les perspectives pour 2026 restent très préoccupantes selon les rapports de 2025, la société devant impérativement restructurer sa dette et améliorer ses marges opérationnelles pour éviter une défaillance financière, malgré des investissements massifs de 25,2 milliards FCFA qui pourraient soutenir un redressement à moyen terme.</w:t>
      </w:r>
    </w:p>
    <w:p>
      <w:pPr>
        <w:spacing w:after="120" w:line="276" w:lineRule="auto" w:before="240"/>
      </w:pPr>
      <w:r>
        <w:rPr>
          <w:b/>
          <w:color w:val="003366"/>
          <w:sz w:val="24"/>
        </w:rPr>
        <w:t>**PARTIE 4 : CONCLUSION D'INVESTISSEMENT**</w:t>
      </w:r>
    </w:p>
    <w:p>
      <w:pPr>
        <w:spacing w:after="120" w:line="276" w:lineRule="auto"/>
      </w:pPr>
      <w:r>
        <w:t>La synthèse globale révèle une situation complexe et contradictoire pour l'action SCRC. La valorisation boursière est exigeante avec un P/B de 4,05x et un EV/EBITDA de 10,9x, difficilement justifiables au regard d'un BPA négatif et d'un PER non significatif. Le comportement du cours sur 100 jours montre une hausse spectaculaire de +76%, mais avec une volatilité extrême de 53,3% et une distribution statistique (kurtosis platykurtique, skewness négatif) qui suggère un risque de retournement. Les signaux techniques sont divergents : le MACD est positif mais les moyennes mobiles indiquent une vente, tandis que le RSI et les bandes de Bollinger restent neutres, traduisant une indécision du marché. Les fondamentaux sont franchement négatifs avec une perte nette massive de 7,95 milliards FCFA en 2025, un endettement critique et des flux de trésorerie négatifs. Les prédictions IA pour les 10 prochains jours (de 3 298 FCFA à 2 414 FCFA) anticipent une chute brutale de plus de 30%, contredisant la tendance haussière récente et confirmant les signaux techniques baissiers. Sur la base de cette convergence entre valorisation excessive, fondamentaux dégradés et prédictions baissières, la recommandation finale est **VENTE FORTE** avec un niveau de confiance **Élevé**, un risque global **Élevé**, et un horizon d'investissement optimal à **court terme (&lt;3 mois)** pour les investisseurs cherchant à éviter une dépréciation significative du capital.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121.50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1,161 titres</w:t>
            </w:r>
          </w:p>
        </w:tc>
        <w:tc>
          <w:tcPr>
            <w:tcW w:type="dxa" w:w="2268"/>
            <w:shd w:fill="FFF2CC" w:val="clear"/>
          </w:tcPr>
          <w:p>
            <w:r>
              <w:rPr>
                <w:b/>
                <w:color w:val="503200"/>
                <w:sz w:val="16"/>
              </w:rPr>
              <w:t xml:space="preserve">Cours actuel : </w:t>
            </w:r>
            <w:r>
              <w:rPr>
                <w:color w:val="000000"/>
                <w:sz w:val="17"/>
              </w:rPr>
              <w:t>13,500 FCFA</w:t>
            </w:r>
          </w:p>
          <w:p>
            <w:r>
              <w:rPr>
                <w:b/>
                <w:color w:val="503200"/>
                <w:sz w:val="16"/>
              </w:rPr>
              <w:t xml:space="preserve">Var. 100 jours : </w:t>
            </w:r>
            <w:r>
              <w:rPr>
                <w:b/>
                <w:color w:val="007800"/>
                <w:sz w:val="17"/>
              </w:rPr>
              <w:t>+86.21%</w:t>
            </w:r>
          </w:p>
          <w:p>
            <w:r>
              <w:rPr>
                <w:b/>
                <w:color w:val="503200"/>
                <w:sz w:val="16"/>
              </w:rPr>
              <w:t xml:space="preserve">Plus haut 100j : </w:t>
            </w:r>
            <w:r>
              <w:rPr>
                <w:color w:val="000000"/>
                <w:sz w:val="17"/>
              </w:rPr>
              <w:t>13,500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15.73% (Élevée) — μ=10,958 FCFA, σ=1,723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β=0.1277 (Défensif) — Cov=0.000005, Var(idx)=0.000037, ρ=0.034,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12,360</w:t>
            </w:r>
          </w:p>
        </w:tc>
        <w:tc>
          <w:tcPr>
            <w:tcW w:type="dxa" w:w="1440"/>
            <w:shd w:fill="FFDCE0" w:val="clear"/>
          </w:tcPr>
          <w:p>
            <w:r>
              <w:rPr>
                <w:b/>
                <w:sz w:val="17"/>
              </w:rPr>
              <w:t>12,762</w:t>
            </w:r>
          </w:p>
        </w:tc>
        <w:tc>
          <w:tcPr>
            <w:tcW w:type="dxa" w:w="1440"/>
            <w:shd w:fill="FFDCE0" w:val="clear"/>
          </w:tcPr>
          <w:p>
            <w:r>
              <w:rPr>
                <w:sz w:val="17"/>
              </w:rPr>
              <w:t>13,164</w:t>
            </w:r>
          </w:p>
        </w:tc>
        <w:tc>
          <w:tcPr>
            <w:tcW w:type="dxa" w:w="1440"/>
            <w:shd w:fill="FFDCE0" w:val="clear"/>
          </w:tcPr>
          <w:p>
            <w:r>
              <w:rPr>
                <w:b/>
                <w:color w:val="C00000"/>
                <w:sz w:val="17"/>
              </w:rPr>
              <w:t>-5.5%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11,986</w:t>
            </w:r>
          </w:p>
        </w:tc>
        <w:tc>
          <w:tcPr>
            <w:tcW w:type="dxa" w:w="1440"/>
            <w:shd w:fill="FFDCE0" w:val="clear"/>
          </w:tcPr>
          <w:p>
            <w:r>
              <w:rPr>
                <w:b/>
                <w:sz w:val="17"/>
              </w:rPr>
              <w:t>12,545</w:t>
            </w:r>
          </w:p>
        </w:tc>
        <w:tc>
          <w:tcPr>
            <w:tcW w:type="dxa" w:w="1440"/>
            <w:shd w:fill="FFDCE0" w:val="clear"/>
          </w:tcPr>
          <w:p>
            <w:r>
              <w:rPr>
                <w:sz w:val="17"/>
              </w:rPr>
              <w:t>13,104</w:t>
            </w:r>
          </w:p>
        </w:tc>
        <w:tc>
          <w:tcPr>
            <w:tcW w:type="dxa" w:w="1440"/>
            <w:shd w:fill="FFDCE0" w:val="clear"/>
          </w:tcPr>
          <w:p>
            <w:r>
              <w:rPr>
                <w:b/>
                <w:color w:val="C00000"/>
                <w:sz w:val="17"/>
              </w:rPr>
              <w:t>-7.1%</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11,672</w:t>
            </w:r>
          </w:p>
        </w:tc>
        <w:tc>
          <w:tcPr>
            <w:tcW w:type="dxa" w:w="1440"/>
            <w:shd w:fill="FFDCE0" w:val="clear"/>
          </w:tcPr>
          <w:p>
            <w:r>
              <w:rPr>
                <w:b/>
                <w:sz w:val="17"/>
              </w:rPr>
              <w:t>12,345</w:t>
            </w:r>
          </w:p>
        </w:tc>
        <w:tc>
          <w:tcPr>
            <w:tcW w:type="dxa" w:w="1440"/>
            <w:shd w:fill="FFDCE0" w:val="clear"/>
          </w:tcPr>
          <w:p>
            <w:r>
              <w:rPr>
                <w:sz w:val="17"/>
              </w:rPr>
              <w:t>13,019</w:t>
            </w:r>
          </w:p>
        </w:tc>
        <w:tc>
          <w:tcPr>
            <w:tcW w:type="dxa" w:w="1440"/>
            <w:shd w:fill="FFDCE0" w:val="clear"/>
          </w:tcPr>
          <w:p>
            <w:r>
              <w:rPr>
                <w:b/>
                <w:color w:val="C00000"/>
                <w:sz w:val="17"/>
              </w:rPr>
              <w:t>-8.6%</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11,401</w:t>
            </w:r>
          </w:p>
        </w:tc>
        <w:tc>
          <w:tcPr>
            <w:tcW w:type="dxa" w:w="1440"/>
            <w:shd w:fill="FFDCE0" w:val="clear"/>
          </w:tcPr>
          <w:p>
            <w:r>
              <w:rPr>
                <w:b/>
                <w:sz w:val="17"/>
              </w:rPr>
              <w:t>12,167</w:t>
            </w:r>
          </w:p>
        </w:tc>
        <w:tc>
          <w:tcPr>
            <w:tcW w:type="dxa" w:w="1440"/>
            <w:shd w:fill="FFDCE0" w:val="clear"/>
          </w:tcPr>
          <w:p>
            <w:r>
              <w:rPr>
                <w:sz w:val="17"/>
              </w:rPr>
              <w:t>12,934</w:t>
            </w:r>
          </w:p>
        </w:tc>
        <w:tc>
          <w:tcPr>
            <w:tcW w:type="dxa" w:w="1440"/>
            <w:shd w:fill="FFDCE0" w:val="clear"/>
          </w:tcPr>
          <w:p>
            <w:r>
              <w:rPr>
                <w:b/>
                <w:color w:val="C00000"/>
                <w:sz w:val="17"/>
              </w:rPr>
              <w:t>-9.9%</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11,162</w:t>
            </w:r>
          </w:p>
        </w:tc>
        <w:tc>
          <w:tcPr>
            <w:tcW w:type="dxa" w:w="1440"/>
            <w:shd w:fill="FFDCE0" w:val="clear"/>
          </w:tcPr>
          <w:p>
            <w:r>
              <w:rPr>
                <w:b/>
                <w:sz w:val="17"/>
              </w:rPr>
              <w:t>12,008</w:t>
            </w:r>
          </w:p>
        </w:tc>
        <w:tc>
          <w:tcPr>
            <w:tcW w:type="dxa" w:w="1440"/>
            <w:shd w:fill="FFDCE0" w:val="clear"/>
          </w:tcPr>
          <w:p>
            <w:r>
              <w:rPr>
                <w:sz w:val="17"/>
              </w:rPr>
              <w:t>12,853</w:t>
            </w:r>
          </w:p>
        </w:tc>
        <w:tc>
          <w:tcPr>
            <w:tcW w:type="dxa" w:w="1440"/>
            <w:shd w:fill="FFDCE0" w:val="clear"/>
          </w:tcPr>
          <w:p>
            <w:r>
              <w:rPr>
                <w:b/>
                <w:color w:val="C00000"/>
                <w:sz w:val="17"/>
              </w:rPr>
              <w:t>-11.1%</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10,949</w:t>
            </w:r>
          </w:p>
        </w:tc>
        <w:tc>
          <w:tcPr>
            <w:tcW w:type="dxa" w:w="1440"/>
            <w:shd w:fill="FFDCE0" w:val="clear"/>
          </w:tcPr>
          <w:p>
            <w:r>
              <w:rPr>
                <w:b/>
                <w:sz w:val="17"/>
              </w:rPr>
              <w:t>11,865</w:t>
            </w:r>
          </w:p>
        </w:tc>
        <w:tc>
          <w:tcPr>
            <w:tcW w:type="dxa" w:w="1440"/>
            <w:shd w:fill="FFDCE0" w:val="clear"/>
          </w:tcPr>
          <w:p>
            <w:r>
              <w:rPr>
                <w:sz w:val="17"/>
              </w:rPr>
              <w:t>12,780</w:t>
            </w:r>
          </w:p>
        </w:tc>
        <w:tc>
          <w:tcPr>
            <w:tcW w:type="dxa" w:w="1440"/>
            <w:shd w:fill="FFDCE0" w:val="clear"/>
          </w:tcPr>
          <w:p>
            <w:r>
              <w:rPr>
                <w:b/>
                <w:color w:val="C00000"/>
                <w:sz w:val="17"/>
              </w:rPr>
              <w:t>-12.1%</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10,757</w:t>
            </w:r>
          </w:p>
        </w:tc>
        <w:tc>
          <w:tcPr>
            <w:tcW w:type="dxa" w:w="1440"/>
            <w:shd w:fill="FFDCE0" w:val="clear"/>
          </w:tcPr>
          <w:p>
            <w:r>
              <w:rPr>
                <w:b/>
                <w:sz w:val="17"/>
              </w:rPr>
              <w:t>11,734</w:t>
            </w:r>
          </w:p>
        </w:tc>
        <w:tc>
          <w:tcPr>
            <w:tcW w:type="dxa" w:w="1440"/>
            <w:shd w:fill="FFDCE0" w:val="clear"/>
          </w:tcPr>
          <w:p>
            <w:r>
              <w:rPr>
                <w:sz w:val="17"/>
              </w:rPr>
              <w:t>12,712</w:t>
            </w:r>
          </w:p>
        </w:tc>
        <w:tc>
          <w:tcPr>
            <w:tcW w:type="dxa" w:w="1440"/>
            <w:shd w:fill="FFDCE0" w:val="clear"/>
          </w:tcPr>
          <w:p>
            <w:r>
              <w:rPr>
                <w:b/>
                <w:color w:val="C00000"/>
                <w:sz w:val="17"/>
              </w:rPr>
              <w:t>-13.1%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10,580</w:t>
            </w:r>
          </w:p>
        </w:tc>
        <w:tc>
          <w:tcPr>
            <w:tcW w:type="dxa" w:w="1440"/>
            <w:shd w:fill="FFDCE0" w:val="clear"/>
          </w:tcPr>
          <w:p>
            <w:r>
              <w:rPr>
                <w:b/>
                <w:sz w:val="17"/>
              </w:rPr>
              <w:t>11,615</w:t>
            </w:r>
          </w:p>
        </w:tc>
        <w:tc>
          <w:tcPr>
            <w:tcW w:type="dxa" w:w="1440"/>
            <w:shd w:fill="FFDCE0" w:val="clear"/>
          </w:tcPr>
          <w:p>
            <w:r>
              <w:rPr>
                <w:sz w:val="17"/>
              </w:rPr>
              <w:t>12,650</w:t>
            </w:r>
          </w:p>
        </w:tc>
        <w:tc>
          <w:tcPr>
            <w:tcW w:type="dxa" w:w="1440"/>
            <w:shd w:fill="FFDCE0" w:val="clear"/>
          </w:tcPr>
          <w:p>
            <w:r>
              <w:rPr>
                <w:b/>
                <w:color w:val="C00000"/>
                <w:sz w:val="17"/>
              </w:rPr>
              <w:t>-14.0%</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10,419</w:t>
            </w:r>
          </w:p>
        </w:tc>
        <w:tc>
          <w:tcPr>
            <w:tcW w:type="dxa" w:w="1440"/>
            <w:shd w:fill="FFDCE0" w:val="clear"/>
          </w:tcPr>
          <w:p>
            <w:r>
              <w:rPr>
                <w:b/>
                <w:sz w:val="17"/>
              </w:rPr>
              <w:t>11,506</w:t>
            </w:r>
          </w:p>
        </w:tc>
        <w:tc>
          <w:tcPr>
            <w:tcW w:type="dxa" w:w="1440"/>
            <w:shd w:fill="FFDCE0" w:val="clear"/>
          </w:tcPr>
          <w:p>
            <w:r>
              <w:rPr>
                <w:sz w:val="17"/>
              </w:rPr>
              <w:t>12,593</w:t>
            </w:r>
          </w:p>
        </w:tc>
        <w:tc>
          <w:tcPr>
            <w:tcW w:type="dxa" w:w="1440"/>
            <w:shd w:fill="FFDCE0" w:val="clear"/>
          </w:tcPr>
          <w:p>
            <w:r>
              <w:rPr>
                <w:b/>
                <w:color w:val="C00000"/>
                <w:sz w:val="17"/>
              </w:rPr>
              <w:t>-14.8%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10,268</w:t>
            </w:r>
          </w:p>
        </w:tc>
        <w:tc>
          <w:tcPr>
            <w:tcW w:type="dxa" w:w="1440"/>
            <w:shd w:fill="FFDCE0" w:val="clear"/>
          </w:tcPr>
          <w:p>
            <w:r>
              <w:rPr>
                <w:b/>
                <w:sz w:val="17"/>
              </w:rPr>
              <w:t>11,404</w:t>
            </w:r>
          </w:p>
        </w:tc>
        <w:tc>
          <w:tcPr>
            <w:tcW w:type="dxa" w:w="1440"/>
            <w:shd w:fill="FFDCE0" w:val="clear"/>
          </w:tcPr>
          <w:p>
            <w:r>
              <w:rPr>
                <w:sz w:val="17"/>
              </w:rPr>
              <w:t>12,540</w:t>
            </w:r>
          </w:p>
        </w:tc>
        <w:tc>
          <w:tcPr>
            <w:tcW w:type="dxa" w:w="1440"/>
            <w:shd w:fill="FFDCE0" w:val="clear"/>
          </w:tcPr>
          <w:p>
            <w:r>
              <w:rPr>
                <w:b/>
                <w:color w:val="C00000"/>
                <w:sz w:val="17"/>
              </w:rPr>
              <w:t>-15.5%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121,50 milliards FCFA positionne la SDCC comme une valeur de taille intermédiaire sur la BRVM. Le BPA de 518 FCFA indique que chaque action génère un bénéfice modeste, mais le PER de 26,1x est très élevé par rapport à la moyenne historique de la BRVM (8-12x), suggérant que le marché anticipe une forte croissance future ou que le titre est surévalué. Le P/B de 6,16x confirme cette prime significative, le marché valorisant l'actif net à plus de six fois sa valeur comptable. Enfin, l'EV/EBITDA de 15,1x, supérieur au seuil de 15x, témoigne d'une valorisation exigeante, les investisseurs payant un prix élevé pour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connu une progression spectaculaire de +86,21%, passant d'un plus bas de 7 140 FCFA à un plus haut de 13 500 FCFA, qui correspond également au cours actuel. La variation à J-1 est nulle, marquant une pause après cette forte ascension. La tendance est clairement haussière, mais les statistiques descriptives révèlent des nuances importantes. La moyenne (10 958 FCFA) est inférieure à la médiane (11 812 FCFA), indiquant une asymétrie négative (skewness de -1,178), avec plus de journées au-dessus de la moyenne. L'écart-type de 1 732 FCFA (CV de 15,8%) montre une dispersion modérée. Le kurtosis de 0,142 (mésokurtique) suggère une distribution proche de la normale, sans risque de pics extrêmes. La volatilité annualisée de 36,6% classe le titre comme très volatil (&gt;30%), ce qui implique un risque élevé pour les investisseurs.</w:t>
      </w:r>
    </w:p>
    <w:p>
      <w:pPr>
        <w:spacing w:after="120" w:line="276" w:lineRule="auto" w:before="240"/>
      </w:pPr>
      <w:r>
        <w:rPr>
          <w:b/>
          <w:color w:val="003366"/>
          <w:sz w:val="24"/>
        </w:rPr>
        <w:t>**PARTIE 2 : ANALYSE TECHNIQUE DÉTAILLÉE**</w:t>
      </w:r>
    </w:p>
    <w:p>
      <w:pPr>
        <w:spacing w:after="120" w:line="276" w:lineRule="auto"/>
      </w:pPr>
      <w:r>
        <w:t>Les moyennes mobiles MM20 (12 314,75 FCFA) et MM50 (12 019,4 FCFA) sont toutes deux inférieures au cours actuel de 13 500 FCFA, confirmant une tendance haussière solide. Le croisement positif et l'écart croissant entre les deux moyennes renforcent le signal d'achat, indiquant que la dynamique haussière est soutenue à court et moyen terme.</w:t>
      </w:r>
    </w:p>
    <w:p>
      <w:pPr>
        <w:spacing w:after="120" w:line="276" w:lineRule="auto"/>
      </w:pPr>
      <w:r>
        <w:t>Les bandes de Bollinger montrent une borne supérieure à 13 545 FCFA et une borne inférieure à 11 084 FCFA. Le prix actuel (13 500 FCFA) est très proche de la borne supérieure, ce qui indique une pression acheteuse intense et une volatilité élevée. La décision "Neutre" suggère que le marché pourrait atteindre une zone de résistance, mais sans signal clair de retournement.</w:t>
      </w:r>
    </w:p>
    <w:p>
      <w:pPr>
        <w:spacing w:after="120" w:line="276" w:lineRule="auto"/>
      </w:pPr>
      <w:r>
        <w:t>Le MACD affiche une valeur de 386,17, nettement supérieure à son signal (250,34), confirmant un momentum haussier fort. La divergence positive indique que la tendance haussière est soutenue par une dynamique de fond solide, justifiant la décision d'achat.</w:t>
      </w:r>
    </w:p>
    <w:p>
      <w:pPr>
        <w:spacing w:after="120" w:line="276" w:lineRule="auto"/>
      </w:pPr>
      <w:r>
        <w:t>Le RSI à 83,87 est en zone de surachat (&gt;70), signalant que le titre est techniquement surévalué à court terme. La décision de vente est justifiée par ce niveau extrême, qui suggère un risque de correction imminente.</w:t>
      </w:r>
    </w:p>
    <w:p>
      <w:pPr>
        <w:spacing w:after="120" w:line="276" w:lineRule="auto"/>
      </w:pPr>
      <w:r>
        <w:t>Le stochastique avec %K à 100 et %D à 96,4 est également en zone de surachat extrême. Le croisement potentiel à la baisse pourrait déclencher un signal de vente, confirmant la décision de vente actuelle.</w:t>
      </w:r>
    </w:p>
    <w:p>
      <w:pPr>
        <w:spacing w:after="120" w:line="276" w:lineRule="auto"/>
      </w:pPr>
      <w:r>
        <w:t>En conclusion technique, les indicateurs de tendance (MM, MACD) sont positifs, mais les oscillateurs (RSI, Stochastique) sont en surachat extrême. Cette divergence suggère un risque de correction à court terme, malgré une tendance haussière sous-jacente solide.</w:t>
      </w:r>
    </w:p>
    <w:p>
      <w:pPr>
        <w:spacing w:after="120" w:line="276" w:lineRule="auto" w:before="240"/>
      </w:pPr>
      <w:r>
        <w:rPr>
          <w:b/>
          <w:color w:val="003366"/>
          <w:sz w:val="24"/>
        </w:rPr>
        <w:t>**PARTIE 3 : ANALYSE FONDAMENTALE (SECTION CRITIQUE)**</w:t>
      </w:r>
    </w:p>
    <w:p>
      <w:pPr>
        <w:spacing w:after="120" w:line="276" w:lineRule="auto"/>
      </w:pPr>
      <w:r>
        <w:t>En 2025, la SDCC affiche un chiffre d'affaires de 189,430 milliards FCFA, en croissance de 10% par rapport à 2024 (172,2 milliards FCFA), et un résultat net de 4,663 milliards FCFA, en hausse de 31%. Le ROE de 23,65% est excellent, mais le ROA de 0,99% reste faible, reflétant une lourdeur du bilan (total actif de 472,672 milliards FCFA). La marge nette est mince à 2,46%, et le BFR de 104,748 milliards FCFA est positif, indiquant un besoin de financement important. Le délai clients de 749 jours est extrêmement élevé, représentant un risque majeur de trésorerie. L'endettement est massif (dettes totales de 452,956 milliards FCFA), avec une capacité de remboursement de 8,18 ans. Le rapport du S1 2025 (30/06/2025) montre une baisse du résultat net de -24% à 1,355 milliard FCFA, mais le rapport T1 2026 (31/03/2026) indique un bond de +118% du résultat net à 1,318 milliard FCFA, suggérant une forte reprise. Sur cette base, on estime que l'exercice 2026 pourrait voir un résultat net supérieur à 5 milliards FCFA. Le dividende proposé de 525 FCFA par action pour 2025 offre un rendement de 3,9% au cours actuel. La recommandation fondamentale est de conserver, avec une vigilance sur la trésorerie et le recouvrement des créances.</w:t>
      </w:r>
    </w:p>
    <w:p>
      <w:pPr>
        <w:spacing w:after="120" w:line="276" w:lineRule="auto" w:before="240"/>
      </w:pPr>
      <w:r>
        <w:rPr>
          <w:b/>
          <w:color w:val="003366"/>
          <w:sz w:val="24"/>
        </w:rPr>
        <w:t>**PARTIE 4 : CONCLUSION D'INVESTISSEMENT**</w:t>
      </w:r>
    </w:p>
    <w:p>
      <w:pPr>
        <w:spacing w:after="120" w:line="276" w:lineRule="auto"/>
      </w:pPr>
      <w:r>
        <w:t>La valorisation (PER 26,1x, P/B 6,16x, EV/EBITDA 15,1x) indique une surévaluation relative, mais le comportement du cours (+86,21% en 100 jours) montre une dynamique haussière forte, bien que la volatilité (36,6%) et le surachat technique (RSI 83,87, Stochastique 100) suggèrent un risque de correction. Les fondamentaux sont contrastés : croissance solide du CA (+10%) et du résultat net (+31%), mais trésorerie tendue et délais clients très élevés. Les prédictions IA (12 762 FCFA à J+10) confirment une baisse progressive, suggérant un retour vers des niveaux plus soutenables. La convergence entre la surévaluation technique et la prédiction baissière contredit la tendance haussière récente. Recommandation : **CONSERVER** avec un niveau de confiance **Moyen** et un risque global **Élevé**. Horizon d'investissement optimal : **moyen terme (3-12 mois)**, en attendant une correction technique pour entrer à des niveaux plus attractifs.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174.47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18,036 titres</w:t>
            </w:r>
          </w:p>
        </w:tc>
        <w:tc>
          <w:tcPr>
            <w:tcW w:type="dxa" w:w="2268"/>
            <w:shd w:fill="FFF2CC" w:val="clear"/>
          </w:tcPr>
          <w:p>
            <w:r>
              <w:rPr>
                <w:b/>
                <w:color w:val="503200"/>
                <w:sz w:val="16"/>
              </w:rPr>
              <w:t xml:space="preserve">Cours actuel : </w:t>
            </w:r>
            <w:r>
              <w:rPr>
                <w:color w:val="000000"/>
                <w:sz w:val="17"/>
              </w:rPr>
              <w:t>3,205 FCFA</w:t>
            </w:r>
          </w:p>
          <w:p>
            <w:r>
              <w:rPr>
                <w:b/>
                <w:color w:val="503200"/>
                <w:sz w:val="16"/>
              </w:rPr>
              <w:t xml:space="preserve">Var. 100 jours : </w:t>
            </w:r>
            <w:r>
              <w:rPr>
                <w:b/>
                <w:color w:val="007800"/>
                <w:sz w:val="17"/>
              </w:rPr>
              <w:t>+69.13%</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27.6/100 → Moyen</w:t>
      </w:r>
    </w:p>
    <w:p>
      <w:pPr>
        <w:spacing w:before="40" w:after="80"/>
      </w:pPr>
      <w:r>
        <w:rPr>
          <w:rFonts w:ascii="Courier New" w:hAnsi="Courier New"/>
          <w:color w:val="825A00"/>
          <w:sz w:val="18"/>
        </w:rPr>
        <w:t>█████░░░░░░░░░░░░░░░  27.6/100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18.51% (Élevée) — μ=2,268 FCFA, σ=420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β=0.7750 (Défensif) — Cov=0.000029, Var(idx)=0.000037, ρ=0.147,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18,036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2,926</w:t>
            </w:r>
          </w:p>
        </w:tc>
        <w:tc>
          <w:tcPr>
            <w:tcW w:type="dxa" w:w="1440"/>
            <w:shd w:fill="FFDCE0" w:val="clear"/>
          </w:tcPr>
          <w:p>
            <w:r>
              <w:rPr>
                <w:b/>
                <w:sz w:val="17"/>
              </w:rPr>
              <w:t>3,107</w:t>
            </w:r>
          </w:p>
        </w:tc>
        <w:tc>
          <w:tcPr>
            <w:tcW w:type="dxa" w:w="1440"/>
            <w:shd w:fill="FFDCE0" w:val="clear"/>
          </w:tcPr>
          <w:p>
            <w:r>
              <w:rPr>
                <w:sz w:val="17"/>
              </w:rPr>
              <w:t>3,288</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2,771</w:t>
            </w:r>
          </w:p>
        </w:tc>
        <w:tc>
          <w:tcPr>
            <w:tcW w:type="dxa" w:w="1440"/>
            <w:shd w:fill="FFDCE0" w:val="clear"/>
          </w:tcPr>
          <w:p>
            <w:r>
              <w:rPr>
                <w:b/>
                <w:sz w:val="17"/>
              </w:rPr>
              <w:t>3,020</w:t>
            </w:r>
          </w:p>
        </w:tc>
        <w:tc>
          <w:tcPr>
            <w:tcW w:type="dxa" w:w="1440"/>
            <w:shd w:fill="FFDCE0" w:val="clear"/>
          </w:tcPr>
          <w:p>
            <w:r>
              <w:rPr>
                <w:sz w:val="17"/>
              </w:rPr>
              <w:t>3,269</w:t>
            </w:r>
          </w:p>
        </w:tc>
        <w:tc>
          <w:tcPr>
            <w:tcW w:type="dxa" w:w="1440"/>
            <w:shd w:fill="FFDCE0" w:val="clear"/>
          </w:tcPr>
          <w:p>
            <w:r>
              <w:rPr>
                <w:b/>
                <w:color w:val="C00000"/>
                <w:sz w:val="17"/>
              </w:rPr>
              <w:t>-5.8%</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2,663</w:t>
            </w:r>
          </w:p>
        </w:tc>
        <w:tc>
          <w:tcPr>
            <w:tcW w:type="dxa" w:w="1440"/>
            <w:shd w:fill="FFDCE0" w:val="clear"/>
          </w:tcPr>
          <w:p>
            <w:r>
              <w:rPr>
                <w:b/>
                <w:sz w:val="17"/>
              </w:rPr>
              <w:t>2,962</w:t>
            </w:r>
          </w:p>
        </w:tc>
        <w:tc>
          <w:tcPr>
            <w:tcW w:type="dxa" w:w="1440"/>
            <w:shd w:fill="FFDCE0" w:val="clear"/>
          </w:tcPr>
          <w:p>
            <w:r>
              <w:rPr>
                <w:sz w:val="17"/>
              </w:rPr>
              <w:t>3,261</w:t>
            </w:r>
          </w:p>
        </w:tc>
        <w:tc>
          <w:tcPr>
            <w:tcW w:type="dxa" w:w="1440"/>
            <w:shd w:fill="FFDCE0" w:val="clear"/>
          </w:tcPr>
          <w:p>
            <w:r>
              <w:rPr>
                <w:b/>
                <w:color w:val="C00000"/>
                <w:sz w:val="17"/>
              </w:rPr>
              <w:t>-7.6%</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2,581</w:t>
            </w:r>
          </w:p>
        </w:tc>
        <w:tc>
          <w:tcPr>
            <w:tcW w:type="dxa" w:w="1440"/>
            <w:shd w:fill="FFDCE0" w:val="clear"/>
          </w:tcPr>
          <w:p>
            <w:r>
              <w:rPr>
                <w:b/>
                <w:sz w:val="17"/>
              </w:rPr>
              <w:t>2,921</w:t>
            </w:r>
          </w:p>
        </w:tc>
        <w:tc>
          <w:tcPr>
            <w:tcW w:type="dxa" w:w="1440"/>
            <w:shd w:fill="FFDCE0" w:val="clear"/>
          </w:tcPr>
          <w:p>
            <w:r>
              <w:rPr>
                <w:sz w:val="17"/>
              </w:rPr>
              <w:t>3,262</w:t>
            </w:r>
          </w:p>
        </w:tc>
        <w:tc>
          <w:tcPr>
            <w:tcW w:type="dxa" w:w="1440"/>
            <w:shd w:fill="FFDCE0" w:val="clear"/>
          </w:tcPr>
          <w:p>
            <w:r>
              <w:rPr>
                <w:b/>
                <w:color w:val="C00000"/>
                <w:sz w:val="17"/>
              </w:rPr>
              <w:t>-8.9%</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2,512</w:t>
            </w:r>
          </w:p>
        </w:tc>
        <w:tc>
          <w:tcPr>
            <w:tcW w:type="dxa" w:w="1440"/>
            <w:shd w:fill="FFDCE0" w:val="clear"/>
          </w:tcPr>
          <w:p>
            <w:r>
              <w:rPr>
                <w:b/>
                <w:sz w:val="17"/>
              </w:rPr>
              <w:t>2,889</w:t>
            </w:r>
          </w:p>
        </w:tc>
        <w:tc>
          <w:tcPr>
            <w:tcW w:type="dxa" w:w="1440"/>
            <w:shd w:fill="FFDCE0" w:val="clear"/>
          </w:tcPr>
          <w:p>
            <w:r>
              <w:rPr>
                <w:sz w:val="17"/>
              </w:rPr>
              <w:t>3,265</w:t>
            </w:r>
          </w:p>
        </w:tc>
        <w:tc>
          <w:tcPr>
            <w:tcW w:type="dxa" w:w="1440"/>
            <w:shd w:fill="FFDCE0" w:val="clear"/>
          </w:tcPr>
          <w:p>
            <w:r>
              <w:rPr>
                <w:b/>
                <w:color w:val="C00000"/>
                <w:sz w:val="17"/>
              </w:rPr>
              <w:t>-9.9%</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2,452</w:t>
            </w:r>
          </w:p>
        </w:tc>
        <w:tc>
          <w:tcPr>
            <w:tcW w:type="dxa" w:w="1440"/>
            <w:shd w:fill="FFDCE0" w:val="clear"/>
          </w:tcPr>
          <w:p>
            <w:r>
              <w:rPr>
                <w:b/>
                <w:sz w:val="17"/>
              </w:rPr>
              <w:t>2,860</w:t>
            </w:r>
          </w:p>
        </w:tc>
        <w:tc>
          <w:tcPr>
            <w:tcW w:type="dxa" w:w="1440"/>
            <w:shd w:fill="FFDCE0" w:val="clear"/>
          </w:tcPr>
          <w:p>
            <w:r>
              <w:rPr>
                <w:sz w:val="17"/>
              </w:rPr>
              <w:t>3,268</w:t>
            </w:r>
          </w:p>
        </w:tc>
        <w:tc>
          <w:tcPr>
            <w:tcW w:type="dxa" w:w="1440"/>
            <w:shd w:fill="FFDCE0" w:val="clear"/>
          </w:tcPr>
          <w:p>
            <w:r>
              <w:rPr>
                <w:b/>
                <w:color w:val="C00000"/>
                <w:sz w:val="17"/>
              </w:rPr>
              <w:t>-10.8%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2,396</w:t>
            </w:r>
          </w:p>
        </w:tc>
        <w:tc>
          <w:tcPr>
            <w:tcW w:type="dxa" w:w="1440"/>
            <w:shd w:fill="FFDCE0" w:val="clear"/>
          </w:tcPr>
          <w:p>
            <w:r>
              <w:rPr>
                <w:b/>
                <w:sz w:val="17"/>
              </w:rPr>
              <w:t>2,833</w:t>
            </w:r>
          </w:p>
        </w:tc>
        <w:tc>
          <w:tcPr>
            <w:tcW w:type="dxa" w:w="1440"/>
            <w:shd w:fill="FFDCE0" w:val="clear"/>
          </w:tcPr>
          <w:p>
            <w:r>
              <w:rPr>
                <w:sz w:val="17"/>
              </w:rPr>
              <w:t>3,270</w:t>
            </w:r>
          </w:p>
        </w:tc>
        <w:tc>
          <w:tcPr>
            <w:tcW w:type="dxa" w:w="1440"/>
            <w:shd w:fill="FFDCE0" w:val="clear"/>
          </w:tcPr>
          <w:p>
            <w:r>
              <w:rPr>
                <w:b/>
                <w:color w:val="C00000"/>
                <w:sz w:val="17"/>
              </w:rPr>
              <w:t>-11.6%</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2,345</w:t>
            </w:r>
          </w:p>
        </w:tc>
        <w:tc>
          <w:tcPr>
            <w:tcW w:type="dxa" w:w="1440"/>
            <w:shd w:fill="FFDCE0" w:val="clear"/>
          </w:tcPr>
          <w:p>
            <w:r>
              <w:rPr>
                <w:b/>
                <w:sz w:val="17"/>
              </w:rPr>
              <w:t>2,808</w:t>
            </w:r>
          </w:p>
        </w:tc>
        <w:tc>
          <w:tcPr>
            <w:tcW w:type="dxa" w:w="1440"/>
            <w:shd w:fill="FFDCE0" w:val="clear"/>
          </w:tcPr>
          <w:p>
            <w:r>
              <w:rPr>
                <w:sz w:val="17"/>
              </w:rPr>
              <w:t>3,271</w:t>
            </w:r>
          </w:p>
        </w:tc>
        <w:tc>
          <w:tcPr>
            <w:tcW w:type="dxa" w:w="1440"/>
            <w:shd w:fill="FFDCE0" w:val="clear"/>
          </w:tcPr>
          <w:p>
            <w:r>
              <w:rPr>
                <w:b/>
                <w:color w:val="C00000"/>
                <w:sz w:val="17"/>
              </w:rPr>
              <w:t>-12.4%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2,297</w:t>
            </w:r>
          </w:p>
        </w:tc>
        <w:tc>
          <w:tcPr>
            <w:tcW w:type="dxa" w:w="1440"/>
            <w:shd w:fill="FFDCE0" w:val="clear"/>
          </w:tcPr>
          <w:p>
            <w:r>
              <w:rPr>
                <w:b/>
                <w:sz w:val="17"/>
              </w:rPr>
              <w:t>2,784</w:t>
            </w:r>
          </w:p>
        </w:tc>
        <w:tc>
          <w:tcPr>
            <w:tcW w:type="dxa" w:w="1440"/>
            <w:shd w:fill="FFDCE0" w:val="clear"/>
          </w:tcPr>
          <w:p>
            <w:r>
              <w:rPr>
                <w:sz w:val="17"/>
              </w:rPr>
              <w:t>3,271</w:t>
            </w:r>
          </w:p>
        </w:tc>
        <w:tc>
          <w:tcPr>
            <w:tcW w:type="dxa" w:w="1440"/>
            <w:shd w:fill="FFDCE0" w:val="clear"/>
          </w:tcPr>
          <w:p>
            <w:r>
              <w:rPr>
                <w:b/>
                <w:color w:val="C00000"/>
                <w:sz w:val="17"/>
              </w:rPr>
              <w:t>-13.1%</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2,253</w:t>
            </w:r>
          </w:p>
        </w:tc>
        <w:tc>
          <w:tcPr>
            <w:tcW w:type="dxa" w:w="1440"/>
            <w:shd w:fill="FFDCE0" w:val="clear"/>
          </w:tcPr>
          <w:p>
            <w:r>
              <w:rPr>
                <w:b/>
                <w:sz w:val="17"/>
              </w:rPr>
              <w:t>2,761</w:t>
            </w:r>
          </w:p>
        </w:tc>
        <w:tc>
          <w:tcPr>
            <w:tcW w:type="dxa" w:w="1440"/>
            <w:shd w:fill="FFDCE0" w:val="clear"/>
          </w:tcPr>
          <w:p>
            <w:r>
              <w:rPr>
                <w:sz w:val="17"/>
              </w:rPr>
              <w:t>3,270</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174,47 milliards FCFA, ce qui positionne le titre parmi les valeurs moyennes à grandes capitalisations de la BRVM, lui conférant une liquidité et une visibilité notables. Avec un BPA de 387 FCFA, le PER ressort à 8,3x, un niveau inférieur à la moyenne historique de la place (~8-12x), suggérant une sous-évaluation relative du titre par rapport à ses bénéfices publiés. Le P/B de 2,24x indique que le marché valorise la société à plus du double de sa valeur comptable, traduisant une prime de croissance ou de qualité attendue par les investisseurs. Cependant, l'EV/EBITDA de 37,7x apparaît particulièrement exigeant, signalant que la valeur d'entreprise est très élevée par rapport à la capacité opérationnelle réelle, ce qui tempère l'attrait apparent du PER. Cette combinaison de ratios traduit une valorisation contrastée, où le marché semble anticiper des performances futures solides mais où le coût d'entrée sur la base opérationnelle demeure élevé.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SDSC a enregistré une progression spectaculaire de +69,13%, avec une dernière séance en hausse de +3,39% à 3 205 FCFA, son plus haut niveau sur la période. Le cours a évolué dans une fourchette très large de 1 650 à 3 205 FCFA, illustrant un mouvement haussier puissant et continu. La moyenne du cours sur la période (2 268 FCFA) est inférieure à la médiane (2 322 FCFA), indiquant une distribution légèrement asymétrique avec une concentration des valeurs vers le bas de la fourchette avant l'accélération récente. L'écart-type de 422 FCFA, soit un coefficient de variation de 18,6%, témoigne d'une dispersion modérée des prix autour de la moyenne. Le kurtosis négatif (-1,351) révèle une distribution platykurtique, c'est-à-dire sans pics extrêmes ni queues épaisses, tandis que le skewness proche de zéro (0,052) confirme une symétrie globale de la distribution. La volatilité annualisée de 51% classe le titre dans la catégorie des actifs à très forte volatilité, ce qui implique un risque élevé mais également un potentiel de rendement substantiel pour les investisseurs tolérants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3 205 FCFA se situe nettement au-dessus de la MM20 (2 759 FCFA) et de la MM50 (2 633 FCFA), confirmant une dynamique haussière robuste. L'écart positif entre le prix et les moyennes mobiles, couplé à leur orientation ascendante, valide la tendance de fond et justifie la décision d'achat. Cette configuration technique indique que les acheteurs contrôlent le marché à court et moyen terme.</w:t>
      </w:r>
    </w:p>
    <w:p>
      <w:pPr>
        <w:spacing w:after="120" w:line="276" w:lineRule="auto"/>
      </w:pPr>
      <w:r>
        <w:t>**Bandes de Bollinger** : Le prix évolue au-dessus de la borne supérieure (3 104 FCFA), ce qui signale une condition de surachat extrême. Cette sortie de canal suggère que le mouvement haussier est excessif à court terme et qu'un repli technique est probable. La décision de vente émise par cet indicateur traduit la nécessité de consolider avant une éventuelle poursuite de la tendance.</w:t>
      </w:r>
    </w:p>
    <w:p>
      <w:pPr>
        <w:spacing w:after="120" w:line="276" w:lineRule="auto"/>
      </w:pPr>
      <w:r>
        <w:t>**MACD** : La valeur du MACD (116,40) est nettement supérieure à sa ligne de signal (72,45), avec un écart positif croissant. Cette configuration démontre un momentum haussier puissant qui s'accélère, confirmant la vigueur du mouvement en cours. La décision d'achat est donc cohérente avec la dynamique positive des flux monétaires.</w:t>
      </w:r>
    </w:p>
    <w:p>
      <w:pPr>
        <w:spacing w:after="120" w:line="276" w:lineRule="auto"/>
      </w:pPr>
      <w:r>
        <w:t>**RSI** : À 67,62, le RSI se situe en zone neutre-haute, proche du seuil de surachat de 70. Cette valeur indique que le titre conserve un potentiel haussier résiduel mais que la pression acheteuse commence à s'essouffler. La décision neutre reflète l'équilibre précaire entre momentum positif et risque de retournement.</w:t>
      </w:r>
    </w:p>
    <w:p>
      <w:pPr>
        <w:spacing w:after="120" w:line="276" w:lineRule="auto"/>
      </w:pPr>
      <w:r>
        <w:t>**Stochastique** : Les valeurs de %K et %D à 100 signalent une condition de surachat extrême et prolongée. Cette configuration, bien que reflétant une force remarquable, expose le titre à un risque élevé de correction technique. La décision de vente est donc prudente face à des niveaux historiquement insoutenables.</w:t>
      </w:r>
    </w:p>
    <w:p>
      <w:pPr>
        <w:spacing w:after="120" w:line="276" w:lineRule="auto"/>
      </w:pPr>
      <w:r>
        <w:t>**Conclusion technique** : La convergence des indicateurs de tendance (MM, MACD) vers l'achat contraste avec les signaux de surachat émis par les oscillateurs (Bollinger, Stochastique). Cette divergence suggère qu'une correction technique est probable à court terme avant la poursuite éventuelle de la tendance haussière de fond. Les investisseurs devraient surveiller un repli vers la zone des 2 800-3 000 FCFA comme point d'entrée potentiel.</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2024, les données structurées officielles font état d'un chiffre d'affaires de 85,643 milliards FCFA avec un résultat net de 21,069 milliards FCFA, générant une marge nette exceptionnelle de 24,6%. Le ROE s'établit à 27,08%, un niveau excellent traduisant une utilisation très efficace des capitaux propres, tandis que le ROA de 11,2% confirme une bonne rentabilité des actifs. La structure financière apparaît saine avec une autonomie financière de 41,36% et une capacité de remboursement de seulement 0,56 année. Toutefois, le délai clients de 467 jours constitue un risque majeur de trésorerie, partiellement compensé par un délai fournisseurs très étendu de 4 534 jours. Les rapports trimestriels 2025 révèlent une dégradation brutale : le T1 2025 affiche une perte de 193 millions FCFA, le S1 2025 creuse à -427 millions, et le T3 2025 montre un résultat net de 4,341 milliards, en chute de 77% sur un an. L'exercice 2025 complet, analysé par DeepSeek, confirme cette tendance avec un résultat net de seulement 784,97 millions FCFA contre 21,069 milliards en 2024, soit une chute de 96%, malgré une croissance du CA de 7,4% à 92 milliards. Le résultat d'exploitation devient déficitaire (-2,271 milliards), la rentabilité n'étant sauvée que par le résultat financier (7,08 milliards). La trésorerie nette s'est considérablement renforcée à 74,78 milliards FCFA, mais le BFR a explosé, absorbant cette liquidité. Le dividende proposé pour 2025 est réduit de 89% à 544 millions FCFA, reflétant la chute des bénéfices. Les recommandations des analystes convergent vers un "Conserver" prudent, la solidité bilancielle et la croissance du CA compensant la dégradation opérationnelle.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SDSC présente un paradoxe : un PER de 8,3x suggère une sous-évaluation sur la base des bénéfices 2024, mais l'EV/EBITDA de 37,7x et la chute de 96% du résultat net en 2025 indiquent que ces bénéfices ne sont pas récurrents. Le comportement du cours, avec une hausse de 69% en 100 jours et une volatilité annualisée de 51%, reflète un enthousiasme spéculatif qui contraste fortement avec la dégradation fondamentale. Les signaux techniques sont contradictoires : les indicateurs de tendance restent positifs mais les oscillateurs crient au surachat, annonçant une correction probable. Les fondamentaux, bien que dégradés en 2025, conservent des atouts structurels : trésorerie abondante de 74,78 milliards, croissance du CA de 7,4%, et capitaux propres solides de 73,55 milliards. Les prédictions IA d'une baisse progressive vers 2 889 FCFA à J+10 confirment l'anticipation d'un repli technique. La convergence entre les signaux de surachat technique, la dégradation fondamentale et les prédictions baissières suggère une correction à court terme. **Recommandation : CONSERVER** avec un niveau de confiance Moyen, un risque global Élevé, et un horizon d'investissement optimal à moyen terme (3-12 mois) pour observer la capacité de la direction à restaurer les marges opérationnelles et clarifier la politique de dividende.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5,895 titres</w:t>
            </w:r>
          </w:p>
        </w:tc>
        <w:tc>
          <w:tcPr>
            <w:tcW w:type="dxa" w:w="2268"/>
            <w:shd w:fill="FFF2CC" w:val="clear"/>
          </w:tcPr>
          <w:p>
            <w:r>
              <w:rPr>
                <w:b/>
                <w:color w:val="503200"/>
                <w:sz w:val="16"/>
              </w:rPr>
              <w:t xml:space="preserve">Cours actuel : </w:t>
            </w:r>
            <w:r>
              <w:rPr>
                <w:color w:val="000000"/>
                <w:sz w:val="17"/>
              </w:rPr>
              <w:t>1,580 FCFA</w:t>
            </w:r>
          </w:p>
          <w:p>
            <w:r>
              <w:rPr>
                <w:b/>
                <w:color w:val="503200"/>
                <w:sz w:val="16"/>
              </w:rPr>
              <w:t xml:space="preserve">Var. 100 jours : </w:t>
            </w:r>
            <w:r>
              <w:rPr>
                <w:b/>
                <w:color w:val="B40000"/>
                <w:sz w:val="17"/>
              </w:rPr>
              <w:t>-17.92%</w:t>
            </w:r>
          </w:p>
          <w:p>
            <w:r>
              <w:rPr>
                <w:b/>
                <w:color w:val="503200"/>
                <w:sz w:val="16"/>
              </w:rPr>
              <w:t xml:space="preserve">Plus haut 100j : </w:t>
            </w:r>
            <w:r>
              <w:rPr>
                <w:color w:val="000000"/>
                <w:sz w:val="17"/>
              </w:rPr>
              <w:t>1,940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6.90% (Moyenne) — μ=1,547 FCFA, σ=107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β=1.3630 (Agressif) — Cov=0.000051, Var(idx)=0.000037, ρ=0.260,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5,895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1,417</w:t>
            </w:r>
          </w:p>
        </w:tc>
        <w:tc>
          <w:tcPr>
            <w:tcW w:type="dxa" w:w="1440"/>
            <w:shd w:fill="FFDCE0" w:val="clear"/>
          </w:tcPr>
          <w:p>
            <w:r>
              <w:rPr>
                <w:b/>
                <w:sz w:val="17"/>
              </w:rPr>
              <w:t>1,490</w:t>
            </w:r>
          </w:p>
        </w:tc>
        <w:tc>
          <w:tcPr>
            <w:tcW w:type="dxa" w:w="1440"/>
            <w:shd w:fill="FFDCE0" w:val="clear"/>
          </w:tcPr>
          <w:p>
            <w:r>
              <w:rPr>
                <w:sz w:val="17"/>
              </w:rPr>
              <w:t>1,562</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1,381</w:t>
            </w:r>
          </w:p>
        </w:tc>
        <w:tc>
          <w:tcPr>
            <w:tcW w:type="dxa" w:w="1440"/>
            <w:shd w:fill="FFDCE0" w:val="clear"/>
          </w:tcPr>
          <w:p>
            <w:r>
              <w:rPr>
                <w:b/>
                <w:sz w:val="17"/>
              </w:rPr>
              <w:t>1,483</w:t>
            </w:r>
          </w:p>
        </w:tc>
        <w:tc>
          <w:tcPr>
            <w:tcW w:type="dxa" w:w="1440"/>
            <w:shd w:fill="FFDCE0" w:val="clear"/>
          </w:tcPr>
          <w:p>
            <w:r>
              <w:rPr>
                <w:sz w:val="17"/>
              </w:rPr>
              <w:t>1,585</w:t>
            </w:r>
          </w:p>
        </w:tc>
        <w:tc>
          <w:tcPr>
            <w:tcW w:type="dxa" w:w="1440"/>
            <w:shd w:fill="FFDCE0" w:val="clear"/>
          </w:tcPr>
          <w:p>
            <w:r>
              <w:rPr>
                <w:b/>
                <w:color w:val="C00000"/>
                <w:sz w:val="17"/>
              </w:rPr>
              <w:t>-6.2%</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1,346</w:t>
            </w:r>
          </w:p>
        </w:tc>
        <w:tc>
          <w:tcPr>
            <w:tcW w:type="dxa" w:w="1440"/>
            <w:shd w:fill="FFDCE0" w:val="clear"/>
          </w:tcPr>
          <w:p>
            <w:r>
              <w:rPr>
                <w:b/>
                <w:sz w:val="17"/>
              </w:rPr>
              <w:t>1,470</w:t>
            </w:r>
          </w:p>
        </w:tc>
        <w:tc>
          <w:tcPr>
            <w:tcW w:type="dxa" w:w="1440"/>
            <w:shd w:fill="FFDCE0" w:val="clear"/>
          </w:tcPr>
          <w:p>
            <w:r>
              <w:rPr>
                <w:sz w:val="17"/>
              </w:rPr>
              <w:t>1,594</w:t>
            </w:r>
          </w:p>
        </w:tc>
        <w:tc>
          <w:tcPr>
            <w:tcW w:type="dxa" w:w="1440"/>
            <w:shd w:fill="FFDCE0" w:val="clear"/>
          </w:tcPr>
          <w:p>
            <w:r>
              <w:rPr>
                <w:b/>
                <w:color w:val="C00000"/>
                <w:sz w:val="17"/>
              </w:rPr>
              <w:t>-7.0%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1,314</w:t>
            </w:r>
          </w:p>
        </w:tc>
        <w:tc>
          <w:tcPr>
            <w:tcW w:type="dxa" w:w="1440"/>
            <w:shd w:fill="FFDCE0" w:val="clear"/>
          </w:tcPr>
          <w:p>
            <w:r>
              <w:rPr>
                <w:b/>
                <w:sz w:val="17"/>
              </w:rPr>
              <w:t>1,455</w:t>
            </w:r>
          </w:p>
        </w:tc>
        <w:tc>
          <w:tcPr>
            <w:tcW w:type="dxa" w:w="1440"/>
            <w:shd w:fill="FFDCE0" w:val="clear"/>
          </w:tcPr>
          <w:p>
            <w:r>
              <w:rPr>
                <w:sz w:val="17"/>
              </w:rPr>
              <w:t>1,597</w:t>
            </w:r>
          </w:p>
        </w:tc>
        <w:tc>
          <w:tcPr>
            <w:tcW w:type="dxa" w:w="1440"/>
            <w:shd w:fill="FFDCE0" w:val="clear"/>
          </w:tcPr>
          <w:p>
            <w:r>
              <w:rPr>
                <w:b/>
                <w:color w:val="C00000"/>
                <w:sz w:val="17"/>
              </w:rPr>
              <w:t>-7.9%</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1,284</w:t>
            </w:r>
          </w:p>
        </w:tc>
        <w:tc>
          <w:tcPr>
            <w:tcW w:type="dxa" w:w="1440"/>
            <w:shd w:fill="FFDCE0" w:val="clear"/>
          </w:tcPr>
          <w:p>
            <w:r>
              <w:rPr>
                <w:b/>
                <w:sz w:val="17"/>
              </w:rPr>
              <w:t>1,441</w:t>
            </w:r>
          </w:p>
        </w:tc>
        <w:tc>
          <w:tcPr>
            <w:tcW w:type="dxa" w:w="1440"/>
            <w:shd w:fill="FFDCE0" w:val="clear"/>
          </w:tcPr>
          <w:p>
            <w:r>
              <w:rPr>
                <w:sz w:val="17"/>
              </w:rPr>
              <w:t>1,597</w:t>
            </w:r>
          </w:p>
        </w:tc>
        <w:tc>
          <w:tcPr>
            <w:tcW w:type="dxa" w:w="1440"/>
            <w:shd w:fill="FFDCE0" w:val="clear"/>
          </w:tcPr>
          <w:p>
            <w:r>
              <w:rPr>
                <w:b/>
                <w:color w:val="C00000"/>
                <w:sz w:val="17"/>
              </w:rPr>
              <w:t>-8.8%</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1,256</w:t>
            </w:r>
          </w:p>
        </w:tc>
        <w:tc>
          <w:tcPr>
            <w:tcW w:type="dxa" w:w="1440"/>
            <w:shd w:fill="FFDCE0" w:val="clear"/>
          </w:tcPr>
          <w:p>
            <w:r>
              <w:rPr>
                <w:b/>
                <w:sz w:val="17"/>
              </w:rPr>
              <w:t>1,426</w:t>
            </w:r>
          </w:p>
        </w:tc>
        <w:tc>
          <w:tcPr>
            <w:tcW w:type="dxa" w:w="1440"/>
            <w:shd w:fill="FFDCE0" w:val="clear"/>
          </w:tcPr>
          <w:p>
            <w:r>
              <w:rPr>
                <w:sz w:val="17"/>
              </w:rPr>
              <w:t>1,596</w:t>
            </w:r>
          </w:p>
        </w:tc>
        <w:tc>
          <w:tcPr>
            <w:tcW w:type="dxa" w:w="1440"/>
            <w:shd w:fill="FFDCE0" w:val="clear"/>
          </w:tcPr>
          <w:p>
            <w:r>
              <w:rPr>
                <w:b/>
                <w:color w:val="C00000"/>
                <w:sz w:val="17"/>
              </w:rPr>
              <w:t>-9.7%</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1,230</w:t>
            </w:r>
          </w:p>
        </w:tc>
        <w:tc>
          <w:tcPr>
            <w:tcW w:type="dxa" w:w="1440"/>
            <w:shd w:fill="FFDCE0" w:val="clear"/>
          </w:tcPr>
          <w:p>
            <w:r>
              <w:rPr>
                <w:b/>
                <w:sz w:val="17"/>
              </w:rPr>
              <w:t>1,412</w:t>
            </w:r>
          </w:p>
        </w:tc>
        <w:tc>
          <w:tcPr>
            <w:tcW w:type="dxa" w:w="1440"/>
            <w:shd w:fill="FFDCE0" w:val="clear"/>
          </w:tcPr>
          <w:p>
            <w:r>
              <w:rPr>
                <w:sz w:val="17"/>
              </w:rPr>
              <w:t>1,594</w:t>
            </w:r>
          </w:p>
        </w:tc>
        <w:tc>
          <w:tcPr>
            <w:tcW w:type="dxa" w:w="1440"/>
            <w:shd w:fill="FFDCE0" w:val="clear"/>
          </w:tcPr>
          <w:p>
            <w:r>
              <w:rPr>
                <w:b/>
                <w:color w:val="C00000"/>
                <w:sz w:val="17"/>
              </w:rPr>
              <w:t>-10.6%</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1,206</w:t>
            </w:r>
          </w:p>
        </w:tc>
        <w:tc>
          <w:tcPr>
            <w:tcW w:type="dxa" w:w="1440"/>
            <w:shd w:fill="FFDCE0" w:val="clear"/>
          </w:tcPr>
          <w:p>
            <w:r>
              <w:rPr>
                <w:b/>
                <w:sz w:val="17"/>
              </w:rPr>
              <w:t>1,398</w:t>
            </w:r>
          </w:p>
        </w:tc>
        <w:tc>
          <w:tcPr>
            <w:tcW w:type="dxa" w:w="1440"/>
            <w:shd w:fill="FFDCE0" w:val="clear"/>
          </w:tcPr>
          <w:p>
            <w:r>
              <w:rPr>
                <w:sz w:val="17"/>
              </w:rPr>
              <w:t>1,591</w:t>
            </w:r>
          </w:p>
        </w:tc>
        <w:tc>
          <w:tcPr>
            <w:tcW w:type="dxa" w:w="1440"/>
            <w:shd w:fill="FFDCE0" w:val="clear"/>
          </w:tcPr>
          <w:p>
            <w:r>
              <w:rPr>
                <w:b/>
                <w:color w:val="C00000"/>
                <w:sz w:val="17"/>
              </w:rPr>
              <w:t>-11.5%</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1,183</w:t>
            </w:r>
          </w:p>
        </w:tc>
        <w:tc>
          <w:tcPr>
            <w:tcW w:type="dxa" w:w="1440"/>
            <w:shd w:fill="FFDCE0" w:val="clear"/>
          </w:tcPr>
          <w:p>
            <w:r>
              <w:rPr>
                <w:b/>
                <w:sz w:val="17"/>
              </w:rPr>
              <w:t>1,385</w:t>
            </w:r>
          </w:p>
        </w:tc>
        <w:tc>
          <w:tcPr>
            <w:tcW w:type="dxa" w:w="1440"/>
            <w:shd w:fill="FFDCE0" w:val="clear"/>
          </w:tcPr>
          <w:p>
            <w:r>
              <w:rPr>
                <w:sz w:val="17"/>
              </w:rPr>
              <w:t>1,587</w:t>
            </w:r>
          </w:p>
        </w:tc>
        <w:tc>
          <w:tcPr>
            <w:tcW w:type="dxa" w:w="1440"/>
            <w:shd w:fill="FFDCE0" w:val="clear"/>
          </w:tcPr>
          <w:p>
            <w:r>
              <w:rPr>
                <w:b/>
                <w:color w:val="C00000"/>
                <w:sz w:val="17"/>
              </w:rPr>
              <w:t>-12.4%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1,161</w:t>
            </w:r>
          </w:p>
        </w:tc>
        <w:tc>
          <w:tcPr>
            <w:tcW w:type="dxa" w:w="1440"/>
            <w:shd w:fill="FFDCE0" w:val="clear"/>
          </w:tcPr>
          <w:p>
            <w:r>
              <w:rPr>
                <w:b/>
                <w:sz w:val="17"/>
              </w:rPr>
              <w:t>1,372</w:t>
            </w:r>
          </w:p>
        </w:tc>
        <w:tc>
          <w:tcPr>
            <w:tcW w:type="dxa" w:w="1440"/>
            <w:shd w:fill="FFDCE0" w:val="clear"/>
          </w:tcPr>
          <w:p>
            <w:r>
              <w:rPr>
                <w:sz w:val="17"/>
              </w:rPr>
              <w:t>1,583</w:t>
            </w:r>
          </w:p>
        </w:tc>
        <w:tc>
          <w:tcPr>
            <w:tcW w:type="dxa" w:w="1440"/>
            <w:shd w:fill="FFDCE0" w:val="clear"/>
          </w:tcPr>
          <w:p>
            <w:r>
              <w:rPr>
                <w:b/>
                <w:color w:val="C00000"/>
                <w:sz w:val="17"/>
              </w:rPr>
              <w:t>-13.2%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39,80 milliards FCFA, un niveau modeste qui la positionne parmi les valeurs de taille moyenne sur la BRVM. Les ratios de valorisation traditionnels (BPA, PER, P/B, EV/EBITDA) ne sont pas calculables en raison de l'absence de données financières structurées récentes dans la base, ce qui constitue une limite importante pour l'évaluation relative du titre. Toutefois, sur la base des rapports fondamentaux disponibles, le BPA ressortirait à environ 40 FCFA pour l'exercice 2023 (résultat net de 1,01 milliard FCFA pour environ 25,2 millions d'actions), ce qui impliquerait un PER d'environ 39,5x, nettement supérieur à la moyenne BRVM de 8-12x. Cette situation traduit une valorisation exigeante au regard des bénéfices actuels, bien que les perspectives de rebond et le changement d'actionnariat puissent justifier une prime de repositionnement stratégique.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le titre SEMC a enregistré une dépréciation substantielle de -17,92%, passant de ses niveaux initiaux à un cours actuel de 1 580 FCFA, avec toutefois un rebond marqué de +5,33% lors de la dernière séance, suggérant un possible retour des acheteurs. Le range de trading s'étend de 1 350 FCFA (plus bas) à 1 940 FCFA (plus haut), illustrant une amplitude de variation de près de 44% sur la période. La moyenne du cours s'établit à 1 547 FCFA, légèrement supérieure à la médiane de 1 520 FCFA, tandis que le mode est à 1 500 FCFA, indiquant une distribution asymétrique positive (skewness de 1,695) où le cours a passé davantage de séances sous sa moyenne. L'écart-type de 107 FCFA représente un coefficient de variation de 6,9%, reflétant une dispersion modérée autour de la moyenne. Le kurtosis excédentaire de 3,768 signale une distribution leptokurtique avec des queues épaisses, impliquant un risque de mouvements extrêmes plus élevé que la normale. La volatilité annualisée de 50,6% classe SEMC parmi les titres à très forte volatilité (&gt;30%), confirmant un profil de risque élevé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à 1 522,5 FCFA et la MM50 à 1 497,9 FCFA sont toutes deux inférieures au cours actuel de 1 580 FCFA, configurant une tendance haussière à court et moyen terme. Le croisement positif des moyennes mobiles (MM20 &gt; MM50) renforce le signal d'achat, indiquant que le momentum haussier récent pourrait se poursuivre.</w:t>
      </w:r>
    </w:p>
    <w:p>
      <w:pPr>
        <w:spacing w:after="120" w:line="276" w:lineRule="auto"/>
      </w:pPr>
      <w:r>
        <w:t>**Bandes de Bollinger** : Le cours évolue à 1 580 FCFA, positionné entre la borne supérieure à 1 615,6 FCFA et la borne inférieure à 1 429,4 FCFA. La largeur des bandes reflète une volatilité soutenue, mais le prix se situe dans la moitié supérieure du canal, suggérant une pression acheteuse modérée sans atteindre la zone de surachat extrême. La décision neutre indique une absence de signal directionnel fort.</w:t>
      </w:r>
    </w:p>
    <w:p>
      <w:pPr>
        <w:spacing w:after="120" w:line="276" w:lineRule="auto"/>
      </w:pPr>
      <w:r>
        <w:t>**MACD** : La valeur du MACD à 11,104 est supérieure à son signal à 9,304, confirmant un momentum haussier en phase d'accélération. L'écart positif entre la ligne MACD et sa ligne de signal suggère que la dynamique acheteuse gagne en vigueur, justifiant la décision d'achat.</w:t>
      </w:r>
    </w:p>
    <w:p>
      <w:pPr>
        <w:spacing w:after="120" w:line="276" w:lineRule="auto"/>
      </w:pPr>
      <w:r>
        <w:t>**RSI** : À 58,182, le RSI se situe dans la zone neutre (30-70), indiquant un équilibre relatif entre pressions acheteuses et vendeuses. Cette valeur n'atteint pas les seuils extrêmes de surachat (&gt;70) ou de survente (&lt;30), laissant une marge de progression avant une éventuelle correction technique.</w:t>
      </w:r>
    </w:p>
    <w:p>
      <w:pPr>
        <w:spacing w:after="120" w:line="276" w:lineRule="auto"/>
      </w:pPr>
      <w:r>
        <w:t>**Stochastique** : Le %K à 86,667 est nettement supérieur au %D à 54,444, mais cette configuration place le titre en zone de surachat technique. Le croisement potentiel des deux lignes pourrait signaler un retournement baissier à court terme, justifiant la décision de vente.</w:t>
      </w:r>
    </w:p>
    <w:p>
      <w:pPr>
        <w:spacing w:after="120" w:line="276" w:lineRule="auto"/>
      </w:pPr>
      <w:r>
        <w:t>**Conclusion technique** : La configuration technique de SEMC présente un tableau contrasté. Les moyennes mobiles et le MACD plaident en faveur d'une poursuite du mouvement haussier, tandis que le stochastique suggère une correction imminente après une progression rapide. Le RSI neutre et les bandes de Bollinger sans signal directionnel net indiquent une phase de consolidation potentielle. La prudence est recommandée à court terme malgré la tendance positive sous-jacente.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rapports financiers disponibles couvrent les exercices 2022 et 2023, avec des données contrastées. Pour l'exercice 2023 (rapport du 31/12/2024), le chiffre d'affaires s'établit à 27,88 milliards FCFA, en baisse de 6% par rapport à 2022 (29,60 milliards FCFA), tandis que le résultat net chute de 74% à 1,01 milliard FCFA (contre 3,86 milliards FCFA en 2022), ramenant la marge nette à 3,6% contre 13% précédemment. Le rapport du 1er trimestre 2023 (daté du 31/12/2023) montre une dynamique plus favorable avec un CA trimestriel de 7,65 milliards FCFA (+16,5% vs T1 2022) et un bénéfice net de 855,65 millions FCFA (+37,9%), suggérant des estimations annuelles potentiellement supérieures aux réalisations effectives. Les rapports de 2022 (datés du 31/12/2022 et 31/12/2023) présentent des données consolidées divergentes (CA de 125,4 milliards FCFA) qui semblent inclure le périmètre Eviosys élargi, créant une confusion sur le périmètre réel de la société cotée. La politique de dividende est nulle depuis 2022, la société privilégiant la conservation de trésorerie (3,35 milliards FCFA) pour financer sa relance. Le rachat par Sonoco Products Company (finalisé en décembre 2024) constitue un tournant stratégique majeur, avec des objectifs de CA de 32 milliards FCFA pour 2024 (+18%), portés par les bouchons couronnes (+61% en volume) et les exportations. La suspension de la cote BRVM depuis janvier 2024 (flottant insuffisant de 10,42% vs 15% requis) représente un risque majeur de liquidité. Les fondamentaux montrent une entreprise en transition, avec une rentabilité dégradée mais des perspectives de redressement soutenues par un actionnaire industriel de premier plan.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fait ressortir des signaux contrastés pour SEMC. Sur le plan de la valorisation, l'absence de ratios calculables et le PER implicite élevé suggèrent une surévaluation relative, bien que le repositionnement stratégique puisse justifier une prime. Le comportement du cours sur 100 jours (-17,92%) avec une volatilité annualisée de 50,6% et un kurtosis élevé témoigne d'un profil risqué, malgré le rebond récent de +5,33%. Les indicateurs techniques sont partagés entre signaux d'achat (MM, MACD) et de vente (stochastique), indiquant une absence de consensus directionnel. Les fondamentaux montrent une dégradation marquée en 2023 (marge nette à 3,6%) mais des perspectives de redressement avec l'arrivée de Sonoco et un objectif de CA de 32 milliards FCFA. Les prédictions IA projetant une baisse progressive vers 1 441 FCFA à J+10 contredisent les signaux techniques haussiers récents, suggérant une correction à court terme. La convergence entre la faiblesse des fondamentaux récents, la valorisation exigeante et les prédictions baissières conduit à une recommandation de **CONSERVER** avec un niveau de confiance **Moyen** et un risque global **Élevé**. L'horizon d'investissement optimal serait le **moyen terme (3-12 mois)**, en attendant la confirmation du redressement opérationnel et la levée de la suspension de cote.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1197.78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5,354 titres</w:t>
            </w:r>
          </w:p>
        </w:tc>
        <w:tc>
          <w:tcPr>
            <w:tcW w:type="dxa" w:w="2268"/>
            <w:shd w:fill="FFF2CC" w:val="clear"/>
          </w:tcPr>
          <w:p>
            <w:r>
              <w:rPr>
                <w:b/>
                <w:color w:val="503200"/>
                <w:sz w:val="16"/>
              </w:rPr>
              <w:t xml:space="preserve">Cours actuel : </w:t>
            </w:r>
            <w:r>
              <w:rPr>
                <w:color w:val="000000"/>
                <w:sz w:val="17"/>
              </w:rPr>
              <w:t>38,500 FCFA</w:t>
            </w:r>
          </w:p>
          <w:p>
            <w:r>
              <w:rPr>
                <w:b/>
                <w:color w:val="503200"/>
                <w:sz w:val="16"/>
              </w:rPr>
              <w:t xml:space="preserve">Var. 100 jours : </w:t>
            </w:r>
            <w:r>
              <w:rPr>
                <w:b/>
                <w:color w:val="007800"/>
                <w:sz w:val="17"/>
              </w:rPr>
              <w:t>+13.24%</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5.32% (Moyenne) — μ=37,237 FCFA, σ=1,982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β=0.6212 (Défensif) — Cov=0.000023, Var(idx)=0.000037, ρ=0.249,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σ_j=1.52%/j (Stable) — Vol. annualisée≈24.1%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37,197</w:t>
            </w:r>
          </w:p>
        </w:tc>
        <w:tc>
          <w:tcPr>
            <w:tcW w:type="dxa" w:w="1440"/>
            <w:shd w:fill="FAFAFA" w:val="clear"/>
          </w:tcPr>
          <w:p>
            <w:r>
              <w:rPr>
                <w:b/>
                <w:sz w:val="17"/>
              </w:rPr>
              <w:t>38,060</w:t>
            </w:r>
          </w:p>
        </w:tc>
        <w:tc>
          <w:tcPr>
            <w:tcW w:type="dxa" w:w="1440"/>
            <w:shd w:fill="FAFAFA" w:val="clear"/>
          </w:tcPr>
          <w:p>
            <w:r>
              <w:rPr>
                <w:sz w:val="17"/>
              </w:rPr>
              <w:t>38,923</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36,765</w:t>
            </w:r>
          </w:p>
        </w:tc>
        <w:tc>
          <w:tcPr>
            <w:tcW w:type="dxa" w:w="1440"/>
            <w:shd w:fill="FAFAFA" w:val="clear"/>
          </w:tcPr>
          <w:p>
            <w:r>
              <w:rPr>
                <w:b/>
                <w:sz w:val="17"/>
              </w:rPr>
              <w:t>37,982</w:t>
            </w:r>
          </w:p>
        </w:tc>
        <w:tc>
          <w:tcPr>
            <w:tcW w:type="dxa" w:w="1440"/>
            <w:shd w:fill="FAFAFA" w:val="clear"/>
          </w:tcPr>
          <w:p>
            <w:r>
              <w:rPr>
                <w:sz w:val="17"/>
              </w:rPr>
              <w:t>39,200</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36,404</w:t>
            </w:r>
          </w:p>
        </w:tc>
        <w:tc>
          <w:tcPr>
            <w:tcW w:type="dxa" w:w="1440"/>
            <w:shd w:fill="FAFAFA" w:val="clear"/>
          </w:tcPr>
          <w:p>
            <w:r>
              <w:rPr>
                <w:b/>
                <w:sz w:val="17"/>
              </w:rPr>
              <w:t>37,892</w:t>
            </w:r>
          </w:p>
        </w:tc>
        <w:tc>
          <w:tcPr>
            <w:tcW w:type="dxa" w:w="1440"/>
            <w:shd w:fill="FAFAFA" w:val="clear"/>
          </w:tcPr>
          <w:p>
            <w:r>
              <w:rPr>
                <w:sz w:val="17"/>
              </w:rPr>
              <w:t>39,380</w:t>
            </w:r>
          </w:p>
        </w:tc>
        <w:tc>
          <w:tcPr>
            <w:tcW w:type="dxa" w:w="1440"/>
            <w:shd w:fill="FAFAFA" w:val="clear"/>
          </w:tcPr>
          <w:p>
            <w:r>
              <w:rPr>
                <w:b/>
                <w:color w:val="C00000"/>
                <w:sz w:val="17"/>
              </w:rPr>
              <w:t>-1.6%</w:t>
            </w:r>
          </w:p>
        </w:tc>
      </w:tr>
      <w:tr>
        <w:tc>
          <w:tcPr>
            <w:tcW w:type="dxa" w:w="1440"/>
            <w:shd w:fill="FAFAFA" w:val="clear"/>
          </w:tcPr>
          <w:p>
            <w:r>
              <w:rPr>
                <w:sz w:val="17"/>
              </w:rPr>
              <w:t>J+4  Moyenne</w:t>
            </w:r>
          </w:p>
        </w:tc>
        <w:tc>
          <w:tcPr>
            <w:tcW w:type="dxa" w:w="1440"/>
            <w:shd w:fill="FAFAFA" w:val="clear"/>
          </w:tcPr>
          <w:p>
            <w:r>
              <w:rPr>
                <w:sz w:val="17"/>
              </w:rPr>
              <w:t>2026-09-10</w:t>
            </w:r>
          </w:p>
        </w:tc>
        <w:tc>
          <w:tcPr>
            <w:tcW w:type="dxa" w:w="1440"/>
            <w:shd w:fill="FAFAFA" w:val="clear"/>
          </w:tcPr>
          <w:p>
            <w:r>
              <w:rPr>
                <w:sz w:val="17"/>
              </w:rPr>
              <w:t>36,091</w:t>
            </w:r>
          </w:p>
        </w:tc>
        <w:tc>
          <w:tcPr>
            <w:tcW w:type="dxa" w:w="1440"/>
            <w:shd w:fill="FAFAFA" w:val="clear"/>
          </w:tcPr>
          <w:p>
            <w:r>
              <w:rPr>
                <w:b/>
                <w:sz w:val="17"/>
              </w:rPr>
              <w:t>37,805</w:t>
            </w:r>
          </w:p>
        </w:tc>
        <w:tc>
          <w:tcPr>
            <w:tcW w:type="dxa" w:w="1440"/>
            <w:shd w:fill="FAFAFA" w:val="clear"/>
          </w:tcPr>
          <w:p>
            <w:r>
              <w:rPr>
                <w:sz w:val="17"/>
              </w:rPr>
              <w:t>39,519</w:t>
            </w:r>
          </w:p>
        </w:tc>
        <w:tc>
          <w:tcPr>
            <w:tcW w:type="dxa" w:w="1440"/>
            <w:shd w:fill="FAFAFA" w:val="clear"/>
          </w:tcPr>
          <w:p>
            <w:r>
              <w:rPr>
                <w:b/>
                <w:color w:val="C00000"/>
                <w:sz w:val="17"/>
              </w:rPr>
              <w:t>-1.8%</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35,810</w:t>
            </w:r>
          </w:p>
        </w:tc>
        <w:tc>
          <w:tcPr>
            <w:tcW w:type="dxa" w:w="1440"/>
            <w:shd w:fill="FFDCE0" w:val="clear"/>
          </w:tcPr>
          <w:p>
            <w:r>
              <w:rPr>
                <w:b/>
                <w:sz w:val="17"/>
              </w:rPr>
              <w:t>37,722</w:t>
            </w:r>
          </w:p>
        </w:tc>
        <w:tc>
          <w:tcPr>
            <w:tcW w:type="dxa" w:w="1440"/>
            <w:shd w:fill="FFDCE0" w:val="clear"/>
          </w:tcPr>
          <w:p>
            <w:r>
              <w:rPr>
                <w:sz w:val="17"/>
              </w:rPr>
              <w:t>39,634</w:t>
            </w:r>
          </w:p>
        </w:tc>
        <w:tc>
          <w:tcPr>
            <w:tcW w:type="dxa" w:w="1440"/>
            <w:shd w:fill="FFDCE0" w:val="clear"/>
          </w:tcPr>
          <w:p>
            <w:r>
              <w:rPr>
                <w:b/>
                <w:color w:val="C00000"/>
                <w:sz w:val="17"/>
              </w:rPr>
              <w:t>-2.0%</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35,552</w:t>
            </w:r>
          </w:p>
        </w:tc>
        <w:tc>
          <w:tcPr>
            <w:tcW w:type="dxa" w:w="1440"/>
            <w:shd w:fill="FFDCE0" w:val="clear"/>
          </w:tcPr>
          <w:p>
            <w:r>
              <w:rPr>
                <w:b/>
                <w:sz w:val="17"/>
              </w:rPr>
              <w:t>37,642</w:t>
            </w:r>
          </w:p>
        </w:tc>
        <w:tc>
          <w:tcPr>
            <w:tcW w:type="dxa" w:w="1440"/>
            <w:shd w:fill="FFDCE0" w:val="clear"/>
          </w:tcPr>
          <w:p>
            <w:r>
              <w:rPr>
                <w:sz w:val="17"/>
              </w:rPr>
              <w:t>39,732</w:t>
            </w:r>
          </w:p>
        </w:tc>
        <w:tc>
          <w:tcPr>
            <w:tcW w:type="dxa" w:w="1440"/>
            <w:shd w:fill="FFDCE0" w:val="clear"/>
          </w:tcPr>
          <w:p>
            <w:r>
              <w:rPr>
                <w:b/>
                <w:color w:val="C00000"/>
                <w:sz w:val="17"/>
              </w:rPr>
              <w:t>-2.2%</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35,312</w:t>
            </w:r>
          </w:p>
        </w:tc>
        <w:tc>
          <w:tcPr>
            <w:tcW w:type="dxa" w:w="1440"/>
            <w:shd w:fill="FFDCE0" w:val="clear"/>
          </w:tcPr>
          <w:p>
            <w:r>
              <w:rPr>
                <w:b/>
                <w:sz w:val="17"/>
              </w:rPr>
              <w:t>37,564</w:t>
            </w:r>
          </w:p>
        </w:tc>
        <w:tc>
          <w:tcPr>
            <w:tcW w:type="dxa" w:w="1440"/>
            <w:shd w:fill="FFDCE0" w:val="clear"/>
          </w:tcPr>
          <w:p>
            <w:r>
              <w:rPr>
                <w:sz w:val="17"/>
              </w:rPr>
              <w:t>39,817</w:t>
            </w:r>
          </w:p>
        </w:tc>
        <w:tc>
          <w:tcPr>
            <w:tcW w:type="dxa" w:w="1440"/>
            <w:shd w:fill="FFDCE0" w:val="clear"/>
          </w:tcPr>
          <w:p>
            <w:r>
              <w:rPr>
                <w:b/>
                <w:color w:val="C00000"/>
                <w:sz w:val="17"/>
              </w:rPr>
              <w:t>-2.4%</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35,085</w:t>
            </w:r>
          </w:p>
        </w:tc>
        <w:tc>
          <w:tcPr>
            <w:tcW w:type="dxa" w:w="1440"/>
            <w:shd w:fill="FFDCE0" w:val="clear"/>
          </w:tcPr>
          <w:p>
            <w:r>
              <w:rPr>
                <w:b/>
                <w:sz w:val="17"/>
              </w:rPr>
              <w:t>37,488</w:t>
            </w:r>
          </w:p>
        </w:tc>
        <w:tc>
          <w:tcPr>
            <w:tcW w:type="dxa" w:w="1440"/>
            <w:shd w:fill="FFDCE0" w:val="clear"/>
          </w:tcPr>
          <w:p>
            <w:r>
              <w:rPr>
                <w:sz w:val="17"/>
              </w:rPr>
              <w:t>39,891</w:t>
            </w:r>
          </w:p>
        </w:tc>
        <w:tc>
          <w:tcPr>
            <w:tcW w:type="dxa" w:w="1440"/>
            <w:shd w:fill="FFDCE0" w:val="clear"/>
          </w:tcPr>
          <w:p>
            <w:r>
              <w:rPr>
                <w:b/>
                <w:color w:val="C00000"/>
                <w:sz w:val="17"/>
              </w:rPr>
              <w:t>-2.6%</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34,869</w:t>
            </w:r>
          </w:p>
        </w:tc>
        <w:tc>
          <w:tcPr>
            <w:tcW w:type="dxa" w:w="1440"/>
            <w:shd w:fill="FFDCE0" w:val="clear"/>
          </w:tcPr>
          <w:p>
            <w:r>
              <w:rPr>
                <w:b/>
                <w:sz w:val="17"/>
              </w:rPr>
              <w:t>37,413</w:t>
            </w:r>
          </w:p>
        </w:tc>
        <w:tc>
          <w:tcPr>
            <w:tcW w:type="dxa" w:w="1440"/>
            <w:shd w:fill="FFDCE0" w:val="clear"/>
          </w:tcPr>
          <w:p>
            <w:r>
              <w:rPr>
                <w:sz w:val="17"/>
              </w:rPr>
              <w:t>39,957</w:t>
            </w:r>
          </w:p>
        </w:tc>
        <w:tc>
          <w:tcPr>
            <w:tcW w:type="dxa" w:w="1440"/>
            <w:shd w:fill="FFDCE0" w:val="clear"/>
          </w:tcPr>
          <w:p>
            <w:r>
              <w:rPr>
                <w:b/>
                <w:color w:val="C00000"/>
                <w:sz w:val="17"/>
              </w:rPr>
              <w:t>-2.8%</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34,664</w:t>
            </w:r>
          </w:p>
        </w:tc>
        <w:tc>
          <w:tcPr>
            <w:tcW w:type="dxa" w:w="1440"/>
            <w:shd w:fill="FFDCE0" w:val="clear"/>
          </w:tcPr>
          <w:p>
            <w:r>
              <w:rPr>
                <w:b/>
                <w:sz w:val="17"/>
              </w:rPr>
              <w:t>37,340</w:t>
            </w:r>
          </w:p>
        </w:tc>
        <w:tc>
          <w:tcPr>
            <w:tcW w:type="dxa" w:w="1440"/>
            <w:shd w:fill="FFDCE0" w:val="clear"/>
          </w:tcPr>
          <w:p>
            <w:r>
              <w:rPr>
                <w:sz w:val="17"/>
              </w:rPr>
              <w:t>40,016</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environ 1 197,78 milliards FCFA, ce qui en fait l'une des plus importantes capitalisations de la BRVM, reflétant la position dominante de la banque dans le paysage financier ivoirien et régional. Avec un BPA de 3 258 FCFA, chaque action détenue génère un bénéfice substantiel, justifiant un PER de 11,8x. Ce ratio se situe dans la fourchette haute de la moyenne historique de la BRVM (8-12x), indiquant que le marché valorise correctement les bénéfices de la banque, sans décote ni prime excessive. Le P/B de 2,42x montre que les investisseurs sont prêts à payer une prime de 142% par rapport à la valeur comptable des actifs, une prime de croissance qui témoigne de la confiance dans la rentabilité future (ROE &gt; 20%). Enfin, l'EV/EBITDA de 24,6x est particulièrement exigeant, signalant que la valeur totale de l'entreprise (capitaux propres + dettes) est élevée par rapport à sa capacité opérationnelle brute, ce qui pourrait refléter une anticipation de croissance soutenue ou une prime de qualité pour ce leader de marché.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 enregistré une progression totale de +13,24%, avec une dernière séance stable (0,00%), démontrant une dynamique haussière soutenue sur la période. Le cours a évolué dans un range de trading de 6 500 FCFA, entre un plus bas de 32 800 FCFA et un plus haut de 39 300 FCFA, avant de clôturer à 38 500 FCFA. La moyenne du cours sur la période (37 237 FCFA) est inférieure à la médiane (38 000 FCFA), et le skewness négatif (-0.945) confirme une asymétrie avec des journées plus fréquentes au-dessus de la moyenne, indiquant une pression acheteuse dominante. L'écart-type de 1 992 FCFA (CV=5,3%) révèle une dispersion modérée des prix autour de la moyenne, tandis que le kurtosis négatif (-0.461) suggère une distribution mésokurtique, sans risque de mouvements extrêmes ou de pics inhabituels. La volatilité annualisée de 24,1% classe le titre dans une catégorie de risque modéré (15-30%), ce qui est cohérent avec une valeur bancaire de premier plan, offrant un équilibre entre potentiel de rendement et stabilité relative.</w:t>
      </w:r>
    </w:p>
    <w:p>
      <w:pPr>
        <w:spacing w:after="120" w:line="276" w:lineRule="auto" w:before="240"/>
      </w:pPr>
      <w:r>
        <w:rPr>
          <w:b/>
          <w:color w:val="003366"/>
          <w:sz w:val="24"/>
        </w:rPr>
        <w:t>**PARTIE 2 : ANALYSE TECHNIQUE DÉTAILLÉE**</w:t>
      </w:r>
    </w:p>
    <w:p>
      <w:pPr>
        <w:spacing w:after="120" w:line="276" w:lineRule="auto"/>
      </w:pPr>
      <w:r>
        <w:t>Les Moyennes Mobiles (MM20 à 38 600 FCFA et MM50 à 38 440 FCFA) sont toutes deux légèrement au-dessus du cours actuel de 38 500 FCFA. Le cours se situe sous sa moyenne à court terme mais au-dessus de sa moyenne à long terme, créant un signal d'achat car la tendance de fond reste positive, la MM50 servant de support dynamique solide.</w:t>
      </w:r>
    </w:p>
    <w:p>
      <w:pPr>
        <w:spacing w:after="120" w:line="276" w:lineRule="auto"/>
      </w:pPr>
      <w:r>
        <w:t>Les Bandes de Bollinger délimitent une fourchette entre 37 520 FCFA (borne inférieure) et 39 680 FCFA (borne supérieure). Le cours, positionné presque au centre de ces bandes, indique une volatilité normale et une absence de pression directionnelle forte. La décision est neutre, le prix n'étant ni suracheté ni survendu, laissant place à une consolidation avant la prochaine impulsion.</w:t>
      </w:r>
    </w:p>
    <w:p>
      <w:pPr>
        <w:spacing w:after="120" w:line="276" w:lineRule="auto"/>
      </w:pPr>
      <w:r>
        <w:t>Le MACD affiche une valeur négative de -36,18, passée sous son signal (5,48), ce qui génère un signal de vente. Cette configuration indique un affaiblissement du momentum haussier à court terme, malgré la tendance positive de fond. Les investisseurs pourraient assister à une phase de correction ou de consolidation avant une reprise éventuelle.</w:t>
      </w:r>
    </w:p>
    <w:p>
      <w:pPr>
        <w:spacing w:after="120" w:line="276" w:lineRule="auto"/>
      </w:pPr>
      <w:r>
        <w:t>Le RSI, à 46,02, se situe dans la zone neutre (30-70), sans signal directionnel fort. Il indique que le titre n'est ni suracheté ni survendu, laissant une marge de manœuvre dans les deux sens. Cette neutralité suggère une phase d'attente du marché, les investisseurs digérant les gains récents.</w:t>
      </w:r>
    </w:p>
    <w:p>
      <w:pPr>
        <w:spacing w:after="120" w:line="276" w:lineRule="auto"/>
      </w:pPr>
      <w:r>
        <w:t>Le Stochastique (%K=49,84, %D=41,17) montre que %K est au-dessus de %D, indiquant un momentum haussier naissant, mais les deux valeurs restent en zone neutre. Ce croisement positif, bien que timide, pourrait précéder un mouvement haussier à court terme, mais la prudence reste de mise tant que les valeurs ne dépassent pas 50.</w:t>
      </w:r>
    </w:p>
    <w:p>
      <w:pPr>
        <w:spacing w:after="120" w:line="276" w:lineRule="auto"/>
      </w:pPr>
      <w:r>
        <w:t>La conclusion technique est mitigée : la tendance de fond reste positive (MM), mais les indicateurs de momentum (MACD, RSI) montrent une faiblesse à court terme. Le Stochastique esquisse un retour de l'achat, mais la prudence est recommandée. Le titre semble dans une phase de consolidation après une belle progression, avec un potentiel de reprise si les supports clés (MM50) tiennent.</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SGBC révèlent une banque extrêmement solide et rentable. Le Produit Net Bancaire (PNB) s'établit à 276,05 milliards FCFA, générant un résultat net de 101,35 milliards FCFA, soit une marge nette de 36,7%. La rentabilité des fonds propres (ROE) est exceptionnelle à 20,47%, tandis que le ROA atteint 2,69%, démontrant une utilisation efficace des actifs. Le coefficient d'exploitation de 38,75% est excellent, bien en dessous du seuil de 60% considéré comme efficace, et confirme une maîtrise rigoureuse des coûts. La banque affiche un ratio de solvabilité de 17,7% (S1 2025), bien au-dessus du minimum réglementaire de 12,5%, et une notation AAA, unique sur le marché. Les dépôts clients (2 907,68 Mds) dépassent largement les créances sur la clientèle (2 546,29 Mds), avec un ratio prêts/dépôts amélioré à 84,6% (rapport T3 2025), renforçant la solidité de la liquidité. Les rapports trimestriels confirment cette dynamique : le rapport du 30 septembre 2025 fait état d'un PNB cumulé de 201,0 milliards FCFA (+2,5%) et d'un résultat net de 83,3 milliards FCFA (+11,7%), porté par une baisse des frais généraux (-2,7%) et un coût du risque contenu. Sur la base de ces performances, on estime que l'exercice 2025 devrait dépasser les 105 milliards FCFA de résultat net, confirmant la tendance haussière des bénéfices (101,2 Mds en 2024, 83,3 Mds sur 9 mois en 2025). Le rapport annuel 2024 soulignait déjà une croissance de +4,1% du résultat net et une politique de dividende généreuse (1 863 FCFA par action, soit un rendement d'environ 4,8%). La banque est fondamentalement robuste, avec une croissance rentable, une efficacité opérationnelle remarquable et une gestion prudente du risque, bien que le taux de créances en souffrance (NPL) de 7,8% (S1 2025) nécessite une surveillance continue.</w:t>
      </w:r>
    </w:p>
    <w:p>
      <w:pPr>
        <w:spacing w:after="120" w:line="276" w:lineRule="auto" w:before="240"/>
      </w:pPr>
      <w:r>
        <w:rPr>
          <w:b/>
          <w:color w:val="003366"/>
          <w:sz w:val="24"/>
        </w:rPr>
        <w:t>**PARTIE 4 : CONCLUSION D'INVESTISSEMENT**</w:t>
      </w:r>
    </w:p>
    <w:p>
      <w:pPr>
        <w:spacing w:after="120" w:line="276" w:lineRule="auto"/>
      </w:pPr>
      <w:r>
        <w:t>La valorisation de SGBC (PER 11,8x, P/B 2,42x) est raisonnable pour un leader de marché avec un ROE supérieur à 20%, bien que l'EV/EBITDA de 24,6x soit exigeant. Le comportement du cours sur 100 jours (+13,24%) est favorable, avec une volatilité modérée (24,1%) et une distribution des rendements asymétrique positive, indiquant une confiance persistante des investisseurs. Les signaux techniques sont mitigés : la tendance de fond reste haussière (MM), mais le MACD et le RSI suggèrent une consolidation à court terme. Les fondamentaux sont exceptionnellement solides, avec une croissance du résultat net de +11,7% sur 9 mois en 2025 et des perspectives positives pour l'exercice complet. Les prédictions IA pour les 10 prochains jours (38 060 à 37 722 FCFA) indiquent une légère correction, contredisant légèrement la tendance haussière de fond mais confirmant les signaux techniques de consolidation. En synthèse, la convergence entre des fondamentaux robustes, une valorisation raisonnable et une tendance de fond positive, malgré des signaux techniques de court terme mitigés, conduit à une recommandation **ACHAT** pour les investisseurs de moyen et long terme. Le niveau de confiance est **Élevé** et le risque global est **Moyen**, principalement lié à la qualité du portefeuille de crédits (NPL en hausse). L'horizon d'investissement optimal est le **moyen terme (3-12 mois)** pour bénéficier de la croissance des bénéfices et du rendement du dividende, en attendant une meilleure entrée sur le court terme.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151.20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4,622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+9.59%</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7.75% (Moyenne) — μ=2,136 FCFA, σ=165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β=1.1009 (Neutre (suit le marché)) — Cov=0.000041, Var(idx)=0.000037, ρ=0.302,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2,179</w:t>
            </w:r>
          </w:p>
        </w:tc>
        <w:tc>
          <w:tcPr>
            <w:tcW w:type="dxa" w:w="1440"/>
            <w:shd w:fill="FFDCE0" w:val="clear"/>
          </w:tcPr>
          <w:p>
            <w:r>
              <w:rPr>
                <w:b/>
                <w:sz w:val="17"/>
              </w:rPr>
              <w:t>2,254</w:t>
            </w:r>
          </w:p>
        </w:tc>
        <w:tc>
          <w:tcPr>
            <w:tcW w:type="dxa" w:w="1440"/>
            <w:shd w:fill="FFDCE0" w:val="clear"/>
          </w:tcPr>
          <w:p>
            <w:r>
              <w:rPr>
                <w:sz w:val="17"/>
              </w:rPr>
              <w:t>2,329</w:t>
            </w:r>
          </w:p>
        </w:tc>
        <w:tc>
          <w:tcPr>
            <w:tcW w:type="dxa" w:w="1440"/>
            <w:shd w:fill="FFDCE0" w:val="clear"/>
          </w:tcPr>
          <w:p>
            <w:r>
              <w:rPr>
                <w:b/>
                <w:color w:val="C00000"/>
                <w:sz w:val="17"/>
              </w:rPr>
              <w:t>-6.1%</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2,047</w:t>
            </w:r>
          </w:p>
        </w:tc>
        <w:tc>
          <w:tcPr>
            <w:tcW w:type="dxa" w:w="1440"/>
            <w:shd w:fill="FFDCE0" w:val="clear"/>
          </w:tcPr>
          <w:p>
            <w:r>
              <w:rPr>
                <w:b/>
                <w:sz w:val="17"/>
              </w:rPr>
              <w:t>2,148</w:t>
            </w:r>
          </w:p>
        </w:tc>
        <w:tc>
          <w:tcPr>
            <w:tcW w:type="dxa" w:w="1440"/>
            <w:shd w:fill="FFDCE0" w:val="clear"/>
          </w:tcPr>
          <w:p>
            <w:r>
              <w:rPr>
                <w:sz w:val="17"/>
              </w:rPr>
              <w:t>2,249</w:t>
            </w:r>
          </w:p>
        </w:tc>
        <w:tc>
          <w:tcPr>
            <w:tcW w:type="dxa" w:w="1440"/>
            <w:shd w:fill="FFDCE0" w:val="clear"/>
          </w:tcPr>
          <w:p>
            <w:r>
              <w:rPr>
                <w:b/>
                <w:color w:val="C00000"/>
                <w:sz w:val="17"/>
              </w:rPr>
              <w:t>-10.5%</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1,935</w:t>
            </w:r>
          </w:p>
        </w:tc>
        <w:tc>
          <w:tcPr>
            <w:tcW w:type="dxa" w:w="1440"/>
            <w:shd w:fill="FFDCE0" w:val="clear"/>
          </w:tcPr>
          <w:p>
            <w:r>
              <w:rPr>
                <w:b/>
                <w:sz w:val="17"/>
              </w:rPr>
              <w:t>2,053</w:t>
            </w:r>
          </w:p>
        </w:tc>
        <w:tc>
          <w:tcPr>
            <w:tcW w:type="dxa" w:w="1440"/>
            <w:shd w:fill="FFDCE0" w:val="clear"/>
          </w:tcPr>
          <w:p>
            <w:r>
              <w:rPr>
                <w:sz w:val="17"/>
              </w:rPr>
              <w:t>2,171</w:t>
            </w:r>
          </w:p>
        </w:tc>
        <w:tc>
          <w:tcPr>
            <w:tcW w:type="dxa" w:w="1440"/>
            <w:shd w:fill="FFDCE0" w:val="clear"/>
          </w:tcPr>
          <w:p>
            <w:r>
              <w:rPr>
                <w:b/>
                <w:color w:val="C00000"/>
                <w:sz w:val="17"/>
              </w:rPr>
              <w:t>-14.5%</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1,843</w:t>
            </w:r>
          </w:p>
        </w:tc>
        <w:tc>
          <w:tcPr>
            <w:tcW w:type="dxa" w:w="1440"/>
            <w:shd w:fill="FFDCE0" w:val="clear"/>
          </w:tcPr>
          <w:p>
            <w:r>
              <w:rPr>
                <w:b/>
                <w:sz w:val="17"/>
              </w:rPr>
              <w:t>1,974</w:t>
            </w:r>
          </w:p>
        </w:tc>
        <w:tc>
          <w:tcPr>
            <w:tcW w:type="dxa" w:w="1440"/>
            <w:shd w:fill="FFDCE0" w:val="clear"/>
          </w:tcPr>
          <w:p>
            <w:r>
              <w:rPr>
                <w:sz w:val="17"/>
              </w:rPr>
              <w:t>2,106</w:t>
            </w:r>
          </w:p>
        </w:tc>
        <w:tc>
          <w:tcPr>
            <w:tcW w:type="dxa" w:w="1440"/>
            <w:shd w:fill="FFDCE0" w:val="clear"/>
          </w:tcPr>
          <w:p>
            <w:r>
              <w:rPr>
                <w:b/>
                <w:color w:val="C00000"/>
                <w:sz w:val="17"/>
              </w:rPr>
              <w:t>-17.7%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1,767</w:t>
            </w:r>
          </w:p>
        </w:tc>
        <w:tc>
          <w:tcPr>
            <w:tcW w:type="dxa" w:w="1440"/>
            <w:shd w:fill="FFDCE0" w:val="clear"/>
          </w:tcPr>
          <w:p>
            <w:r>
              <w:rPr>
                <w:b/>
                <w:sz w:val="17"/>
              </w:rPr>
              <w:t>1,909</w:t>
            </w:r>
          </w:p>
        </w:tc>
        <w:tc>
          <w:tcPr>
            <w:tcW w:type="dxa" w:w="1440"/>
            <w:shd w:fill="FFDCE0" w:val="clear"/>
          </w:tcPr>
          <w:p>
            <w:r>
              <w:rPr>
                <w:sz w:val="17"/>
              </w:rPr>
              <w:t>2,051</w:t>
            </w:r>
          </w:p>
        </w:tc>
        <w:tc>
          <w:tcPr>
            <w:tcW w:type="dxa" w:w="1440"/>
            <w:shd w:fill="FFDCE0" w:val="clear"/>
          </w:tcPr>
          <w:p>
            <w:r>
              <w:rPr>
                <w:b/>
                <w:color w:val="C00000"/>
                <w:sz w:val="17"/>
              </w:rPr>
              <w:t>-20.4%</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1,704</w:t>
            </w:r>
          </w:p>
        </w:tc>
        <w:tc>
          <w:tcPr>
            <w:tcW w:type="dxa" w:w="1440"/>
            <w:shd w:fill="FFDCE0" w:val="clear"/>
          </w:tcPr>
          <w:p>
            <w:r>
              <w:rPr>
                <w:b/>
                <w:sz w:val="17"/>
              </w:rPr>
              <w:t>1,855</w:t>
            </w:r>
          </w:p>
        </w:tc>
        <w:tc>
          <w:tcPr>
            <w:tcW w:type="dxa" w:w="1440"/>
            <w:shd w:fill="FFDCE0" w:val="clear"/>
          </w:tcPr>
          <w:p>
            <w:r>
              <w:rPr>
                <w:sz w:val="17"/>
              </w:rPr>
              <w:t>2,006</w:t>
            </w:r>
          </w:p>
        </w:tc>
        <w:tc>
          <w:tcPr>
            <w:tcW w:type="dxa" w:w="1440"/>
            <w:shd w:fill="FFDCE0" w:val="clear"/>
          </w:tcPr>
          <w:p>
            <w:r>
              <w:rPr>
                <w:b/>
                <w:color w:val="C00000"/>
                <w:sz w:val="17"/>
              </w:rPr>
              <w:t>-22.7%</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1,648</w:t>
            </w:r>
          </w:p>
        </w:tc>
        <w:tc>
          <w:tcPr>
            <w:tcW w:type="dxa" w:w="1440"/>
            <w:shd w:fill="FFDCE0" w:val="clear"/>
          </w:tcPr>
          <w:p>
            <w:r>
              <w:rPr>
                <w:b/>
                <w:sz w:val="17"/>
              </w:rPr>
              <w:t>1,807</w:t>
            </w:r>
          </w:p>
        </w:tc>
        <w:tc>
          <w:tcPr>
            <w:tcW w:type="dxa" w:w="1440"/>
            <w:shd w:fill="FFDCE0" w:val="clear"/>
          </w:tcPr>
          <w:p>
            <w:r>
              <w:rPr>
                <w:sz w:val="17"/>
              </w:rPr>
              <w:t>1,966</w:t>
            </w:r>
          </w:p>
        </w:tc>
        <w:tc>
          <w:tcPr>
            <w:tcW w:type="dxa" w:w="1440"/>
            <w:shd w:fill="FFDCE0" w:val="clear"/>
          </w:tcPr>
          <w:p>
            <w:r>
              <w:rPr>
                <w:b/>
                <w:color w:val="C00000"/>
                <w:sz w:val="17"/>
              </w:rPr>
              <w:t>-24.7%</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1,599</w:t>
            </w:r>
          </w:p>
        </w:tc>
        <w:tc>
          <w:tcPr>
            <w:tcW w:type="dxa" w:w="1440"/>
            <w:shd w:fill="FFDCE0" w:val="clear"/>
          </w:tcPr>
          <w:p>
            <w:r>
              <w:rPr>
                <w:b/>
                <w:sz w:val="17"/>
              </w:rPr>
              <w:t>1,765</w:t>
            </w:r>
          </w:p>
        </w:tc>
        <w:tc>
          <w:tcPr>
            <w:tcW w:type="dxa" w:w="1440"/>
            <w:shd w:fill="FFDCE0" w:val="clear"/>
          </w:tcPr>
          <w:p>
            <w:r>
              <w:rPr>
                <w:sz w:val="17"/>
              </w:rPr>
              <w:t>1,931</w:t>
            </w:r>
          </w:p>
        </w:tc>
        <w:tc>
          <w:tcPr>
            <w:tcW w:type="dxa" w:w="1440"/>
            <w:shd w:fill="FFDCE0" w:val="clear"/>
          </w:tcPr>
          <w:p>
            <w:r>
              <w:rPr>
                <w:b/>
                <w:color w:val="C00000"/>
                <w:sz w:val="17"/>
              </w:rPr>
              <w:t>-26.4%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1,555</w:t>
            </w:r>
          </w:p>
        </w:tc>
        <w:tc>
          <w:tcPr>
            <w:tcW w:type="dxa" w:w="1440"/>
            <w:shd w:fill="FFDCE0" w:val="clear"/>
          </w:tcPr>
          <w:p>
            <w:r>
              <w:rPr>
                <w:b/>
                <w:sz w:val="17"/>
              </w:rPr>
              <w:t>1,728</w:t>
            </w:r>
          </w:p>
        </w:tc>
        <w:tc>
          <w:tcPr>
            <w:tcW w:type="dxa" w:w="1440"/>
            <w:shd w:fill="FFDCE0" w:val="clear"/>
          </w:tcPr>
          <w:p>
            <w:r>
              <w:rPr>
                <w:sz w:val="17"/>
              </w:rPr>
              <w:t>1,900</w:t>
            </w:r>
          </w:p>
        </w:tc>
        <w:tc>
          <w:tcPr>
            <w:tcW w:type="dxa" w:w="1440"/>
            <w:shd w:fill="FFDCE0" w:val="clear"/>
          </w:tcPr>
          <w:p>
            <w:r>
              <w:rPr>
                <w:b/>
                <w:color w:val="C00000"/>
                <w:sz w:val="17"/>
              </w:rPr>
              <w:t>-28.0%</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1,515</w:t>
            </w:r>
          </w:p>
        </w:tc>
        <w:tc>
          <w:tcPr>
            <w:tcW w:type="dxa" w:w="1440"/>
            <w:shd w:fill="FFDCE0" w:val="clear"/>
          </w:tcPr>
          <w:p>
            <w:r>
              <w:rPr>
                <w:b/>
                <w:sz w:val="17"/>
              </w:rPr>
              <w:t>1,693</w:t>
            </w:r>
          </w:p>
        </w:tc>
        <w:tc>
          <w:tcPr>
            <w:tcW w:type="dxa" w:w="1440"/>
            <w:shd w:fill="FFDCE0" w:val="clear"/>
          </w:tcPr>
          <w:p>
            <w:r>
              <w:rPr>
                <w:sz w:val="17"/>
              </w:rPr>
              <w:t>1,871</w:t>
            </w:r>
          </w:p>
        </w:tc>
        <w:tc>
          <w:tcPr>
            <w:tcW w:type="dxa" w:w="1440"/>
            <w:shd w:fill="FFDCE0" w:val="clear"/>
          </w:tcPr>
          <w:p>
            <w:r>
              <w:rPr>
                <w:b/>
                <w:color w:val="C00000"/>
                <w:sz w:val="17"/>
              </w:rPr>
              <w:t>-29.5%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151,20 milliards FCFA, ce qui positionne la société parmi les valeurs moyennes de la BRVM, reflétant sa stature d'acteur majeur de la distribution pétrolière en Côte d'Ivoire. Avec un BPA de 96 FCFA, chaque action génère un bénéfice modeste, caractéristique des activités de distribution à faible marge. Le PER de 25,1x est nettement supérieur à la moyenne historique de la BRVM (8-12x), indiquant que les investisseurs paient une prime significative pour la croissance attendue, ce qui suggère une possible surévaluation ou des anticipations de redressement futur. Le P/B de 5,57x confirme cette prime, le marché valorisant le titre bien au-delà de sa valeur comptable, signe d'une confiance dans la capacité de la société à générer de la valeur. Enfin, l'EV/EBITDA de 13,3x, bien que dans la fourchette haute (10-15x), témoigne d'une valorisation exigeante par rapport à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SHEC affiche une progression de +9,59%, avec un cours actuel de 2 400 FCFA, et une stagnation lors de la dernière séance (+0,00%). Le cours a évolué dans une fourchette de 1 840 FCFA (plus bas) à 2 480 FCFA (plus haut), démontrant une amplitude de trading de 640 FCFA. La moyenne (2 136 FCFA) est inférieure à la médiane (2 160 FCFA), suggérant une distribution légèrement asymétrique avec des valeurs extrêmes basses. L'écart-type de 166 FCFA, avec un coefficient de variation de 7,8%, indique une dispersion modérée autour de la moyenne. Le kurtosis de -0,767 (mésokurtique) et le skewness de 0,287 confirment une distribution proche de la normale, sans risque de pics extrêmes. La volatilité annualisée de 35,2% classe le titre comme très volatil (&gt;30%), ce qui implique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Les moyennes mobiles (MM20 à 2 373 FCFA et MM50 à 2 268 FCFA) sont toutes deux inférieures au cours actuel de 2 400 FCFA, avec une MM20 au-dessus de la MM50, formant une configuration haussière. Cette structure indique une dynamique positive à court et moyen terme, justifiant la décision d'achat.</w:t>
      </w:r>
    </w:p>
    <w:p>
      <w:pPr>
        <w:spacing w:after="120" w:line="276" w:lineRule="auto"/>
      </w:pPr>
      <w:r>
        <w:t>Le cours se situe entre les bornes de Bollinger (supérieure à 2 550,30 FCFA et inférieure à 2 195,70 FCFA), proche de la borne supérieure mais sans la toucher. Cette position suggère une volatilité modérée et un mouvement haussier maîtrisé, sans signal de surachat extrême, d'où la décision neutre.</w:t>
      </w:r>
    </w:p>
    <w:p>
      <w:pPr>
        <w:spacing w:after="120" w:line="276" w:lineRule="auto"/>
      </w:pPr>
      <w:r>
        <w:t>Le MACD (50,198) est inférieur à son signal (57,835), indiquant un momentum baissier à court terme. Cette divergence négative, bien que les valeurs restent positives, suggère un ralentissement de la dynamique haussière, justifiant la décision de vente.</w:t>
      </w:r>
    </w:p>
    <w:p>
      <w:pPr>
        <w:spacing w:after="120" w:line="276" w:lineRule="auto"/>
      </w:pPr>
      <w:r>
        <w:t>Le RSI à 76,316 est en zone de surachat (&gt;70), signalant que le titre a été fortement acheté récemment et qu'un repli technique est probable. Cette situation justifie la décision de vente, car elle suggère une correction imminente.</w:t>
      </w:r>
    </w:p>
    <w:p>
      <w:pPr>
        <w:spacing w:after="120" w:line="276" w:lineRule="auto"/>
      </w:pPr>
      <w:r>
        <w:t>Le stochastique (%K=38,462, %D=60,44) montre un %K inférieur à %D, indiquant un croisement baissier potentiel. Cette configuration suggère un affaiblissement de la pression acheteuse, mais reste en zone neutre, d'où la décision neutre.</w:t>
      </w:r>
    </w:p>
    <w:p>
      <w:pPr>
        <w:spacing w:after="120" w:line="276" w:lineRule="auto"/>
      </w:pPr>
      <w:r>
        <w:t>La conclusion technique est mitigée : la tendance de fond reste haussière (MM), mais les indicateurs de momentum (RSI, MACD) signalent une fatigue du mouvement et un risque de correction à court terme. Les bandes de Bollinger et le stochastique n'émettent pas de signaux clairs, laissant planer une incertitude sur la poursuite du mouvement haussier.</w:t>
      </w:r>
    </w:p>
    <w:p>
      <w:pPr>
        <w:spacing w:after="120" w:line="276" w:lineRule="auto" w:before="240"/>
      </w:pPr>
      <w:r>
        <w:rPr>
          <w:b/>
          <w:color w:val="003366"/>
          <w:sz w:val="24"/>
        </w:rPr>
        <w:t>**PARTIE 3 : ANALYSE FONDAMENTALE (SECTION CRITIQUE)**</w:t>
      </w:r>
    </w:p>
    <w:p>
      <w:pPr>
        <w:spacing w:after="120" w:line="276" w:lineRule="auto"/>
      </w:pPr>
      <w:r>
        <w:t>En 2025, SHEC (VIVO ENERGY CI) a réalisé un chiffre d'affaires de 604,978 milliards FCFA, en légère hausse de +0,71% par rapport à 2024, et un résultat net de 6,028 milliards FCFA, en progression de +12,6%. Le ROE s'établit à 22,20%, un niveau excellent (&gt;15%), démontrant une création de valeur efficace pour les actionnaires, tandis que le ROA est de 3,11%. La marge nette reste faible à 1%, typique du secteur de distribution pétrolière. Les délais clients (23,27 jours) et fournisseurs (35,47 jours) sont bien gérés, avec un BFR de 15,315 milliards FCFA. Cependant, la structure financière est préoccupante : la trésorerie nette est fortement négative (-65,26 milliards FCFA), avec des dettes fournisseurs importantes (53,43 milliards FCFA) et une dépendance financière de 85,97%. Selon les rapports du 3ème trimestre 2025 (datés du 30/09/2025), le résultat net cumulé sur 9 mois a bondi de +45% à 4,119 milliards FCFA, porté par une amélioration de la rentabilité opérationnelle et financière. Le rapport du S1 2025 (30/06/2025) montrait une hausse modeste de +3% du résultat net. Les données du T1 2026 (31/03/2026) indiquent une baisse du CA de -9%, mais un résultat net stable (+1%), grâce à la maîtrise des charges. Le rapport du S1 2026 (30/06/2026) confirme une légère baisse du CA (-1%) mais une hausse de +17% du résultat d'exploitation. La société propose un dividende de 6,09 milliards FCFA pour 2025, soit un taux de distribution de 101%, financé par le report à nouveau. La recommandation fondamentale est de conserver le titre, la société affichant une résilience opérationnelle mais une fragilité financière due à un endettement élevé et une trésorerie négative.</w:t>
      </w:r>
    </w:p>
    <w:p>
      <w:pPr>
        <w:spacing w:after="120" w:line="276" w:lineRule="auto" w:before="240"/>
      </w:pPr>
      <w:r>
        <w:rPr>
          <w:b/>
          <w:color w:val="003366"/>
          <w:sz w:val="24"/>
        </w:rPr>
        <w:t>**PARTIE 4 : CONCLUSION D'INVESTISSEMENT**</w:t>
      </w:r>
    </w:p>
    <w:p>
      <w:pPr>
        <w:spacing w:after="120" w:line="276" w:lineRule="auto"/>
      </w:pPr>
      <w:r>
        <w:t>La valorisation de SHEC (PER de 25,1x, P/B de 5,57x, EV/EBITDA de 13,3x) est exigeante, indiquant une surévaluation relative par rapport aux bénéfices et aux actifs, malgré une croissance du résultat net de +13% en 2025. Le comportement du cours sur 100 jours est haussier (+9,59%) mais avec une volatilité élevée (35,2%), et les statistiques (kurtosis, skewness) montrent une distribution normale sans risque extrême. Les signaux techniques sont mitigés : la tendance de fond est haussière (MM), mais le RSI en surachat (76,3) et le MACD négatif signalent un risque de correction. Les fondamentaux sont solides avec un ROE de 22,2%, mais la trésorerie nette négative (-65,26 milliards FCFA) et la dépendance aux concours bancaires sont des points de vigilance. Les prédictions IA (J+1 à J+10) montrent une trajectoire baissière, passant de 2 254 à 1 909 FCFA, contredisant la tendance haussière récente et suggérant une correction. En synthèse, la convergence entre la surévaluation (valorisation), les signaux techniques de surachat et les prédictions IA baissières indique un risque de repli à court terme. La recommandation finale est **CONSERVER** avec un niveau de confiance **Moyen** et un risque global **Élevé**. L'horizon d'investissement optimal est le **moyen terme (3-12 mois)**, en attendant une clarification de la structure financière et une amélioration des volumes.</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10,003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007800"/>
                <w:sz w:val="17"/>
              </w:rPr>
              <w:t>+29.67%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9.97% (Moyenne) — μ=8,418 FCFA, σ=839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β=0.3757 (Défensif) — Cov=0.000014, Var(idx)=0.000037, ρ=0.126,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10,003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8,577</w:t>
            </w:r>
          </w:p>
        </w:tc>
        <w:tc>
          <w:tcPr>
            <w:tcW w:type="dxa" w:w="1440"/>
            <w:shd w:fill="FFDCE0" w:val="clear"/>
          </w:tcPr>
          <w:p>
            <w:r>
              <w:rPr>
                <w:b/>
                <w:sz w:val="17"/>
              </w:rPr>
              <w:t>8,863</w:t>
            </w:r>
          </w:p>
        </w:tc>
        <w:tc>
          <w:tcPr>
            <w:tcW w:type="dxa" w:w="1440"/>
            <w:shd w:fill="FFDCE0" w:val="clear"/>
          </w:tcPr>
          <w:p>
            <w:r>
              <w:rPr>
                <w:sz w:val="17"/>
              </w:rPr>
              <w:t>9,148</w:t>
            </w:r>
          </w:p>
        </w:tc>
        <w:tc>
          <w:tcPr>
            <w:tcW w:type="dxa" w:w="1440"/>
            <w:shd w:fill="FFDCE0" w:val="clear"/>
          </w:tcPr>
          <w:p>
            <w:r>
              <w:rPr>
                <w:b/>
                <w:color w:val="C00000"/>
                <w:sz w:val="17"/>
              </w:rPr>
              <w:t>-3.7%</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8,164</w:t>
            </w:r>
          </w:p>
        </w:tc>
        <w:tc>
          <w:tcPr>
            <w:tcW w:type="dxa" w:w="1440"/>
            <w:shd w:fill="FFDCE0" w:val="clear"/>
          </w:tcPr>
          <w:p>
            <w:r>
              <w:rPr>
                <w:b/>
                <w:sz w:val="17"/>
              </w:rPr>
              <w:t>8,554</w:t>
            </w:r>
          </w:p>
        </w:tc>
        <w:tc>
          <w:tcPr>
            <w:tcW w:type="dxa" w:w="1440"/>
            <w:shd w:fill="FFDCE0" w:val="clear"/>
          </w:tcPr>
          <w:p>
            <w:r>
              <w:rPr>
                <w:sz w:val="17"/>
              </w:rPr>
              <w:t>8,944</w:t>
            </w:r>
          </w:p>
        </w:tc>
        <w:tc>
          <w:tcPr>
            <w:tcW w:type="dxa" w:w="1440"/>
            <w:shd w:fill="FFDCE0" w:val="clear"/>
          </w:tcPr>
          <w:p>
            <w:r>
              <w:rPr>
                <w:b/>
                <w:color w:val="C00000"/>
                <w:sz w:val="17"/>
              </w:rPr>
              <w:t>-7.0%</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7,822</w:t>
            </w:r>
          </w:p>
        </w:tc>
        <w:tc>
          <w:tcPr>
            <w:tcW w:type="dxa" w:w="1440"/>
            <w:shd w:fill="FFDCE0" w:val="clear"/>
          </w:tcPr>
          <w:p>
            <w:r>
              <w:rPr>
                <w:b/>
                <w:sz w:val="17"/>
              </w:rPr>
              <w:t>8,285</w:t>
            </w:r>
          </w:p>
        </w:tc>
        <w:tc>
          <w:tcPr>
            <w:tcW w:type="dxa" w:w="1440"/>
            <w:shd w:fill="FFDCE0" w:val="clear"/>
          </w:tcPr>
          <w:p>
            <w:r>
              <w:rPr>
                <w:sz w:val="17"/>
              </w:rPr>
              <w:t>8,747</w:t>
            </w:r>
          </w:p>
        </w:tc>
        <w:tc>
          <w:tcPr>
            <w:tcW w:type="dxa" w:w="1440"/>
            <w:shd w:fill="FFDCE0" w:val="clear"/>
          </w:tcPr>
          <w:p>
            <w:r>
              <w:rPr>
                <w:b/>
                <w:color w:val="C00000"/>
                <w:sz w:val="17"/>
              </w:rPr>
              <w:t>-10.0%</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7,538</w:t>
            </w:r>
          </w:p>
        </w:tc>
        <w:tc>
          <w:tcPr>
            <w:tcW w:type="dxa" w:w="1440"/>
            <w:shd w:fill="FFDCE0" w:val="clear"/>
          </w:tcPr>
          <w:p>
            <w:r>
              <w:rPr>
                <w:b/>
                <w:sz w:val="17"/>
              </w:rPr>
              <w:t>8,058</w:t>
            </w:r>
          </w:p>
        </w:tc>
        <w:tc>
          <w:tcPr>
            <w:tcW w:type="dxa" w:w="1440"/>
            <w:shd w:fill="FFDCE0" w:val="clear"/>
          </w:tcPr>
          <w:p>
            <w:r>
              <w:rPr>
                <w:sz w:val="17"/>
              </w:rPr>
              <w:t>8,577</w:t>
            </w:r>
          </w:p>
        </w:tc>
        <w:tc>
          <w:tcPr>
            <w:tcW w:type="dxa" w:w="1440"/>
            <w:shd w:fill="FFDCE0" w:val="clear"/>
          </w:tcPr>
          <w:p>
            <w:r>
              <w:rPr>
                <w:b/>
                <w:color w:val="C00000"/>
                <w:sz w:val="17"/>
              </w:rPr>
              <w:t>-12.4%</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7,299</w:t>
            </w:r>
          </w:p>
        </w:tc>
        <w:tc>
          <w:tcPr>
            <w:tcW w:type="dxa" w:w="1440"/>
            <w:shd w:fill="FFDCE0" w:val="clear"/>
          </w:tcPr>
          <w:p>
            <w:r>
              <w:rPr>
                <w:b/>
                <w:sz w:val="17"/>
              </w:rPr>
              <w:t>7,867</w:t>
            </w:r>
          </w:p>
        </w:tc>
        <w:tc>
          <w:tcPr>
            <w:tcW w:type="dxa" w:w="1440"/>
            <w:shd w:fill="FFDCE0" w:val="clear"/>
          </w:tcPr>
          <w:p>
            <w:r>
              <w:rPr>
                <w:sz w:val="17"/>
              </w:rPr>
              <w:t>8,434</w:t>
            </w:r>
          </w:p>
        </w:tc>
        <w:tc>
          <w:tcPr>
            <w:tcW w:type="dxa" w:w="1440"/>
            <w:shd w:fill="FFDCE0" w:val="clear"/>
          </w:tcPr>
          <w:p>
            <w:r>
              <w:rPr>
                <w:b/>
                <w:color w:val="C00000"/>
                <w:sz w:val="17"/>
              </w:rPr>
              <w:t>-14.5%</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7,094</w:t>
            </w:r>
          </w:p>
        </w:tc>
        <w:tc>
          <w:tcPr>
            <w:tcW w:type="dxa" w:w="1440"/>
            <w:shd w:fill="FFDCE0" w:val="clear"/>
          </w:tcPr>
          <w:p>
            <w:r>
              <w:rPr>
                <w:b/>
                <w:sz w:val="17"/>
              </w:rPr>
              <w:t>7,702</w:t>
            </w:r>
          </w:p>
        </w:tc>
        <w:tc>
          <w:tcPr>
            <w:tcW w:type="dxa" w:w="1440"/>
            <w:shd w:fill="FFDCE0" w:val="clear"/>
          </w:tcPr>
          <w:p>
            <w:r>
              <w:rPr>
                <w:sz w:val="17"/>
              </w:rPr>
              <w:t>8,311</w:t>
            </w:r>
          </w:p>
        </w:tc>
        <w:tc>
          <w:tcPr>
            <w:tcW w:type="dxa" w:w="1440"/>
            <w:shd w:fill="FFDCE0" w:val="clear"/>
          </w:tcPr>
          <w:p>
            <w:r>
              <w:rPr>
                <w:b/>
                <w:color w:val="C00000"/>
                <w:sz w:val="17"/>
              </w:rPr>
              <w:t>-16.3%</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6,914</w:t>
            </w:r>
          </w:p>
        </w:tc>
        <w:tc>
          <w:tcPr>
            <w:tcW w:type="dxa" w:w="1440"/>
            <w:shd w:fill="FFDCE0" w:val="clear"/>
          </w:tcPr>
          <w:p>
            <w:r>
              <w:rPr>
                <w:b/>
                <w:sz w:val="17"/>
              </w:rPr>
              <w:t>7,558</w:t>
            </w:r>
          </w:p>
        </w:tc>
        <w:tc>
          <w:tcPr>
            <w:tcW w:type="dxa" w:w="1440"/>
            <w:shd w:fill="FFDCE0" w:val="clear"/>
          </w:tcPr>
          <w:p>
            <w:r>
              <w:rPr>
                <w:sz w:val="17"/>
              </w:rPr>
              <w:t>8,203</w:t>
            </w:r>
          </w:p>
        </w:tc>
        <w:tc>
          <w:tcPr>
            <w:tcW w:type="dxa" w:w="1440"/>
            <w:shd w:fill="FFDCE0" w:val="clear"/>
          </w:tcPr>
          <w:p>
            <w:r>
              <w:rPr>
                <w:b/>
                <w:color w:val="C00000"/>
                <w:sz w:val="17"/>
              </w:rPr>
              <w:t>-17.8%</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6,752</w:t>
            </w:r>
          </w:p>
        </w:tc>
        <w:tc>
          <w:tcPr>
            <w:tcW w:type="dxa" w:w="1440"/>
            <w:shd w:fill="FFDCE0" w:val="clear"/>
          </w:tcPr>
          <w:p>
            <w:r>
              <w:rPr>
                <w:b/>
                <w:sz w:val="17"/>
              </w:rPr>
              <w:t>7,430</w:t>
            </w:r>
          </w:p>
        </w:tc>
        <w:tc>
          <w:tcPr>
            <w:tcW w:type="dxa" w:w="1440"/>
            <w:shd w:fill="FFDCE0" w:val="clear"/>
          </w:tcPr>
          <w:p>
            <w:r>
              <w:rPr>
                <w:sz w:val="17"/>
              </w:rPr>
              <w:t>8,107</w:t>
            </w:r>
          </w:p>
        </w:tc>
        <w:tc>
          <w:tcPr>
            <w:tcW w:type="dxa" w:w="1440"/>
            <w:shd w:fill="FFDCE0" w:val="clear"/>
          </w:tcPr>
          <w:p>
            <w:r>
              <w:rPr>
                <w:b/>
                <w:color w:val="C00000"/>
                <w:sz w:val="17"/>
              </w:rPr>
              <w:t>-19.2%</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6,606</w:t>
            </w:r>
          </w:p>
        </w:tc>
        <w:tc>
          <w:tcPr>
            <w:tcW w:type="dxa" w:w="1440"/>
            <w:shd w:fill="FFDCE0" w:val="clear"/>
          </w:tcPr>
          <w:p>
            <w:r>
              <w:rPr>
                <w:b/>
                <w:sz w:val="17"/>
              </w:rPr>
              <w:t>7,314</w:t>
            </w:r>
          </w:p>
        </w:tc>
        <w:tc>
          <w:tcPr>
            <w:tcW w:type="dxa" w:w="1440"/>
            <w:shd w:fill="FFDCE0" w:val="clear"/>
          </w:tcPr>
          <w:p>
            <w:r>
              <w:rPr>
                <w:sz w:val="17"/>
              </w:rPr>
              <w:t>8,021</w:t>
            </w:r>
          </w:p>
        </w:tc>
        <w:tc>
          <w:tcPr>
            <w:tcW w:type="dxa" w:w="1440"/>
            <w:shd w:fill="FFDCE0" w:val="clear"/>
          </w:tcPr>
          <w:p>
            <w:r>
              <w:rPr>
                <w:b/>
                <w:color w:val="C00000"/>
                <w:sz w:val="17"/>
              </w:rPr>
              <w:t>-20.5%</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6,472</w:t>
            </w:r>
          </w:p>
        </w:tc>
        <w:tc>
          <w:tcPr>
            <w:tcW w:type="dxa" w:w="1440"/>
            <w:shd w:fill="FFDCE0" w:val="clear"/>
          </w:tcPr>
          <w:p>
            <w:r>
              <w:rPr>
                <w:b/>
                <w:sz w:val="17"/>
              </w:rPr>
              <w:t>7,207</w:t>
            </w:r>
          </w:p>
        </w:tc>
        <w:tc>
          <w:tcPr>
            <w:tcW w:type="dxa" w:w="1440"/>
            <w:shd w:fill="FFDCE0" w:val="clear"/>
          </w:tcPr>
          <w:p>
            <w:r>
              <w:rPr>
                <w:sz w:val="17"/>
              </w:rPr>
              <w:t>7,942</w:t>
            </w:r>
          </w:p>
        </w:tc>
        <w:tc>
          <w:tcPr>
            <w:tcW w:type="dxa" w:w="1440"/>
            <w:shd w:fill="FFDCE0" w:val="clear"/>
          </w:tcPr>
          <w:p>
            <w:r>
              <w:rPr>
                <w:b/>
                <w:color w:val="C00000"/>
                <w:sz w:val="17"/>
              </w:rPr>
              <w:t>-21.7%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**Date de l'analyse : 07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SIBC s'établit à 920 milliards FCFA, ce qui en fait l'une des valeurs les plus lourdes et les plus liquides de la cote, un poids lourd du secteur bancaire ivoirien. Avec un BPA de 556 FCFA, chaque action génère un bénéfice substantiel, mais le PER de 16,5x se situe nettement au-dessus de la moyenne historique de la BRVM (8-12x), signifiant que le marché paie une prime significative pour la qualité des actifs et la croissance future. Cette prime est confirmée par le P/B de 4,49x, qui indique que le marché valorise le titre à plus de quatre fois sa valeur comptable, un niveau exigeant qui reflète une forte confiance dans la rentabilité future. Enfin, l'EV/EBITDA de 15,3x, bien que supérieur au seuil de 15x considéré comme exigeant, reste cohérent avec les standards des banques à forte croissance de la zone UEMOA, justifiant une valorisation élevée par la capacité opérationnelle de l'établissement.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SIBC a enregistré une performance remarquable de +29,67%, passant d'un plus bas de 6,805 FCFA à un plus haut de 9,500 FCFA, démontrant une dynamique haussière soutenue, bien que la dernière séance affiche un léger repli de -1,08% à 9,200 FCFA. La moyenne du cours sur la période (8,418 FCFA) est inférieure à la médiane (8,825 FCFA), et l'asymétrie négative (skewness de -0,784) indique que le titre a passé plus de journées au-dessus de sa moyenne, confirmant la vigueur de la tendance. L'écart-type de 843 FCFA (CV de 10%) révèle une dispersion modérée, tandis que le kurtosis négatif de -1,040 (distribution platykurtique) suggère une absence de mouvements extrêmes, avec une progression régulière plutôt que des pics violents. La volatilité annualisée de 28,8% classe le titre dans la catégorie "modérée à élevée", ce qui est typique des valeurs de croissance sur ce marché, offrant un équilibre entre potentiel de rendement et risque acceptable pour un investisseur averti.</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(9,200 FCFA) se positionne au-dessus de la MM20 (9,202,5 FCFA) et de la MM50 (9,032,1 FCFA), avec une MM20 supérieure à la MM50, configuration caractéristique d'une tendance haussière saine. La décision d'achat est justifiée par cette structure positive, bien que le cours teste actuellement sa MM20, un niveau de support dynamique crucial à surveiller.</w:t>
      </w:r>
    </w:p>
    <w:p>
      <w:pPr>
        <w:spacing w:after="120" w:line="276" w:lineRule="auto"/>
      </w:pPr>
      <w:r>
        <w:t>**Bandes de Bollinger** : Le prix se situe à 9,200 FCFA, entre la borne supérieure (9,441 FCFA) et la borne inférieure (8,963 FCFA), proche de la moyenne. Cette position neutre indique une volatilité modérée, sans condition de surachat ou de survente, laissant la place à un mouvement directionnel potentiel dans les deux sens.</w:t>
      </w:r>
    </w:p>
    <w:p>
      <w:pPr>
        <w:spacing w:after="120" w:line="276" w:lineRule="auto"/>
      </w:pPr>
      <w:r>
        <w:t>**MACD** : Le MACD (54,321) est inférieur à sa ligne de signal (56,967), générant un signal de vente à court terme. Cette divergence négative suggère un affaiblissement du momentum haussier, même si les valeurs restent positives, indiquant que la tendance de fond demeure haussière mais avec une perte de vitesse.</w:t>
      </w:r>
    </w:p>
    <w:p>
      <w:pPr>
        <w:spacing w:after="120" w:line="276" w:lineRule="auto"/>
      </w:pPr>
      <w:r>
        <w:t>**RSI** : À 51,02, le RSI se trouve en zone neutre, parfaitement équilibré entre les conditions de surachat (70) et de survente (30). Cette valeur indique que le titre n'est ni survendu ni suracheté, laissant une marge de manœuvre pour une poursuite de la hausse sans pression excessive des acheteurs ou vendeurs.</w:t>
      </w:r>
    </w:p>
    <w:p>
      <w:pPr>
        <w:spacing w:after="120" w:line="276" w:lineRule="auto"/>
      </w:pPr>
      <w:r>
        <w:t>**Stochastique** : Le %K (66,667) est inférieur au %D (88,889), signalant un croisement baissier potentiel, bien que les deux valeurs restent en zone positive. Cette configuration suggère un essoufflement temporaire de la dynamique haussière, mais sans signal de retournement majeur.</w:t>
      </w:r>
    </w:p>
    <w:p>
      <w:pPr>
        <w:spacing w:after="120" w:line="276" w:lineRule="auto"/>
      </w:pPr>
      <w:r>
        <w:t>**Conclusion technique** : La convergence des indicateurs est mitigée, avec des signaux d'achat à moyen terme (MM) contrebalancés par des signaux de prudence à court terme (MACD, Stochastique). Le titre semble entrer dans une phase de consolidation après une forte progression, avec un support solide autour de 9,000 FCFA et une résistance à 9,500 FCFA. La tendance de fond reste haussière, mais un repli technique vers la zone des 8,900-9,000 FCFA serait sain avant une éventuelle reprise.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officielles de l'exercice 2025 confirment la solidité financière de la SIBC, avec un Produit Net Bancaire (PNB) de 108,663 milliards FCFA et un résultat net de 55,623 milliards FCFA, en progression constante par rapport aux années précédentes (50,2 milliards en 2024, 43 milliards sur 9 mois en 2025). La rentabilité est exceptionnelle avec un ROE de 27,16% (largement supérieur au seuil de 15% considéré comme excellent) et un ROA de 2,96%, tandis que le coefficient d'exploitation de 38,59% témoigne d'une efficacité opérationnelle remarquable (bien en dessous du seuil de 60%). Le coût du risque, bien que non détaillé, semble maîtrisé, et la collecte de dépôts (1 503 milliards FCFA) excède largement les crédits à la clientèle (1 226 milliards FCFA), indiquant une transformation saine avec un ratio dépôts/crédits de 122%. Les rapports trimestriels récents confirment cette dynamique : le rapport T1 2026 (daté du 31/12/2026) montre un résultat net en hausse de 11% à 15,2 milliards FCFA, avec des dépôts en progression de 9% à 1 495 milliards et des crédits en hausse de 7% à 1 112 milliards. Sur la base de ces tendances, on estime que l'exercice 2026 devrait voir un PNB dépasser 115 milliards FCFA et un résultat net excédant 60 milliards FCFA, confirmant la trajectoire de croissance durable. La banque maintient une autonomie financière de 10,88% (ratio capitaux propres/total bilan), un niveau acceptable pour le secteur, avec une solvabilité générale de 112,21% et une couverture des intérêts de 408,91%, démontrant une capacité robuste à honorer ses engagements. Le plan stratégique "IMPULSION 2028" et la digitalisation en cours positionnent favorablement la banque pour capitaliser sur la croissance économique ivoirienne, malgré un environnement concurrentiel intense et un risque de crédit à surveiller.</w:t>
      </w:r>
    </w:p>
    <w:p>
      <w:pPr>
        <w:spacing w:after="120" w:line="276" w:lineRule="auto"/>
      </w:pPr>
      <w:r>
        <w:t>---</w:t>
      </w:r>
    </w:p>
    <w:p>
      <w:pPr>
        <w:spacing w:after="120" w:line="276" w:lineRule="auto"/>
      </w:pPr>
      <w:r>
        <w:t>### PARTIE 4 : CONCLUSION D'INVESTISSEMENT</w:t>
      </w:r>
    </w:p>
    <w:p>
      <w:pPr>
        <w:spacing w:after="120" w:line="276" w:lineRule="auto"/>
      </w:pPr>
      <w:r>
        <w:t>La synthèse globale révèle une convergence positive entre les fondamentaux et la tendance de fond, tempérée par une valorisation exigeante et des signaux techniques de court terme mitigés. La valorisation (PER de 16,5x, P/B de 4,49x) indique une surévaluation relative par rapport au marché, mais cette prime est justifiée par une rentabilité exceptionnelle (ROE &gt;27%) et une croissance soutenue du résultat net (+11% au T1 2026). Le comportement du cours (+29,67% sur 100 jours) démontre une forte dynamique haussière, avec une volatilité modérée et une distribution statistique saine, bien que le kurtosis platykurtique suggère un risque de consolidation. Les signaux techniques sont divergents : les moyennes mobiles restent haussières, mais le MACD et le Stochastique indiquent un essoufflement à court terme, tandis que le RSI neutre laisse une marge de manœuvre. Les prédictions IA pour les 10 prochains jours (de 8,863 à 7,867 FCFA) suggèrent une correction significative de -14,5%, contredisant la tendance haussière récente et confirmant les signaux techniques de prudence à court terme. Cette correction potentielle ramènerait le cours vers des niveaux plus proches de la MM50 (9,032 FCFA) et offrirait un point d'entrée plus attractif. **Recommandation finale : CONSERVER** pour les investisseurs déjà positionnés, avec un niveau de confiance **Moyen** et un risque global **Moyen**. Pour les nouveaux investisseurs, il est conseillé d'attendre un repli vers la zone des 8,000-8,500 FCFA pour initier une position, avec un horizon d'investissement **moyen terme (3-12 mois)** pour bénéficier de la solidité fondamentale et de la croissance projetée, tout en surveillant l'évolution du coût du risque et la pression concurrentielle dans le secteur bancaire ivoirien.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5.03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127 titres</w:t>
            </w:r>
          </w:p>
        </w:tc>
        <w:tc>
          <w:tcPr>
            <w:tcW w:type="dxa" w:w="2268"/>
            <w:shd w:fill="FFF2CC" w:val="clear"/>
          </w:tcPr>
          <w:p>
            <w:r>
              <w:rPr>
                <w:b/>
                <w:color w:val="503200"/>
                <w:sz w:val="16"/>
              </w:rPr>
              <w:t xml:space="preserve">Cours actuel : </w:t>
            </w:r>
            <w:r>
              <w:rPr>
                <w:color w:val="000000"/>
                <w:sz w:val="17"/>
              </w:rPr>
              <w:t>8,385 FCFA</w:t>
            </w:r>
          </w:p>
          <w:p>
            <w:r>
              <w:rPr>
                <w:b/>
                <w:color w:val="503200"/>
                <w:sz w:val="16"/>
              </w:rPr>
              <w:t xml:space="preserve">Var. 100 jours : </w:t>
            </w:r>
            <w:r>
              <w:rPr>
                <w:b/>
                <w:color w:val="007800"/>
                <w:sz w:val="17"/>
              </w:rPr>
              <w:t>+109.89%</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3,930 FCFA</w:t>
            </w:r>
          </w:p>
          <w:p>
            <w:r>
              <w:rPr>
                <w:b/>
                <w:color w:val="503200"/>
                <w:sz w:val="16"/>
              </w:rPr>
              <w:t xml:space="preserve">Volatilité ann. : </w:t>
            </w:r>
            <w:r>
              <w:rPr>
                <w:color w:val="000000"/>
                <w:sz w:val="17"/>
              </w:rPr>
              <w:t>60.7%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30.73% (Élevée) — μ=5,513 FCFA, σ=1,694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β=-0.7833 (Contre-cyclique) — Cov=-0.000029, Var(idx)=0.000037, ρ=-0.125,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σ_j=3.82%/j (Modérée) — Vol. annualisée≈60.7%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7,387</w:t>
            </w:r>
          </w:p>
        </w:tc>
        <w:tc>
          <w:tcPr>
            <w:tcW w:type="dxa" w:w="1440"/>
            <w:shd w:fill="FFDCE0" w:val="clear"/>
          </w:tcPr>
          <w:p>
            <w:r>
              <w:rPr>
                <w:b/>
                <w:sz w:val="17"/>
              </w:rPr>
              <w:t>7,985</w:t>
            </w:r>
          </w:p>
        </w:tc>
        <w:tc>
          <w:tcPr>
            <w:tcW w:type="dxa" w:w="1440"/>
            <w:shd w:fill="FFDCE0" w:val="clear"/>
          </w:tcPr>
          <w:p>
            <w:r>
              <w:rPr>
                <w:sz w:val="17"/>
              </w:rPr>
              <w:t>8,584</w:t>
            </w:r>
          </w:p>
        </w:tc>
        <w:tc>
          <w:tcPr>
            <w:tcW w:type="dxa" w:w="1440"/>
            <w:shd w:fill="FFDCE0" w:val="clear"/>
          </w:tcPr>
          <w:p>
            <w:r>
              <w:rPr>
                <w:b/>
                <w:color w:val="C00000"/>
                <w:sz w:val="17"/>
              </w:rPr>
              <w:t>-4.8%</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7,003</w:t>
            </w:r>
          </w:p>
        </w:tc>
        <w:tc>
          <w:tcPr>
            <w:tcW w:type="dxa" w:w="1440"/>
            <w:shd w:fill="FFDCE0" w:val="clear"/>
          </w:tcPr>
          <w:p>
            <w:r>
              <w:rPr>
                <w:b/>
                <w:sz w:val="17"/>
              </w:rPr>
              <w:t>7,933</w:t>
            </w:r>
          </w:p>
        </w:tc>
        <w:tc>
          <w:tcPr>
            <w:tcW w:type="dxa" w:w="1440"/>
            <w:shd w:fill="FFDCE0" w:val="clear"/>
          </w:tcPr>
          <w:p>
            <w:r>
              <w:rPr>
                <w:sz w:val="17"/>
              </w:rPr>
              <w:t>8,864</w:t>
            </w:r>
          </w:p>
        </w:tc>
        <w:tc>
          <w:tcPr>
            <w:tcW w:type="dxa" w:w="1440"/>
            <w:shd w:fill="FFDCE0" w:val="clear"/>
          </w:tcPr>
          <w:p>
            <w:r>
              <w:rPr>
                <w:b/>
                <w:color w:val="C00000"/>
                <w:sz w:val="17"/>
              </w:rPr>
              <w:t>-5.4%</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6,680</w:t>
            </w:r>
          </w:p>
        </w:tc>
        <w:tc>
          <w:tcPr>
            <w:tcW w:type="dxa" w:w="1440"/>
            <w:shd w:fill="FFDCE0" w:val="clear"/>
          </w:tcPr>
          <w:p>
            <w:r>
              <w:rPr>
                <w:b/>
                <w:sz w:val="17"/>
              </w:rPr>
              <w:t>7,800</w:t>
            </w:r>
          </w:p>
        </w:tc>
        <w:tc>
          <w:tcPr>
            <w:tcW w:type="dxa" w:w="1440"/>
            <w:shd w:fill="FFDCE0" w:val="clear"/>
          </w:tcPr>
          <w:p>
            <w:r>
              <w:rPr>
                <w:sz w:val="17"/>
              </w:rPr>
              <w:t>8,920</w:t>
            </w:r>
          </w:p>
        </w:tc>
        <w:tc>
          <w:tcPr>
            <w:tcW w:type="dxa" w:w="1440"/>
            <w:shd w:fill="FFDCE0" w:val="clear"/>
          </w:tcPr>
          <w:p>
            <w:r>
              <w:rPr>
                <w:b/>
                <w:color w:val="C00000"/>
                <w:sz w:val="17"/>
              </w:rPr>
              <w:t>-7.0%</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6,384</w:t>
            </w:r>
          </w:p>
        </w:tc>
        <w:tc>
          <w:tcPr>
            <w:tcW w:type="dxa" w:w="1440"/>
            <w:shd w:fill="FFDCE0" w:val="clear"/>
          </w:tcPr>
          <w:p>
            <w:r>
              <w:rPr>
                <w:b/>
                <w:sz w:val="17"/>
              </w:rPr>
              <w:t>7,652</w:t>
            </w:r>
          </w:p>
        </w:tc>
        <w:tc>
          <w:tcPr>
            <w:tcW w:type="dxa" w:w="1440"/>
            <w:shd w:fill="FFDCE0" w:val="clear"/>
          </w:tcPr>
          <w:p>
            <w:r>
              <w:rPr>
                <w:sz w:val="17"/>
              </w:rPr>
              <w:t>8,921</w:t>
            </w:r>
          </w:p>
        </w:tc>
        <w:tc>
          <w:tcPr>
            <w:tcW w:type="dxa" w:w="1440"/>
            <w:shd w:fill="FFDCE0" w:val="clear"/>
          </w:tcPr>
          <w:p>
            <w:r>
              <w:rPr>
                <w:b/>
                <w:color w:val="C00000"/>
                <w:sz w:val="17"/>
              </w:rPr>
              <w:t>-8.7%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6,111</w:t>
            </w:r>
          </w:p>
        </w:tc>
        <w:tc>
          <w:tcPr>
            <w:tcW w:type="dxa" w:w="1440"/>
            <w:shd w:fill="FFDCE0" w:val="clear"/>
          </w:tcPr>
          <w:p>
            <w:r>
              <w:rPr>
                <w:b/>
                <w:sz w:val="17"/>
              </w:rPr>
              <w:t>7,502</w:t>
            </w:r>
          </w:p>
        </w:tc>
        <w:tc>
          <w:tcPr>
            <w:tcW w:type="dxa" w:w="1440"/>
            <w:shd w:fill="FFDCE0" w:val="clear"/>
          </w:tcPr>
          <w:p>
            <w:r>
              <w:rPr>
                <w:sz w:val="17"/>
              </w:rPr>
              <w:t>8,893</w:t>
            </w:r>
          </w:p>
        </w:tc>
        <w:tc>
          <w:tcPr>
            <w:tcW w:type="dxa" w:w="1440"/>
            <w:shd w:fill="FFDCE0" w:val="clear"/>
          </w:tcPr>
          <w:p>
            <w:r>
              <w:rPr>
                <w:b/>
                <w:color w:val="C00000"/>
                <w:sz w:val="17"/>
              </w:rPr>
              <w:t>-10.5%</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5,860</w:t>
            </w:r>
          </w:p>
        </w:tc>
        <w:tc>
          <w:tcPr>
            <w:tcW w:type="dxa" w:w="1440"/>
            <w:shd w:fill="FFDCE0" w:val="clear"/>
          </w:tcPr>
          <w:p>
            <w:r>
              <w:rPr>
                <w:b/>
                <w:sz w:val="17"/>
              </w:rPr>
              <w:t>7,353</w:t>
            </w:r>
          </w:p>
        </w:tc>
        <w:tc>
          <w:tcPr>
            <w:tcW w:type="dxa" w:w="1440"/>
            <w:shd w:fill="FFDCE0" w:val="clear"/>
          </w:tcPr>
          <w:p>
            <w:r>
              <w:rPr>
                <w:sz w:val="17"/>
              </w:rPr>
              <w:t>8,846</w:t>
            </w:r>
          </w:p>
        </w:tc>
        <w:tc>
          <w:tcPr>
            <w:tcW w:type="dxa" w:w="1440"/>
            <w:shd w:fill="FFDCE0" w:val="clear"/>
          </w:tcPr>
          <w:p>
            <w:r>
              <w:rPr>
                <w:b/>
                <w:color w:val="C00000"/>
                <w:sz w:val="17"/>
              </w:rPr>
              <w:t>-12.3%</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5,626</w:t>
            </w:r>
          </w:p>
        </w:tc>
        <w:tc>
          <w:tcPr>
            <w:tcW w:type="dxa" w:w="1440"/>
            <w:shd w:fill="FFDCE0" w:val="clear"/>
          </w:tcPr>
          <w:p>
            <w:r>
              <w:rPr>
                <w:b/>
                <w:sz w:val="17"/>
              </w:rPr>
              <w:t>7,207</w:t>
            </w:r>
          </w:p>
        </w:tc>
        <w:tc>
          <w:tcPr>
            <w:tcW w:type="dxa" w:w="1440"/>
            <w:shd w:fill="FFDCE0" w:val="clear"/>
          </w:tcPr>
          <w:p>
            <w:r>
              <w:rPr>
                <w:sz w:val="17"/>
              </w:rPr>
              <w:t>8,787</w:t>
            </w:r>
          </w:p>
        </w:tc>
        <w:tc>
          <w:tcPr>
            <w:tcW w:type="dxa" w:w="1440"/>
            <w:shd w:fill="FFDCE0" w:val="clear"/>
          </w:tcPr>
          <w:p>
            <w:r>
              <w:rPr>
                <w:b/>
                <w:color w:val="C00000"/>
                <w:sz w:val="17"/>
              </w:rPr>
              <w:t>-14.1%</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5,409</w:t>
            </w:r>
          </w:p>
        </w:tc>
        <w:tc>
          <w:tcPr>
            <w:tcW w:type="dxa" w:w="1440"/>
            <w:shd w:fill="FFDCE0" w:val="clear"/>
          </w:tcPr>
          <w:p>
            <w:r>
              <w:rPr>
                <w:b/>
                <w:sz w:val="17"/>
              </w:rPr>
              <w:t>7,065</w:t>
            </w:r>
          </w:p>
        </w:tc>
        <w:tc>
          <w:tcPr>
            <w:tcW w:type="dxa" w:w="1440"/>
            <w:shd w:fill="FFDCE0" w:val="clear"/>
          </w:tcPr>
          <w:p>
            <w:r>
              <w:rPr>
                <w:sz w:val="17"/>
              </w:rPr>
              <w:t>8,722</w:t>
            </w:r>
          </w:p>
        </w:tc>
        <w:tc>
          <w:tcPr>
            <w:tcW w:type="dxa" w:w="1440"/>
            <w:shd w:fill="FFDCE0" w:val="clear"/>
          </w:tcPr>
          <w:p>
            <w:r>
              <w:rPr>
                <w:b/>
                <w:color w:val="C00000"/>
                <w:sz w:val="17"/>
              </w:rPr>
              <w:t>-15.7%</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5,206</w:t>
            </w:r>
          </w:p>
        </w:tc>
        <w:tc>
          <w:tcPr>
            <w:tcW w:type="dxa" w:w="1440"/>
            <w:shd w:fill="FFDCE0" w:val="clear"/>
          </w:tcPr>
          <w:p>
            <w:r>
              <w:rPr>
                <w:b/>
                <w:sz w:val="17"/>
              </w:rPr>
              <w:t>6,929</w:t>
            </w:r>
          </w:p>
        </w:tc>
        <w:tc>
          <w:tcPr>
            <w:tcW w:type="dxa" w:w="1440"/>
            <w:shd w:fill="FFDCE0" w:val="clear"/>
          </w:tcPr>
          <w:p>
            <w:r>
              <w:rPr>
                <w:sz w:val="17"/>
              </w:rPr>
              <w:t>8,652</w:t>
            </w:r>
          </w:p>
        </w:tc>
        <w:tc>
          <w:tcPr>
            <w:tcW w:type="dxa" w:w="1440"/>
            <w:shd w:fill="FFDCE0" w:val="clear"/>
          </w:tcPr>
          <w:p>
            <w:r>
              <w:rPr>
                <w:b/>
                <w:color w:val="C00000"/>
                <w:sz w:val="17"/>
              </w:rPr>
              <w:t>-17.4%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5,016</w:t>
            </w:r>
          </w:p>
        </w:tc>
        <w:tc>
          <w:tcPr>
            <w:tcW w:type="dxa" w:w="1440"/>
            <w:shd w:fill="FFDCE0" w:val="clear"/>
          </w:tcPr>
          <w:p>
            <w:r>
              <w:rPr>
                <w:b/>
                <w:sz w:val="17"/>
              </w:rPr>
              <w:t>6,798</w:t>
            </w:r>
          </w:p>
        </w:tc>
        <w:tc>
          <w:tcPr>
            <w:tcW w:type="dxa" w:w="1440"/>
            <w:shd w:fill="FFDCE0" w:val="clear"/>
          </w:tcPr>
          <w:p>
            <w:r>
              <w:rPr>
                <w:sz w:val="17"/>
              </w:rPr>
              <w:t>8,580</w:t>
            </w:r>
          </w:p>
        </w:tc>
        <w:tc>
          <w:tcPr>
            <w:tcW w:type="dxa" w:w="1440"/>
            <w:shd w:fill="FFDCE0" w:val="clear"/>
          </w:tcPr>
          <w:p>
            <w:r>
              <w:rPr>
                <w:b/>
                <w:color w:val="C00000"/>
                <w:sz w:val="17"/>
              </w:rPr>
              <w:t>-18.9%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(BRVM)**</w:t>
      </w:r>
    </w:p>
    <w:p>
      <w:pPr>
        <w:spacing w:after="120" w:line="276" w:lineRule="auto" w:before="240"/>
      </w:pPr>
      <w:r>
        <w:rPr>
          <w:b/>
          <w:color w:val="003366"/>
          <w:sz w:val="24"/>
        </w:rPr>
        <w:t>**PARTIE 0 : INDICATEURS DE VALORISATION BOURSIÈRE**</w:t>
      </w:r>
    </w:p>
    <w:p>
      <w:pPr>
        <w:spacing w:after="120" w:line="276" w:lineRule="auto"/>
      </w:pPr>
      <w:r>
        <w:t>La capitalisation boursière de la SICOR s'établit à 5,03 milliards FCFA, un niveau modeste qui la classe parmi les petites capitalisations de la BRVM, offrant un potentiel de croissance mais aussi une liquidité limitée. Les ratios de valorisation (BPA, PER, P/B, EV/EBITDA) ne sont pas calculables en raison de l'absence de données financières structurées dans la base, ce qui constitue une lacune pour une évaluation précise. Toutefois, sur la base des bénéfices historiques (19,25 millions FCFA en 2023), le PER implicite serait extrêmement élevé (environ 260x), indiquant que le marché anticipe une forte croissance future ou que le titre est spéculativement surévalué. Le contexte de redressement de la société et l'absence de dividendes depuis 2018 renforcent la nécessité d'une analyse fondamentale approfondie pour justifier cette valorisation.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+109,89%, avec une accélération notable lors de la dernière séance (+7,50%), pour atteindre 8 385 FCFA. Cette performance exceptionnelle s'inscrit dans une fourchette de trading très large, oscillant entre un plus bas de 3 930 FCFA et un plus haut de 10 200 FCFA, témoignant d'une volatilité extrême. La moyenne du cours (5 513 FCFA) est nettement supérieure à la médiane (4 605 FCFA), confirmant une distribution asymétrique positive (skewness de 1,309) où les fortes hausses récentes tirent la moyenne vers le haut. L'écart-type de 1 703 FCFA (CV = 30,9%) indique une dispersion importante des prix, tandis que le kurtosis de 0,440 suggère une distribution proche de la normale, sans risque de pics excessifs. La volatilité annualisée de 60,7% classe le titre dans la catégorie très risquée,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La MM20 (8 573,5 FCFA) est supérieure à la MM50 (6 677,4 FCFA), indiquant une tendance haussière de moyen terme. Le cours actuel (8 385 FCFA) se situe sous la MM20 mais nettement au-dessus de la MM50, suggérant un repli technique à court terme dans une tendance haussière plus large. La décision d'achat est justifiée par la configuration positive des moyennes mobiles.</w:t>
      </w:r>
    </w:p>
    <w:p>
      <w:pPr>
        <w:spacing w:after="120" w:line="276" w:lineRule="auto"/>
      </w:pPr>
      <w:r>
        <w:t>**Bandes de Bollinger** : Le cours évolue entre la borne supérieure (10 347,5 FCFA) et la borne inférieure (6 799,5 FCFA), se positionnant dans la partie médiane-haute du canal. L'écart important entre les bornes reflète la volatilité élevée du titre. La décision neutre s'explique par une position du cours ni surachetée ni survendue, avec une volatilité qui se normalise après les pics récents.</w:t>
      </w:r>
    </w:p>
    <w:p>
      <w:pPr>
        <w:spacing w:after="120" w:line="276" w:lineRule="auto"/>
      </w:pPr>
      <w:r>
        <w:t>**MACD** : La valeur du MACD (375,992) est inférieure à son signal (582,736), indiquant un momentum baissier à court terme malgré une tendance haussière sous-jacente. Cette divergence négative suggère un essoufflement de la dynamique haussière, justifiant la décision de vente pour les traders à court terme.</w:t>
      </w:r>
    </w:p>
    <w:p>
      <w:pPr>
        <w:spacing w:after="120" w:line="276" w:lineRule="auto"/>
      </w:pPr>
      <w:r>
        <w:t>**RSI** : À 27,309, le RSI se trouve en zone de survente (&lt;30), signalant une possible correction excessive du cours après la forte hausse. Historiquement, ce niveau précède souvent un rebond technique. La décision d'achat repose sur l'anticipation d'un retournement haussier imminent.</w:t>
      </w:r>
    </w:p>
    <w:p>
      <w:pPr>
        <w:spacing w:after="120" w:line="276" w:lineRule="auto"/>
      </w:pPr>
      <w:r>
        <w:t>**Stochastique** : Le %K (24,375) est nettement supérieur au %D (8,125), indiquant un croisement haussier en zone de survente. Cette configuration suggère un potentiel de rebond technique, mais la décision neutre reflète la prudence tant que le %K ne dépasse pas le seuil des 30%.</w:t>
      </w:r>
    </w:p>
    <w:p>
      <w:pPr>
        <w:spacing w:after="120" w:line="276" w:lineRule="auto"/>
      </w:pPr>
      <w:r>
        <w:t>**Conclusion technique** : Les indicateurs présentent des signaux contradictoires : les moyennes mobiles et le RSI suggèrent un potentiel d'achat, tandis que le MACD indique un momentum baissier. La configuration stochastique et les bandes de Bollinger restent neutres. Globalement, le titre semble en phase de consolidation après une hausse spectaculaire, avec un biais haussier à moyen terme mais un risque de correction à court terme.</w:t>
      </w:r>
    </w:p>
    <w:p>
      <w:pPr>
        <w:spacing w:after="120" w:line="276" w:lineRule="auto" w:before="240"/>
      </w:pPr>
      <w:r>
        <w:rPr>
          <w:b/>
          <w:color w:val="003366"/>
          <w:sz w:val="24"/>
        </w:rPr>
        <w:t>**PARTIE 3 : ANALYSE FONDAMENTALE (SECTION CRITIQUE)**</w:t>
      </w:r>
    </w:p>
    <w:p>
      <w:pPr>
        <w:spacing w:after="120" w:line="276" w:lineRule="auto"/>
      </w:pPr>
      <w:r>
        <w:t>Les données financières historiques de la SICOR révèlent une trajectoire erratique. En 2015, la société affichait un résultat net de 434,87 millions FCFA, suivi d'une chute à 53,3 millions en 2016 (marge nette de 3,39%), puis une remontée à 100,6 millions en 2017 (marge de 6,44%). L'exercice 2021 a montré un bénéfice de 119,2 millions FCFA, mais de qualité dégradée, soutenu par des reprises de provisions non récurrentes (+66 millions) alors que le chiffre d'affaires chutait de 41% à 1,38 milliard. En 2022, la société a replongé dans les pertes (-39,95 millions) avec un CA de 1,14 milliard (-17,6%), avant un retour à la profitabilité en 2023 avec un bénéfice modeste de 19,25 millions FCFA (marge nette de 2,75%) sur un CA de 701 millions (-38,4%). Le rapport 2024 (analysé par GEMINI-VISION en septembre 2026) suggère une poursuite du redressement, mais les chiffres précis restent à confirmer. Les pertes cumulées s'élèvent à 689,86 millions FCFA, empêchant toute distribution de dividendes jusqu'à résorption complète. La société a réussi à réduire drastiquement ses charges (-43,68% en 2023), mais reste confrontée à des risques opérationnels majeurs (vols, concurrence) et à une trésorerie tendue. La recommandation fondamentale est de conserver le titre avec vigilance, en surveillant la capacité de la direction à stabiliser l'activité et à générer des bénéfices récurrents.</w:t>
      </w:r>
    </w:p>
    <w:p>
      <w:pPr>
        <w:spacing w:after="120" w:line="276" w:lineRule="auto" w:before="240"/>
      </w:pPr>
      <w:r>
        <w:rPr>
          <w:b/>
          <w:color w:val="003366"/>
          <w:sz w:val="24"/>
        </w:rPr>
        <w:t>**PARTIE 4 : CONCLUSION D'INVESTISSEMENT**</w:t>
      </w:r>
    </w:p>
    <w:p>
      <w:pPr>
        <w:spacing w:after="120" w:line="276" w:lineRule="auto"/>
      </w:pPr>
      <w:r>
        <w:t>La valorisation boursière de la SICOR apparaît extrêmement spéculative, avec un PER implicite supérieur à 200x, sans commune mesure avec les fondamentaux actuels. Le comportement du cours (+109,89% en 100 jours) traduit un engouement spéculatif déconnecté de la réalité financière, avec une volatilité annualisée de 60,7% qui expose les investisseurs à des risques considérables. Les signaux techniques sont mitigés : les moyennes mobiles et le RSI suggèrent un potentiel de rebond, mais le MACD indique un essoufflement du momentum. Les fondamentaux restent fragiles, avec des bénéfices modestes et irréguliers, des pertes cumulées importantes et aucun dividende à l'horizon. Les prédictions IA (7 985 FCFA à J+1, puis baisse progressive à 7 502 FCFA à J+10) confirment une correction attendue après la hausse excessive. La divergence entre la valorisation spéculative et les fondamentaux dégradés justifie une recommandation de **VENTE** pour les investisseurs existants et une prudence extrême pour les nouveaux entrants. Le niveau de confiance est **Moyen** (données fondamentales incomplètes), le risque global est **Élevé**, et l'horizon d'investissement optimal serait le **court terme** pour les traders aguerris, avec un stop-loss strict sous les 7 500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"Bénéfice en hausse mais de moindre qualité : chute du chiffre d'affaires et de l'EBE, résultat porté par des reprises de provisions non récurrentes. À conserver en surveillant le retour de la dynamique commerciale."}</w:t>
      </w:r>
    </w:p>
    <w:p>
      <w:pPr>
        <w:spacing w:before="40"/>
        <w:ind w:left="400"/>
      </w:pPr>
      <w:r>
        <w:rPr>
          <w:sz w:val="18"/>
        </w:rPr>
        <w:t>SICOR poursuit sur un bénéfice net de 119,2 M FCFA en 2021 (contre 109,8 M en 2020), mais la qualité du résultat se dégrade : le chiffre d'affaires chute de 41 % à 1,38 Md et l'EBE recule à 165 M. Le bénéfice est en réalité soutenu par un résultat financier exceptionnellement positif (+66 M, reprises de provisions financières). Le report à nouveau s'améliore (-769 M) et la trésorerie nette se redresse fortement (-6 M contre -47 M). Bénéfice en partie en trompe-l'oeil.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'164 millions FCFA', 'resultat_financier': '+66 millions FCFA (reprises de provisions)', 'resultat_exploitation': '53 millions FCFA', 'excedent_brut_exploitation': '165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8,63 %</w:t>
            </w:r>
          </w:p>
        </w:tc>
        <w:tc>
          <w:tcPr>
            <w:tcW w:type="dxa" w:w="2160"/>
          </w:tcPr>
          <w:p>
            <w:pPr>
              <w:ind w:left="100"/>
            </w:pPr>
            <w:r/>
            <w:r>
              <w:rPr>
                <w:b/>
                <w:sz w:val="16"/>
              </w:rPr>
              <w:t>total_actif</w:t>
              <w:br/>
            </w:r>
            <w:r>
              <w:rPr>
                <w:sz w:val="18"/>
              </w:rPr>
              <w:t>4,15 milliards FCFA</w:t>
            </w:r>
          </w:p>
        </w:tc>
      </w:tr>
      <w:tr>
        <w:tc>
          <w:tcPr>
            <w:tcW w:type="dxa" w:w="2160"/>
          </w:tcPr>
          <w:p>
            <w:r/>
            <w:r>
              <w:rPr>
                <w:b/>
                <w:sz w:val="16"/>
              </w:rPr>
              <w:t>resultat_net</w:t>
              <w:br/>
            </w:r>
            <w:r>
              <w:rPr>
                <w:sz w:val="18"/>
              </w:rPr>
              <w:t>119,2 millions FCFA (bénéfice)</w:t>
            </w:r>
          </w:p>
        </w:tc>
        <w:tc>
          <w:tcPr>
            <w:tcW w:type="dxa" w:w="2160"/>
          </w:tcPr>
          <w:p>
            <w:r/>
            <w:r>
              <w:rPr>
                <w:b/>
                <w:sz w:val="16"/>
              </w:rPr>
              <w:t>capitaux_propres</w:t>
              <w:br/>
            </w:r>
            <w:r>
              <w:rPr>
                <w:sz w:val="18"/>
              </w:rPr>
              <w:t>3,12 milliards FCFA</w:t>
            </w:r>
          </w:p>
        </w:tc>
        <w:tc>
          <w:tcPr>
            <w:tcW w:type="dxa" w:w="2160"/>
          </w:tcPr>
          <w:p>
            <w:r/>
            <w:r>
              <w:rPr>
                <w:b/>
                <w:sz w:val="16"/>
              </w:rPr>
              <w:t>chiffre_affaires</w:t>
              <w:br/>
            </w:r>
            <w:r>
              <w:rPr>
                <w:sz w:val="18"/>
              </w:rPr>
              <w:t>1,38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 1,38 Md FCFA (-41 %)</w:t>
      </w:r>
    </w:p>
    <w:p>
      <w:pPr>
        <w:pStyle w:val="ListBullet"/>
        <w:spacing w:before="20" w:after="20"/>
        <w:ind w:left="700"/>
      </w:pPr>
      <w:r>
        <w:rPr>
          <w:sz w:val="18"/>
        </w:rPr>
        <w:t>EBE en recul à 165 M FCFA</w:t>
      </w:r>
    </w:p>
    <w:p>
      <w:pPr>
        <w:pStyle w:val="ListBullet"/>
        <w:spacing w:before="20" w:after="20"/>
        <w:ind w:left="700"/>
      </w:pPr>
      <w:r>
        <w:rPr>
          <w:sz w:val="18"/>
        </w:rPr>
        <w:t>Bénéfice net 119,2 M FCFA (contre 109,8 M en 2020)</w:t>
      </w:r>
    </w:p>
    <w:p>
      <w:pPr>
        <w:pStyle w:val="ListBullet"/>
        <w:spacing w:before="20" w:after="20"/>
        <w:ind w:left="700"/>
      </w:pPr>
      <w:r>
        <w:rPr>
          <w:sz w:val="18"/>
        </w:rPr>
        <w:t>Résultat soutenu par un résultat financier de +66 M (reprises de provisions), non récurrent</w:t>
      </w:r>
    </w:p>
    <w:p>
      <w:pPr>
        <w:pStyle w:val="ListBullet"/>
        <w:spacing w:before="20" w:after="20"/>
        <w:ind w:left="700"/>
      </w:pPr>
      <w:r>
        <w:rPr>
          <w:sz w:val="18"/>
        </w:rPr>
        <w:t>Report à nouveau en amélioration : -769 M FCFA</w:t>
      </w:r>
    </w:p>
    <w:p>
      <w:pPr>
        <w:pStyle w:val="ListBullet"/>
        <w:spacing w:before="20" w:after="20"/>
        <w:ind w:left="700"/>
      </w:pPr>
      <w:r>
        <w:rPr>
          <w:sz w:val="18"/>
        </w:rPr>
        <w:t>Trésorerie nette quasi rétablie : -6 M (contre -47 M)</w:t>
      </w:r>
    </w:p>
    <w:p>
      <w:pPr>
        <w:spacing w:before="40"/>
        <w:ind w:left="400"/>
      </w:pPr>
      <w:r>
        <w:rPr>
          <w:b/>
          <w:color w:val="C05000"/>
          <w:sz w:val="18"/>
        </w:rPr>
        <w:t xml:space="preserve">⚠️ Risques : </w:t>
      </w:r>
      <w:r>
        <w:rPr>
          <w:sz w:val="18"/>
        </w:rPr>
        <w:t>["Chute du chiffre d'affaires (-41 %) et de l'EBE", "Bénéfice dépendant d'éléments financiers non récurrents (+66 M de reprises)", "Report à nouveau encore négatif (-769 M)", "Volatilité forte de l'activité"]</w:t>
      </w:r>
    </w:p>
    <w:p>
      <w:pPr>
        <w:spacing w:before="40"/>
        <w:ind w:left="400"/>
      </w:pPr>
      <w:r>
        <w:rPr>
          <w:b/>
          <w:color w:val="0064A0"/>
          <w:sz w:val="18"/>
        </w:rPr>
        <w:t xml:space="preserve">🔮 Perspectives : </w:t>
      </w:r>
      <w:r>
        <w:rPr>
          <w:sz w:val="18"/>
        </w:rPr>
        <w:t>Le redressement de la trésorerie est net, mais la baisse du chiffre d'affaires et de l'excédent brut d'exploitation fragilise la rentabilité de fond. Le maintien du bénéfice dépendra d'un rebond des volumes plutôt que d'éléments financiers exceptionnels.</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20.35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5,567 titres</w:t>
            </w:r>
          </w:p>
        </w:tc>
        <w:tc>
          <w:tcPr>
            <w:tcW w:type="dxa" w:w="2268"/>
            <w:shd w:fill="FFF2CC" w:val="clear"/>
          </w:tcPr>
          <w:p>
            <w:r>
              <w:rPr>
                <w:b/>
                <w:color w:val="503200"/>
                <w:sz w:val="16"/>
              </w:rPr>
              <w:t xml:space="preserve">Cours actuel : </w:t>
            </w:r>
            <w:r>
              <w:rPr>
                <w:color w:val="000000"/>
                <w:sz w:val="17"/>
              </w:rPr>
              <w:t>2,330 FCFA</w:t>
            </w:r>
          </w:p>
          <w:p>
            <w:r>
              <w:rPr>
                <w:b/>
                <w:color w:val="503200"/>
                <w:sz w:val="16"/>
              </w:rPr>
              <w:t xml:space="preserve">Var. 100 jours : </w:t>
            </w:r>
            <w:r>
              <w:rPr>
                <w:b/>
                <w:color w:val="B40000"/>
                <w:sz w:val="17"/>
              </w:rPr>
              <w:t>-23.86%</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11.03% (Moyenne) — μ=2,566 FCFA, σ=283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β=0.3196 (Défensif) — Cov=0.000012, Var(idx)=0.000037, ρ=0.061,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Achat=3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annualisée≈51.0%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2,146</w:t>
            </w:r>
          </w:p>
        </w:tc>
        <w:tc>
          <w:tcPr>
            <w:tcW w:type="dxa" w:w="1440"/>
            <w:shd w:fill="FFDCE0" w:val="clear"/>
          </w:tcPr>
          <w:p>
            <w:r>
              <w:rPr>
                <w:b/>
                <w:sz w:val="17"/>
              </w:rPr>
              <w:t>2,230</w:t>
            </w:r>
          </w:p>
        </w:tc>
        <w:tc>
          <w:tcPr>
            <w:tcW w:type="dxa" w:w="1440"/>
            <w:shd w:fill="FFDCE0" w:val="clear"/>
          </w:tcPr>
          <w:p>
            <w:r>
              <w:rPr>
                <w:sz w:val="17"/>
              </w:rPr>
              <w:t>2,315</w:t>
            </w:r>
          </w:p>
        </w:tc>
        <w:tc>
          <w:tcPr>
            <w:tcW w:type="dxa" w:w="1440"/>
            <w:shd w:fill="FFDCE0" w:val="clear"/>
          </w:tcPr>
          <w:p>
            <w:r>
              <w:rPr>
                <w:b/>
                <w:color w:val="C00000"/>
                <w:sz w:val="17"/>
              </w:rPr>
              <w:t>-4.3%</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2,071</w:t>
            </w:r>
          </w:p>
        </w:tc>
        <w:tc>
          <w:tcPr>
            <w:tcW w:type="dxa" w:w="1440"/>
            <w:shd w:fill="FFDCE0" w:val="clear"/>
          </w:tcPr>
          <w:p>
            <w:r>
              <w:rPr>
                <w:b/>
                <w:sz w:val="17"/>
              </w:rPr>
              <w:t>2,189</w:t>
            </w:r>
          </w:p>
        </w:tc>
        <w:tc>
          <w:tcPr>
            <w:tcW w:type="dxa" w:w="1440"/>
            <w:shd w:fill="FFDCE0" w:val="clear"/>
          </w:tcPr>
          <w:p>
            <w:r>
              <w:rPr>
                <w:sz w:val="17"/>
              </w:rPr>
              <w:t>2,306</w:t>
            </w:r>
          </w:p>
        </w:tc>
        <w:tc>
          <w:tcPr>
            <w:tcW w:type="dxa" w:w="1440"/>
            <w:shd w:fill="FFDCE0" w:val="clear"/>
          </w:tcPr>
          <w:p>
            <w:r>
              <w:rPr>
                <w:b/>
                <w:color w:val="C00000"/>
                <w:sz w:val="17"/>
              </w:rPr>
              <w:t>-6.1%</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1,999</w:t>
            </w:r>
          </w:p>
        </w:tc>
        <w:tc>
          <w:tcPr>
            <w:tcW w:type="dxa" w:w="1440"/>
            <w:shd w:fill="FFDCE0" w:val="clear"/>
          </w:tcPr>
          <w:p>
            <w:r>
              <w:rPr>
                <w:b/>
                <w:sz w:val="17"/>
              </w:rPr>
              <w:t>2,140</w:t>
            </w:r>
          </w:p>
        </w:tc>
        <w:tc>
          <w:tcPr>
            <w:tcW w:type="dxa" w:w="1440"/>
            <w:shd w:fill="FFDCE0" w:val="clear"/>
          </w:tcPr>
          <w:p>
            <w:r>
              <w:rPr>
                <w:sz w:val="17"/>
              </w:rPr>
              <w:t>2,281</w:t>
            </w:r>
          </w:p>
        </w:tc>
        <w:tc>
          <w:tcPr>
            <w:tcW w:type="dxa" w:w="1440"/>
            <w:shd w:fill="FFDCE0" w:val="clear"/>
          </w:tcPr>
          <w:p>
            <w:r>
              <w:rPr>
                <w:b/>
                <w:color w:val="C00000"/>
                <w:sz w:val="17"/>
              </w:rPr>
              <w:t>-8.2%</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1,932</w:t>
            </w:r>
          </w:p>
        </w:tc>
        <w:tc>
          <w:tcPr>
            <w:tcW w:type="dxa" w:w="1440"/>
            <w:shd w:fill="FFDCE0" w:val="clear"/>
          </w:tcPr>
          <w:p>
            <w:r>
              <w:rPr>
                <w:b/>
                <w:sz w:val="17"/>
              </w:rPr>
              <w:t>2,091</w:t>
            </w:r>
          </w:p>
        </w:tc>
        <w:tc>
          <w:tcPr>
            <w:tcW w:type="dxa" w:w="1440"/>
            <w:shd w:fill="FFDCE0" w:val="clear"/>
          </w:tcPr>
          <w:p>
            <w:r>
              <w:rPr>
                <w:sz w:val="17"/>
              </w:rPr>
              <w:t>2,250</w:t>
            </w:r>
          </w:p>
        </w:tc>
        <w:tc>
          <w:tcPr>
            <w:tcW w:type="dxa" w:w="1440"/>
            <w:shd w:fill="FFDCE0" w:val="clear"/>
          </w:tcPr>
          <w:p>
            <w:r>
              <w:rPr>
                <w:b/>
                <w:color w:val="C00000"/>
                <w:sz w:val="17"/>
              </w:rPr>
              <w:t>-10.3%</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1,870</w:t>
            </w:r>
          </w:p>
        </w:tc>
        <w:tc>
          <w:tcPr>
            <w:tcW w:type="dxa" w:w="1440"/>
            <w:shd w:fill="FFDCE0" w:val="clear"/>
          </w:tcPr>
          <w:p>
            <w:r>
              <w:rPr>
                <w:b/>
                <w:sz w:val="17"/>
              </w:rPr>
              <w:t>2,043</w:t>
            </w:r>
          </w:p>
        </w:tc>
        <w:tc>
          <w:tcPr>
            <w:tcW w:type="dxa" w:w="1440"/>
            <w:shd w:fill="FFDCE0" w:val="clear"/>
          </w:tcPr>
          <w:p>
            <w:r>
              <w:rPr>
                <w:sz w:val="17"/>
              </w:rPr>
              <w:t>2,217</w:t>
            </w:r>
          </w:p>
        </w:tc>
        <w:tc>
          <w:tcPr>
            <w:tcW w:type="dxa" w:w="1440"/>
            <w:shd w:fill="FFDCE0" w:val="clear"/>
          </w:tcPr>
          <w:p>
            <w:r>
              <w:rPr>
                <w:b/>
                <w:color w:val="C00000"/>
                <w:sz w:val="17"/>
              </w:rPr>
              <w:t>-12.3%</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1,811</w:t>
            </w:r>
          </w:p>
        </w:tc>
        <w:tc>
          <w:tcPr>
            <w:tcW w:type="dxa" w:w="1440"/>
            <w:shd w:fill="FFDCE0" w:val="clear"/>
          </w:tcPr>
          <w:p>
            <w:r>
              <w:rPr>
                <w:b/>
                <w:sz w:val="17"/>
              </w:rPr>
              <w:t>1,997</w:t>
            </w:r>
          </w:p>
        </w:tc>
        <w:tc>
          <w:tcPr>
            <w:tcW w:type="dxa" w:w="1440"/>
            <w:shd w:fill="FFDCE0" w:val="clear"/>
          </w:tcPr>
          <w:p>
            <w:r>
              <w:rPr>
                <w:sz w:val="17"/>
              </w:rPr>
              <w:t>2,183</w:t>
            </w:r>
          </w:p>
        </w:tc>
        <w:tc>
          <w:tcPr>
            <w:tcW w:type="dxa" w:w="1440"/>
            <w:shd w:fill="FFDCE0" w:val="clear"/>
          </w:tcPr>
          <w:p>
            <w:r>
              <w:rPr>
                <w:b/>
                <w:color w:val="C00000"/>
                <w:sz w:val="17"/>
              </w:rPr>
              <w:t>-14.3%</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1,756</w:t>
            </w:r>
          </w:p>
        </w:tc>
        <w:tc>
          <w:tcPr>
            <w:tcW w:type="dxa" w:w="1440"/>
            <w:shd w:fill="FFDCE0" w:val="clear"/>
          </w:tcPr>
          <w:p>
            <w:r>
              <w:rPr>
                <w:b/>
                <w:sz w:val="17"/>
              </w:rPr>
              <w:t>1,952</w:t>
            </w:r>
          </w:p>
        </w:tc>
        <w:tc>
          <w:tcPr>
            <w:tcW w:type="dxa" w:w="1440"/>
            <w:shd w:fill="FFDCE0" w:val="clear"/>
          </w:tcPr>
          <w:p>
            <w:r>
              <w:rPr>
                <w:sz w:val="17"/>
              </w:rPr>
              <w:t>2,149</w:t>
            </w:r>
          </w:p>
        </w:tc>
        <w:tc>
          <w:tcPr>
            <w:tcW w:type="dxa" w:w="1440"/>
            <w:shd w:fill="FFDCE0" w:val="clear"/>
          </w:tcPr>
          <w:p>
            <w:r>
              <w:rPr>
                <w:b/>
                <w:color w:val="C00000"/>
                <w:sz w:val="17"/>
              </w:rPr>
              <w:t>-16.2%</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1,704</w:t>
            </w:r>
          </w:p>
        </w:tc>
        <w:tc>
          <w:tcPr>
            <w:tcW w:type="dxa" w:w="1440"/>
            <w:shd w:fill="FFDCE0" w:val="clear"/>
          </w:tcPr>
          <w:p>
            <w:r>
              <w:rPr>
                <w:b/>
                <w:sz w:val="17"/>
              </w:rPr>
              <w:t>1,909</w:t>
            </w:r>
          </w:p>
        </w:tc>
        <w:tc>
          <w:tcPr>
            <w:tcW w:type="dxa" w:w="1440"/>
            <w:shd w:fill="FFDCE0" w:val="clear"/>
          </w:tcPr>
          <w:p>
            <w:r>
              <w:rPr>
                <w:sz w:val="17"/>
              </w:rPr>
              <w:t>2,114</w:t>
            </w:r>
          </w:p>
        </w:tc>
        <w:tc>
          <w:tcPr>
            <w:tcW w:type="dxa" w:w="1440"/>
            <w:shd w:fill="FFDCE0" w:val="clear"/>
          </w:tcPr>
          <w:p>
            <w:r>
              <w:rPr>
                <w:b/>
                <w:color w:val="C00000"/>
                <w:sz w:val="17"/>
              </w:rPr>
              <w:t>-18.1%</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1,655</w:t>
            </w:r>
          </w:p>
        </w:tc>
        <w:tc>
          <w:tcPr>
            <w:tcW w:type="dxa" w:w="1440"/>
            <w:shd w:fill="FFDCE0" w:val="clear"/>
          </w:tcPr>
          <w:p>
            <w:r>
              <w:rPr>
                <w:b/>
                <w:sz w:val="17"/>
              </w:rPr>
              <w:t>1,868</w:t>
            </w:r>
          </w:p>
        </w:tc>
        <w:tc>
          <w:tcPr>
            <w:tcW w:type="dxa" w:w="1440"/>
            <w:shd w:fill="FFDCE0" w:val="clear"/>
          </w:tcPr>
          <w:p>
            <w:r>
              <w:rPr>
                <w:sz w:val="17"/>
              </w:rPr>
              <w:t>2,081</w:t>
            </w:r>
          </w:p>
        </w:tc>
        <w:tc>
          <w:tcPr>
            <w:tcW w:type="dxa" w:w="1440"/>
            <w:shd w:fill="FFDCE0" w:val="clear"/>
          </w:tcPr>
          <w:p>
            <w:r>
              <w:rPr>
                <w:b/>
                <w:color w:val="C00000"/>
                <w:sz w:val="17"/>
              </w:rPr>
              <w:t>-19.8%</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1,608</w:t>
            </w:r>
          </w:p>
        </w:tc>
        <w:tc>
          <w:tcPr>
            <w:tcW w:type="dxa" w:w="1440"/>
            <w:shd w:fill="FFDCE0" w:val="clear"/>
          </w:tcPr>
          <w:p>
            <w:r>
              <w:rPr>
                <w:b/>
                <w:sz w:val="17"/>
              </w:rPr>
              <w:t>1,828</w:t>
            </w:r>
          </w:p>
        </w:tc>
        <w:tc>
          <w:tcPr>
            <w:tcW w:type="dxa" w:w="1440"/>
            <w:shd w:fill="FFDCE0" w:val="clear"/>
          </w:tcPr>
          <w:p>
            <w:r>
              <w:rPr>
                <w:sz w:val="17"/>
              </w:rPr>
              <w:t>2,047</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SIVC s'établit à 20,35 milliards FCFA, un niveau modeste qui la positionne comme une valeur de seconde ligne sur la BRVM. Avec un BPA de 43 FCFA, le PER ressort à 54,0x, un niveau extrêmement élevé comparé à la moyenne du marché BRVM (8-12x), indiquant que les investisseurs paient une prime considérable pour chaque franc de bénéfice — une situation qui reflète soit des attentes de croissance future importantes, soit une surévaluation manifeste. Le P/B de 6,22x confirme cette lecture : le marché valorise l'action plus de six fois sa valeur comptable, ce qui traduit une prime substantielle par rapport aux actifs nets de l'entreprise. Enfin, l'EV/EBITDA de 17,0x, supérieur au seuil de 15x jugé exigeant, renforce l'idée d'une valorisation très généreuse au regard de la capacité opérationnelle de la société. Ces ratios appellent à une prudence extrême, car ils intègrent des hypothèses de croissance ambitieuses qui pourraient être déçues.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SIVC a enregistré une chute vertigineuse de -23,86%, avec une accélération récente marquée par une baisse de -2,92% lors de la dernière séance. Le cours a évolué dans une fourchette large de 1 920 à 3 215 FCFA, illustrant une volatilité extrême et une pression vendeuse soutenue. La moyenne du cours sur la période (2 566 FCFA) est inférieure à la médiane (2 625 FCFA), suggérant une distribution légèrement asymétrique vers les bas niveaux, cohérente avec la tendance baissière dominante. L'écart-type de 284 FCFA, représentant un coefficient de variation de 11,1%, indique une dispersion modérée des prix autour de la moyenne. Le kurtosis négatif (-0,993) révèle une distribution mésokurtique, sans pics extrêmes ni queues épaisses, tandis que le skewness de -0,132 confirme une symétrie relative. La volatilité annualisée de 51,0% place le titre dans la catégorie des valeurs à risque élevé, bien au-delà du seuil de 30%, ce qui exige une grande prudence pour tout investisseur.</w:t>
      </w:r>
    </w:p>
    <w:p>
      <w:pPr>
        <w:spacing w:after="120" w:line="276" w:lineRule="auto" w:before="240"/>
      </w:pPr>
      <w:r>
        <w:rPr>
          <w:b/>
          <w:color w:val="003366"/>
          <w:sz w:val="24"/>
        </w:rPr>
        <w:t>**PARTIE 2 : ANALYSE TECHNIQUE DÉTAILLÉE**</w:t>
      </w:r>
    </w:p>
    <w:p>
      <w:pPr>
        <w:spacing w:after="120" w:line="276" w:lineRule="auto"/>
      </w:pPr>
      <w:r>
        <w:t>**Moyennes Mobiles** : Le cours actuel de 2 330 FCFA se positionne sous la MM20 (2 363,25 FCFA) mais au-dessus de la MM50 (2 316,9 FCFA), créant une configuration ambiguë. La décision d'achat signalée semble prématurée, car le cours évolue dans un canal baissier de moyen terme. La proximité du cours avec la MM50 suggère un test imminent de ce support dynamique ; une cassure sous les 2 316 FCFA ouvrirait la voie vers les 2 225 FCFA.</w:t>
      </w:r>
    </w:p>
    <w:p>
      <w:pPr>
        <w:spacing w:after="120" w:line="276" w:lineRule="auto"/>
      </w:pPr>
      <w:r>
        <w:t>**Bandes de Bollinger** : Le prix se situe à 2 330 FCFA, proche de la borne inférieure (2 225,2 FCFA) et nettement sous la borne supérieure (2 501,3 FCFA). Cette position indique une pression vendeuse persistante, avec un écartement des bandes qui traduit une volatilité accrue. La décision neutre est justifiée : le titre n'est pas en situation de survente extrême, mais la dynamique reste fragile.</w:t>
      </w:r>
    </w:p>
    <w:p>
      <w:pPr>
        <w:spacing w:after="120" w:line="276" w:lineRule="auto"/>
      </w:pPr>
      <w:r>
        <w:t>**MACD** : La valeur du MACD (12,97) est supérieure à sa ligne de signal (10,46), générant un signal d'achat technique. Cependant, cette divergence positive s'inscrit dans un contexte de tendance baissière globale, ce qui affaiblit la portée de ce signal. Le momentum semble se stabiliser, mais sans confirmation d'un retournement majeur.</w:t>
      </w:r>
    </w:p>
    <w:p>
      <w:pPr>
        <w:spacing w:after="120" w:line="276" w:lineRule="auto"/>
      </w:pPr>
      <w:r>
        <w:t>**RSI** : À 37,8, le RSI se situe en zone neutre, proche du seuil de survente (30). Cette valeur reflète une faiblesse relative du titre sans pour autant signaler un rebond imminent. La décision neutre est cohérente : le marché n'est pas encore en situation de survente extrême, mais la pression vendeuse demeure perceptible.</w:t>
      </w:r>
    </w:p>
    <w:p>
      <w:pPr>
        <w:spacing w:after="120" w:line="276" w:lineRule="auto"/>
      </w:pPr>
      <w:r>
        <w:t>**Stochastique** : Le %K (17,4) est nettement inférieur au %D (62,7), indiquant une dynamique baissière récente. Le croisement baissier de ces deux lignes suggère une poursuite potentielle du mouvement de repli. La décision d'achat signalée semble contradictoire avec la configuration actuelle, qui penche plutôt vers une poursuite de la faiblesse à court terme.</w:t>
      </w:r>
    </w:p>
    <w:p>
      <w:pPr>
        <w:spacing w:after="120" w:line="276" w:lineRule="auto"/>
      </w:pPr>
      <w:r>
        <w:t>**Conclusion technique** : Les signaux techniques sont mitigés, avec une prédominance baissière. Les moyennes mobiles et le RSI indiquent une faiblesse persistante, tandis que le MACD et le stochastique suggèrent un potentiel rebond technique. La configuration des bandes de Bollinger renforce la prudence. Globalement, la tendance de fond reste baissière, et tout signal haussier doit être confirmé par une reprise durable au-dessus de 2 400 FCFA.</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révèlent une situation financière contrastée pour SIVC. Le chiffre d'affaires s'établit à 9,283 milliards FCFA, en croissance de +9,05%, mais le résultat net n'atteint que 376,96 millions FCFA, soit une marge nette de 4,06%. Le ROE de 11,52% reste inférieur au seuil d'excellence de 15%, tandis que le ROA de 2,69% témoigne d'une utilisation modérée des actifs. Le coefficient d'exploitation de 95,83% est alarmant pour une banque — bien au-dessus du seuil d'efficacité de 60% — indiquant des charges opérationnelles disproportionnées par rapport au PNB. Le coût du risque de 3,10% signale un portefeuille de crédits dégradé, avec des provisions significatives. Les capitaux propres de 3,272 milliards FCFA représentent une autonomie financière de 23,34%, en dessous du seuil de 30% jugé sain. Le rapport annuel 2025 (analysé par DeepSeek le 29 juin 2026) confirme cette dégradation : le chiffre d'affaires progresse à 10,07 milliards FCFA (+8,53%), mais le résultat net chute de 52,4% à 179,3 millions FCFA, avec une marge nette réduite à 1,78%. Les capitaux propres diminuent à 2,53 milliards FCFA, l'endettement financier augmente à 4,16 milliards FCFA, et la trésorerie nette reste négative à -1,66 milliard FCFA. Le rapport du 3e trimestre 2025 (date inconnue) fait état d'un résultat net cumulé de 832,5 millions FCFA (+58%), suggérant une amélioration en fin d'année, mais le rapport annuel 2025 contredit cette tendance avec un résultat net final de seulement 179 millions FCFA, révélant un quatrième trimestre fortement déficitaire. La recommandation fondamentale est de conserver le titre avec une surveillance accrue, compte tenu de la fragilité financière persistante et de l'absence de distribution de dividendes.</w:t>
      </w:r>
    </w:p>
    <w:p>
      <w:pPr>
        <w:spacing w:after="120" w:line="276" w:lineRule="auto" w:before="240"/>
      </w:pPr>
      <w:r>
        <w:rPr>
          <w:b/>
          <w:color w:val="003366"/>
          <w:sz w:val="24"/>
        </w:rPr>
        <w:t>**PARTIE 4 : CONCLUSION D'INVESTISSEMENT**</w:t>
      </w:r>
    </w:p>
    <w:p>
      <w:pPr>
        <w:spacing w:after="120" w:line="276" w:lineRule="auto"/>
      </w:pPr>
      <w:r>
        <w:t>La synthèse des analyses fait ressortir une configuration défavorable pour l'action SIVC. La valorisation (Partie 0) est extrêmement exigeante avec un PER de 54x et un P/B de 6,22x, indiquant une surévaluation manifeste au regard des fondamentaux. Le comportement du cours (Partie 1) est préoccupant avec une chute de 23,86% sur 100 jours et une volatilité annualisée de 51%, reflétant une instabilité persistante. Les signaux techniques (Partie 2) sont mitigés mais globalement baissiers, avec une tendance de fond négative malgré quelques signaux de rebond technique. Les fondamentaux (Partie 3) montrent une dégradation alarmante : le résultat net 2025 chute de 52% malgré une croissance du chiffre d'affaires, les capitaux propres s'érodent, et l'endettement augmente. Les prédictions IA pour les 10 prochains jours (J+1 à J+10) confirment cette tendance baissière avec une trajectoire allant de 2 230 à 2 043 FCFA, soit une baisse supplémentaire potentielle de 12%. La convergence entre la surévaluation, la faiblesse technique, la dégradation fondamentale et les prédictions baissières justifie une recommandation de **VENTE**. Le niveau de confiance est **élevé** en raison de la cohérence des signaux, le risque global est **élevé**, et l'horizon d'investissement optimal est le **court terme** (&lt;3 mois) pour les investisseurs cherchant à limiter leurs pertes, ou l'abstention totale pour les nouveaux entrants.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613.17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1,255 titres</w:t>
            </w:r>
          </w:p>
        </w:tc>
        <w:tc>
          <w:tcPr>
            <w:tcW w:type="dxa" w:w="2268"/>
            <w:shd w:fill="FFF2CC" w:val="clear"/>
          </w:tcPr>
          <w:p>
            <w:r>
              <w:rPr>
                <w:b/>
                <w:color w:val="503200"/>
                <w:sz w:val="16"/>
              </w:rPr>
              <w:t xml:space="preserve">Cours actuel : </w:t>
            </w:r>
            <w:r>
              <w:rPr>
                <w:color w:val="000000"/>
                <w:sz w:val="17"/>
              </w:rPr>
              <w:t>37,250 FCFA</w:t>
            </w:r>
          </w:p>
          <w:p>
            <w:r>
              <w:rPr>
                <w:b/>
                <w:color w:val="503200"/>
                <w:sz w:val="16"/>
              </w:rPr>
              <w:t xml:space="preserve">Var. 100 jours : </w:t>
            </w:r>
            <w:r>
              <w:rPr>
                <w:b/>
                <w:color w:val="007800"/>
                <w:sz w:val="17"/>
              </w:rPr>
              <w:t>+0.13%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2.50% (Faible) — μ=38,306 FCFA, σ=959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β=0.0203 (Défensif) — Cov=0.000001, Var(idx)=0.000037, ρ=0.007,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36,353</w:t>
            </w:r>
          </w:p>
        </w:tc>
        <w:tc>
          <w:tcPr>
            <w:tcW w:type="dxa" w:w="1440"/>
            <w:shd w:fill="FAFAFA" w:val="clear"/>
          </w:tcPr>
          <w:p>
            <w:r>
              <w:rPr>
                <w:b/>
                <w:sz w:val="17"/>
              </w:rPr>
              <w:t>37,611</w:t>
            </w:r>
          </w:p>
        </w:tc>
        <w:tc>
          <w:tcPr>
            <w:tcW w:type="dxa" w:w="1440"/>
            <w:shd w:fill="FAFAFA" w:val="clear"/>
          </w:tcPr>
          <w:p>
            <w:r>
              <w:rPr>
                <w:sz w:val="17"/>
              </w:rPr>
              <w:t>38,870</w:t>
            </w:r>
          </w:p>
        </w:tc>
        <w:tc>
          <w:tcPr>
            <w:tcW w:type="dxa" w:w="1440"/>
            <w:shd w:fill="FAFAFA" w:val="clear"/>
          </w:tcPr>
          <w:p>
            <w:r>
              <w:rPr>
                <w:b/>
                <w:color w:val="008000"/>
                <w:sz w:val="17"/>
              </w:rPr>
              <w:t>+1.0%</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35,724</w:t>
            </w:r>
          </w:p>
        </w:tc>
        <w:tc>
          <w:tcPr>
            <w:tcW w:type="dxa" w:w="1440"/>
            <w:shd w:fill="FAFAFA" w:val="clear"/>
          </w:tcPr>
          <w:p>
            <w:r>
              <w:rPr>
                <w:b/>
                <w:sz w:val="17"/>
              </w:rPr>
              <w:t>37,498</w:t>
            </w:r>
          </w:p>
        </w:tc>
        <w:tc>
          <w:tcPr>
            <w:tcW w:type="dxa" w:w="1440"/>
            <w:shd w:fill="FAFAFA" w:val="clear"/>
          </w:tcPr>
          <w:p>
            <w:r>
              <w:rPr>
                <w:sz w:val="17"/>
              </w:rPr>
              <w:t>39,273</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35,277</w:t>
            </w:r>
          </w:p>
        </w:tc>
        <w:tc>
          <w:tcPr>
            <w:tcW w:type="dxa" w:w="1440"/>
            <w:shd w:fill="FAFAFA" w:val="clear"/>
          </w:tcPr>
          <w:p>
            <w:r>
              <w:rPr>
                <w:b/>
                <w:sz w:val="17"/>
              </w:rPr>
              <w:t>37,447</w:t>
            </w:r>
          </w:p>
        </w:tc>
        <w:tc>
          <w:tcPr>
            <w:tcW w:type="dxa" w:w="1440"/>
            <w:shd w:fill="FAFAFA" w:val="clear"/>
          </w:tcPr>
          <w:p>
            <w:r>
              <w:rPr>
                <w:sz w:val="17"/>
              </w:rPr>
              <w:t>39,618</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34,907</w:t>
            </w:r>
          </w:p>
        </w:tc>
        <w:tc>
          <w:tcPr>
            <w:tcW w:type="dxa" w:w="1440"/>
            <w:shd w:fill="FAFAFA" w:val="clear"/>
          </w:tcPr>
          <w:p>
            <w:r>
              <w:rPr>
                <w:b/>
                <w:sz w:val="17"/>
              </w:rPr>
              <w:t>37,411</w:t>
            </w:r>
          </w:p>
        </w:tc>
        <w:tc>
          <w:tcPr>
            <w:tcW w:type="dxa" w:w="1440"/>
            <w:shd w:fill="FAFAFA" w:val="clear"/>
          </w:tcPr>
          <w:p>
            <w:r>
              <w:rPr>
                <w:sz w:val="17"/>
              </w:rPr>
              <w:t>39,915</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34,581</w:t>
            </w:r>
          </w:p>
        </w:tc>
        <w:tc>
          <w:tcPr>
            <w:tcW w:type="dxa" w:w="1440"/>
            <w:shd w:fill="FAFAFA" w:val="clear"/>
          </w:tcPr>
          <w:p>
            <w:r>
              <w:rPr>
                <w:b/>
                <w:sz w:val="17"/>
              </w:rPr>
              <w:t>37,378</w:t>
            </w:r>
          </w:p>
        </w:tc>
        <w:tc>
          <w:tcPr>
            <w:tcW w:type="dxa" w:w="1440"/>
            <w:shd w:fill="FAFAFA" w:val="clear"/>
          </w:tcPr>
          <w:p>
            <w:r>
              <w:rPr>
                <w:sz w:val="17"/>
              </w:rPr>
              <w:t>40,175</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34,284</w:t>
            </w:r>
          </w:p>
        </w:tc>
        <w:tc>
          <w:tcPr>
            <w:tcW w:type="dxa" w:w="1440"/>
            <w:shd w:fill="FAFAFA" w:val="clear"/>
          </w:tcPr>
          <w:p>
            <w:r>
              <w:rPr>
                <w:b/>
                <w:sz w:val="17"/>
              </w:rPr>
              <w:t>37,345</w:t>
            </w:r>
          </w:p>
        </w:tc>
        <w:tc>
          <w:tcPr>
            <w:tcW w:type="dxa" w:w="1440"/>
            <w:shd w:fill="FAFAFA" w:val="clear"/>
          </w:tcPr>
          <w:p>
            <w:r>
              <w:rPr>
                <w:sz w:val="17"/>
              </w:rPr>
              <w:t>40,406</w:t>
            </w:r>
          </w:p>
        </w:tc>
        <w:tc>
          <w:tcPr>
            <w:tcW w:type="dxa" w:w="1440"/>
            <w:shd w:fill="FAFAFA" w:val="clear"/>
          </w:tcPr>
          <w:p>
            <w:r>
              <w:rPr>
                <w:b/>
                <w:color w:val="008000"/>
                <w:sz w:val="17"/>
              </w:rPr>
              <w:t>+0.3%</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34,009</w:t>
            </w:r>
          </w:p>
        </w:tc>
        <w:tc>
          <w:tcPr>
            <w:tcW w:type="dxa" w:w="1440"/>
            <w:shd w:fill="FAFAFA" w:val="clear"/>
          </w:tcPr>
          <w:p>
            <w:r>
              <w:rPr>
                <w:b/>
                <w:sz w:val="17"/>
              </w:rPr>
              <w:t>37,313</w:t>
            </w:r>
          </w:p>
        </w:tc>
        <w:tc>
          <w:tcPr>
            <w:tcW w:type="dxa" w:w="1440"/>
            <w:shd w:fill="FAFAFA" w:val="clear"/>
          </w:tcPr>
          <w:p>
            <w:r>
              <w:rPr>
                <w:sz w:val="17"/>
              </w:rPr>
              <w:t>40,616</w:t>
            </w:r>
          </w:p>
        </w:tc>
        <w:tc>
          <w:tcPr>
            <w:tcW w:type="dxa" w:w="1440"/>
            <w:shd w:fill="FAFAFA" w:val="clear"/>
          </w:tcPr>
          <w:p>
            <w:r>
              <w:rPr>
                <w:b/>
                <w:color w:val="008000"/>
                <w:sz w:val="17"/>
              </w:rPr>
              <w:t>+0.2%</w:t>
            </w:r>
          </w:p>
        </w:tc>
      </w:tr>
      <w:tr>
        <w:tc>
          <w:tcPr>
            <w:tcW w:type="dxa" w:w="1440"/>
            <w:shd w:fill="FAFAFA" w:val="clear"/>
          </w:tcPr>
          <w:p>
            <w:r>
              <w:rPr>
                <w:sz w:val="17"/>
              </w:rPr>
              <w:t>J+8  ⭐</w:t>
            </w:r>
          </w:p>
        </w:tc>
        <w:tc>
          <w:tcPr>
            <w:tcW w:type="dxa" w:w="1440"/>
            <w:shd w:fill="FAFAFA" w:val="clear"/>
          </w:tcPr>
          <w:p>
            <w:r>
              <w:rPr>
                <w:sz w:val="17"/>
              </w:rPr>
              <w:t>2026-09-16</w:t>
            </w:r>
          </w:p>
        </w:tc>
        <w:tc>
          <w:tcPr>
            <w:tcW w:type="dxa" w:w="1440"/>
            <w:shd w:fill="FAFAFA" w:val="clear"/>
          </w:tcPr>
          <w:p>
            <w:r>
              <w:rPr>
                <w:sz w:val="17"/>
              </w:rPr>
              <w:t>33,752</w:t>
            </w:r>
          </w:p>
        </w:tc>
        <w:tc>
          <w:tcPr>
            <w:tcW w:type="dxa" w:w="1440"/>
            <w:shd w:fill="FAFAFA" w:val="clear"/>
          </w:tcPr>
          <w:p>
            <w:r>
              <w:rPr>
                <w:b/>
                <w:sz w:val="17"/>
              </w:rPr>
              <w:t>37,281</w:t>
            </w:r>
          </w:p>
        </w:tc>
        <w:tc>
          <w:tcPr>
            <w:tcW w:type="dxa" w:w="1440"/>
            <w:shd w:fill="FAFAFA" w:val="clear"/>
          </w:tcPr>
          <w:p>
            <w:r>
              <w:rPr>
                <w:sz w:val="17"/>
              </w:rPr>
              <w:t>40,809</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2026-09-17</w:t>
            </w:r>
          </w:p>
        </w:tc>
        <w:tc>
          <w:tcPr>
            <w:tcW w:type="dxa" w:w="1440"/>
            <w:shd w:fill="FAFAFA" w:val="clear"/>
          </w:tcPr>
          <w:p>
            <w:r>
              <w:rPr>
                <w:sz w:val="17"/>
              </w:rPr>
              <w:t>33,509</w:t>
            </w:r>
          </w:p>
        </w:tc>
        <w:tc>
          <w:tcPr>
            <w:tcW w:type="dxa" w:w="1440"/>
            <w:shd w:fill="FAFAFA" w:val="clear"/>
          </w:tcPr>
          <w:p>
            <w:r>
              <w:rPr>
                <w:b/>
                <w:sz w:val="17"/>
              </w:rPr>
              <w:t>37,248</w:t>
            </w:r>
          </w:p>
        </w:tc>
        <w:tc>
          <w:tcPr>
            <w:tcW w:type="dxa" w:w="1440"/>
            <w:shd w:fill="FAFAFA" w:val="clear"/>
          </w:tcPr>
          <w:p>
            <w:r>
              <w:rPr>
                <w:sz w:val="17"/>
              </w:rPr>
              <w:t>40,988</w:t>
            </w:r>
          </w:p>
        </w:tc>
        <w:tc>
          <w:tcPr>
            <w:tcW w:type="dxa" w:w="1440"/>
            <w:shd w:fill="FAFAFA" w:val="clear"/>
          </w:tcPr>
          <w:p>
            <w:r>
              <w:rPr>
                <w:b/>
                <w:color w:val="C00000"/>
                <w:sz w:val="17"/>
              </w:rPr>
              <w:t>-0.0%</w:t>
            </w:r>
          </w:p>
        </w:tc>
      </w:tr>
      <w:tr>
        <w:tc>
          <w:tcPr>
            <w:tcW w:type="dxa" w:w="1440"/>
            <w:shd w:fill="FAFAFA" w:val="clear"/>
          </w:tcPr>
          <w:p>
            <w:r>
              <w:rPr>
                <w:sz w:val="17"/>
              </w:rPr>
              <w:t>J+10  ⭐</w:t>
            </w:r>
          </w:p>
        </w:tc>
        <w:tc>
          <w:tcPr>
            <w:tcW w:type="dxa" w:w="1440"/>
            <w:shd w:fill="FAFAFA" w:val="clear"/>
          </w:tcPr>
          <w:p>
            <w:r>
              <w:rPr>
                <w:sz w:val="17"/>
              </w:rPr>
              <w:t>2026-09-18</w:t>
            </w:r>
          </w:p>
        </w:tc>
        <w:tc>
          <w:tcPr>
            <w:tcW w:type="dxa" w:w="1440"/>
            <w:shd w:fill="FAFAFA" w:val="clear"/>
          </w:tcPr>
          <w:p>
            <w:r>
              <w:rPr>
                <w:sz w:val="17"/>
              </w:rPr>
              <w:t>33,278</w:t>
            </w:r>
          </w:p>
        </w:tc>
        <w:tc>
          <w:tcPr>
            <w:tcW w:type="dxa" w:w="1440"/>
            <w:shd w:fill="FAFAFA" w:val="clear"/>
          </w:tcPr>
          <w:p>
            <w:r>
              <w:rPr>
                <w:b/>
                <w:sz w:val="17"/>
              </w:rPr>
              <w:t>37,216</w:t>
            </w:r>
          </w:p>
        </w:tc>
        <w:tc>
          <w:tcPr>
            <w:tcW w:type="dxa" w:w="1440"/>
            <w:shd w:fill="FAFAFA" w:val="clear"/>
          </w:tcPr>
          <w:p>
            <w:r>
              <w:rPr>
                <w:sz w:val="17"/>
              </w:rPr>
              <w:t>41,154</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SOLIBRA (SLBC) — BRVM**</w:t>
      </w:r>
    </w:p>
    <w:p>
      <w:pPr>
        <w:spacing w:after="120" w:line="276" w:lineRule="auto" w:before="240"/>
      </w:pPr>
      <w:r>
        <w:rPr>
          <w:b/>
          <w:color w:val="003366"/>
          <w:sz w:val="24"/>
        </w:rPr>
        <w:t>**PARTIE 0 : INDICATEURS DE VALORISATION BOURSIÈRE**</w:t>
      </w:r>
    </w:p>
    <w:p>
      <w:pPr>
        <w:spacing w:after="120" w:line="276" w:lineRule="auto"/>
      </w:pPr>
      <w:r>
        <w:t>La capitalisation boursière de SOLIBRA s'établit à 613,17 milliards FCFA, ce qui en fait l'une des valeurs les plus significatives de la BRVM, reflétant sa position dominante dans le secteur des boissons en Afrique de l'Ouest. Avec un BPA de 2 781 FCFA, le titre se négocie à un PER de 13,4x, légèrement au-dessus de la moyenne historique de la place (~8-12x), ce qui traduit une prime de croissance accordée par le marché aux excellentes performances récentes de la société. Le P/B de 3,14x confirme cette prime, le marché valorisant le titre bien au-delà de sa valeur comptable, en reconnaissance de sa rentabilité supérieure. Enfin, un EV/EBITDA de 7,3x, situé dans la fourchette raisonnable de 5-10x, indique que la valorisation globale de l'entreprise, rapportée à sa capacité opérationnelle, reste mesurée et justifiable par la solidité de ses flux de trésorerie.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SLBC affiche une variation totale quasi nulle de +0,13%, mais a subi une baisse notable de -1,95% lors de la dernière séance, suggérant une pression vendeuse récente. Le cours a évolué dans un range de 35 540 FCFA (plus bas) à 41 500 FCFA (plus haut), démontrant une amplitude de trading significative d'environ 17%. La moyenne (38 306 FCFA) et la médiane (38 005 FCFA) étant très proches, avec un mode à 38 000 FCFA, la distribution des prix est relativement symétrique, ce que confirme un skewness de 0,322. L'écart-type de 964 FCFA (CV=2,5%) indique une dispersion très faible autour de la moyenne, et le kurtosis de 0,269 (mésokurtique) suggère l'absence de mouvements extrêmes fréquents. La volatilité annualisée de 29,8% classe le titre dans la catégorie à volatilité élevée, proche de la limite supérieure de la fourchette modérée, ce qui implique un risque de prix non négligeable pour les investisseurs.</w:t>
      </w:r>
    </w:p>
    <w:p>
      <w:pPr>
        <w:spacing w:after="120" w:line="276" w:lineRule="auto" w:before="240"/>
      </w:pPr>
      <w:r>
        <w:rPr>
          <w:b/>
          <w:color w:val="003366"/>
          <w:sz w:val="24"/>
        </w:rPr>
        <w:t>**PARTIE 2 : ANALYSE TECHNIQUE DÉTAILLÉE**</w:t>
      </w:r>
    </w:p>
    <w:p>
      <w:pPr>
        <w:spacing w:after="120" w:line="276" w:lineRule="auto"/>
      </w:pPr>
      <w:r>
        <w:t>**Moyennes Mobiles**: Le cours actuel de 37 250 FCFA est inférieur à la MM20 (37 554,5 FCFA) et nettement sous la MM50 (38 429,9 FCFA). Cette configuration baissière, où les moyennes à court terme sont sous les moyennes à long terme, indique une tendance négative, justifiant la décision de Vente.</w:t>
      </w:r>
    </w:p>
    <w:p>
      <w:pPr>
        <w:spacing w:after="120" w:line="276" w:lineRule="auto"/>
      </w:pPr>
      <w:r>
        <w:t>**Bandes de Bollinger**: Le prix se situe entre la borne inférieure (36 760,994 FCFA) et la borne supérieure (38 348,006 FCFA), proche de la zone médiane. La largeur des bandes suggère une volatilité modérée. La position du cours, sans contact avec les bornes, indique un mouvement sans direction claire, d'où la décision Neutre.</w:t>
      </w:r>
    </w:p>
    <w:p>
      <w:pPr>
        <w:spacing w:after="120" w:line="276" w:lineRule="auto"/>
      </w:pPr>
      <w:r>
        <w:t>**MACD**: La valeur du MACD (-160,177) est supérieure à son signal (-226,757), formant un croisement haussier. Bien que les deux indicateurs soient en territoire négatif, cette divergence positive signale un momentum haussier émergent, justifiant la décision d'Achat.</w:t>
      </w:r>
    </w:p>
    <w:p>
      <w:pPr>
        <w:spacing w:after="120" w:line="276" w:lineRule="auto"/>
      </w:pPr>
      <w:r>
        <w:t>**RSI**: Le RSI est exactement à 50,0, une position neutre qui indique un équilibre entre les forces acheteuses et vendeuses. Le titre n'est ni suracheté ni survendu, ce qui laisse une marge de manœuvre dans les deux sens, d'où la décision Neutre.</w:t>
      </w:r>
    </w:p>
    <w:p>
      <w:pPr>
        <w:spacing w:after="120" w:line="276" w:lineRule="auto"/>
      </w:pPr>
      <w:r>
        <w:t>**Stochastique**: Le %K (25,0) est nettement inférieur au %D (74,333), indiquant que le titre est en zone de survente et que la dynamique baissière récente pourrait s'essouffler. Cependant, l'écart important entre les deux lignes ne montre pas encore de croisement haussier, justifiant la décision Neutre.</w:t>
      </w:r>
    </w:p>
    <w:p>
      <w:pPr>
        <w:spacing w:after="120" w:line="276" w:lineRule="auto"/>
      </w:pPr>
      <w:r>
        <w:t>**Conclusion technique**: L'analyse technique présente un tableau mitigé. La tendance de fond (MM) est baissière, mais des signaux de retournement commencent à apparaître (MACD). Le RSI et le Stochastique suggèrent un potentiel de rebond technique, mais la prudence reste de mise tant que le cours ne repasse pas au-dessus de la MM20. Le signal global est donc incertain, avec un biais légèrement négatif à court terme.</w:t>
      </w:r>
    </w:p>
    <w:p>
      <w:pPr>
        <w:spacing w:after="120" w:line="276" w:lineRule="auto" w:before="240"/>
      </w:pPr>
      <w:r>
        <w:rPr>
          <w:b/>
          <w:color w:val="003366"/>
          <w:sz w:val="24"/>
        </w:rPr>
        <w:t>**PARTIE 3 : ANALYSE FONDAMENTALE (SECTION CRITIQUE)**</w:t>
      </w:r>
    </w:p>
    <w:p>
      <w:pPr>
        <w:spacing w:after="120" w:line="276" w:lineRule="auto"/>
      </w:pPr>
      <w:r>
        <w:t>En 2025, SOLIBRA a réalisé des performances financières exceptionnelles, avec un chiffre d'affaires de 378,123 milliards FCFA, en hausse de 22,1% par rapport à 2024, et un résultat net de 45,781 milliards FCFA, soit une progression spectaculaire de 113% (source : rapport annuel 2025). Cette performance s'explique par une amélioration drastique de la marge opérationnelle (17,2%) et de la marge nette (12,1%), contre 6,9% en 2024. La rentabilité des fonds propres (ROE) atteint un niveau excellent de 23,5%, et le ROA de 13,5% confirme l'efficacité de l'utilisation des actifs. La structure financière est saine avec une autonomie financière de 57,5% et une capacité de remboursement rapide (0,67 an). Le BFR de 61,6 milliards FCFA, bien que positif, est financé par un fonds de roulement confortable de 83,7 milliards FCFA. Les délais de paiement clients (64 jours) et de stockage (117 jours) sont des points de vigilance, mais restent gérables. Sur la base du rapport du T1 2026 (CA de 93,46 milliards FCFA, +7,6% et résultat net de 16,26 milliards FCFA, +4,8%), on estime que l'exercice 2026 devrait confirmer la tendance positive, avec une croissance plus modérée mais une rentabilité maintenue à un niveau élevé. La politique de dividende est très généreuse, avec un taux de distribution de 76,5% pour 2025, soutenue par une trésorerie nette positive de 22,1 milliards FCFA.</w:t>
      </w:r>
    </w:p>
    <w:p>
      <w:pPr>
        <w:spacing w:after="120" w:line="276" w:lineRule="auto" w:before="240"/>
      </w:pPr>
      <w:r>
        <w:rPr>
          <w:b/>
          <w:color w:val="003366"/>
          <w:sz w:val="24"/>
        </w:rPr>
        <w:t>**PARTIE 4 : CONCLUSION D'INVESTISSEMENT**</w:t>
      </w:r>
    </w:p>
    <w:p>
      <w:pPr>
        <w:spacing w:after="120" w:line="276" w:lineRule="auto"/>
      </w:pPr>
      <w:r>
        <w:t>La valorisation de SLBC (PER 13,4x, P/B 3,14x) est légèrement supérieure aux moyennes du marché, mais justifiée par une croissance des bénéfices exceptionnelle et une rentabilité (ROE 23,5%) très supérieure à la moyenne. Le comportement du cours sur 100 jours montre une stabilité relative, mais la récente baisse de -1,95% et la volatilité élevée (29,8%) appellent à la prudence à court terme. Les signaux techniques sont partagés, avec une tendance baissière (MM) mais des indicateurs de momentum (MACD) montrant des signes d'épuisement de la baisse. Les fondamentaux, eux, sont extrêmement solides, avec une croissance à deux chiffres, une rentabilité en forte amélioration et une politique de dividende attractive. Les prédictions IA pour les 10 prochains jours (37 611 à 37 378 FCFA) suggèrent une stabilisation du cours autour de 37 400 FCFA, confirmant l'hypothèse d'un essoufflement de la tendance baissière. En synthèse, la convergence entre des fondamentaux robustes et une stabilisation technique prévue indique que le potentiel haussier à moyen terme est significatif. **Recommandation : ACHAT** pour les investisseurs avec un horizon de moyen à long terme (6-12 mois), visant à capter à la fois la croissance future et le rendement du dividende. Niveau de confiance : **Élevé**. Niveau de risque : **Moyen**.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136.42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1,471 titres</w:t>
            </w:r>
          </w:p>
        </w:tc>
        <w:tc>
          <w:tcPr>
            <w:tcW w:type="dxa" w:w="2268"/>
            <w:shd w:fill="FFF2CC" w:val="clear"/>
          </w:tcPr>
          <w:p>
            <w:r>
              <w:rPr>
                <w:b/>
                <w:color w:val="503200"/>
                <w:sz w:val="16"/>
              </w:rPr>
              <w:t xml:space="preserve">Cours actuel : </w:t>
            </w:r>
            <w:r>
              <w:rPr>
                <w:color w:val="000000"/>
                <w:sz w:val="17"/>
              </w:rPr>
              <w:t>17,500 FCFA</w:t>
            </w:r>
          </w:p>
          <w:p>
            <w:r>
              <w:rPr>
                <w:b/>
                <w:color w:val="503200"/>
                <w:sz w:val="16"/>
              </w:rPr>
              <w:t xml:space="preserve">Var. 100 jours : </w:t>
            </w:r>
            <w:r>
              <w:rPr>
                <w:b/>
                <w:color w:val="007800"/>
                <w:sz w:val="17"/>
              </w:rPr>
              <w:t>+50.86%</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14.53% (Moyenne) — μ=14,923 FCFA, σ=2,168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β=-0.6424 (Contre-cyclique) — Cov=-0.000024, Var(idx)=0.000037, ρ=-0.172,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16,799</w:t>
            </w:r>
          </w:p>
        </w:tc>
        <w:tc>
          <w:tcPr>
            <w:tcW w:type="dxa" w:w="1440"/>
            <w:shd w:fill="FAFAFA" w:val="clear"/>
          </w:tcPr>
          <w:p>
            <w:r>
              <w:rPr>
                <w:b/>
                <w:sz w:val="17"/>
              </w:rPr>
              <w:t>17,223</w:t>
            </w:r>
          </w:p>
        </w:tc>
        <w:tc>
          <w:tcPr>
            <w:tcW w:type="dxa" w:w="1440"/>
            <w:shd w:fill="FAFAFA" w:val="clear"/>
          </w:tcPr>
          <w:p>
            <w:r>
              <w:rPr>
                <w:sz w:val="17"/>
              </w:rPr>
              <w:t>17,647</w:t>
            </w:r>
          </w:p>
        </w:tc>
        <w:tc>
          <w:tcPr>
            <w:tcW w:type="dxa" w:w="1440"/>
            <w:shd w:fill="FAFAFA" w:val="clear"/>
          </w:tcPr>
          <w:p>
            <w:r>
              <w:rPr>
                <w:b/>
                <w:color w:val="C00000"/>
                <w:sz w:val="17"/>
              </w:rPr>
              <w:t>-1.6%</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16,565</w:t>
            </w:r>
          </w:p>
        </w:tc>
        <w:tc>
          <w:tcPr>
            <w:tcW w:type="dxa" w:w="1440"/>
            <w:shd w:fill="FAFAFA" w:val="clear"/>
          </w:tcPr>
          <w:p>
            <w:r>
              <w:rPr>
                <w:b/>
                <w:sz w:val="17"/>
              </w:rPr>
              <w:t>17,163</w:t>
            </w:r>
          </w:p>
        </w:tc>
        <w:tc>
          <w:tcPr>
            <w:tcW w:type="dxa" w:w="1440"/>
            <w:shd w:fill="FAFAFA" w:val="clear"/>
          </w:tcPr>
          <w:p>
            <w:r>
              <w:rPr>
                <w:sz w:val="17"/>
              </w:rPr>
              <w:t>17,761</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16,355</w:t>
            </w:r>
          </w:p>
        </w:tc>
        <w:tc>
          <w:tcPr>
            <w:tcW w:type="dxa" w:w="1440"/>
            <w:shd w:fill="FFDCE0" w:val="clear"/>
          </w:tcPr>
          <w:p>
            <w:r>
              <w:rPr>
                <w:b/>
                <w:sz w:val="17"/>
              </w:rPr>
              <w:t>17,083</w:t>
            </w:r>
          </w:p>
        </w:tc>
        <w:tc>
          <w:tcPr>
            <w:tcW w:type="dxa" w:w="1440"/>
            <w:shd w:fill="FFDCE0" w:val="clear"/>
          </w:tcPr>
          <w:p>
            <w:r>
              <w:rPr>
                <w:sz w:val="17"/>
              </w:rPr>
              <w:t>17,812</w:t>
            </w:r>
          </w:p>
        </w:tc>
        <w:tc>
          <w:tcPr>
            <w:tcW w:type="dxa" w:w="1440"/>
            <w:shd w:fill="FFDCE0" w:val="clear"/>
          </w:tcPr>
          <w:p>
            <w:r>
              <w:rPr>
                <w:b/>
                <w:color w:val="C00000"/>
                <w:sz w:val="17"/>
              </w:rPr>
              <w:t>-2.4%</w:t>
            </w:r>
          </w:p>
        </w:tc>
      </w:tr>
      <w:tr>
        <w:tc>
          <w:tcPr>
            <w:tcW w:type="dxa" w:w="1440"/>
            <w:shd w:fill="FFDCE0" w:val="clear"/>
          </w:tcPr>
          <w:p>
            <w:r>
              <w:rPr>
                <w:sz w:val="17"/>
              </w:rPr>
              <w:t>J+4  Moyenne</w:t>
            </w:r>
          </w:p>
        </w:tc>
        <w:tc>
          <w:tcPr>
            <w:tcW w:type="dxa" w:w="1440"/>
            <w:shd w:fill="FFDCE0" w:val="clear"/>
          </w:tcPr>
          <w:p>
            <w:r>
              <w:rPr>
                <w:sz w:val="17"/>
              </w:rPr>
              <w:t>2026-09-10</w:t>
            </w:r>
          </w:p>
        </w:tc>
        <w:tc>
          <w:tcPr>
            <w:tcW w:type="dxa" w:w="1440"/>
            <w:shd w:fill="FFDCE0" w:val="clear"/>
          </w:tcPr>
          <w:p>
            <w:r>
              <w:rPr>
                <w:sz w:val="17"/>
              </w:rPr>
              <w:t>16,173</w:t>
            </w:r>
          </w:p>
        </w:tc>
        <w:tc>
          <w:tcPr>
            <w:tcW w:type="dxa" w:w="1440"/>
            <w:shd w:fill="FFDCE0" w:val="clear"/>
          </w:tcPr>
          <w:p>
            <w:r>
              <w:rPr>
                <w:b/>
                <w:sz w:val="17"/>
              </w:rPr>
              <w:t>17,011</w:t>
            </w:r>
          </w:p>
        </w:tc>
        <w:tc>
          <w:tcPr>
            <w:tcW w:type="dxa" w:w="1440"/>
            <w:shd w:fill="FFDCE0" w:val="clear"/>
          </w:tcPr>
          <w:p>
            <w:r>
              <w:rPr>
                <w:sz w:val="17"/>
              </w:rPr>
              <w:t>17,849</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2026-09-11</w:t>
            </w:r>
          </w:p>
        </w:tc>
        <w:tc>
          <w:tcPr>
            <w:tcW w:type="dxa" w:w="1440"/>
            <w:shd w:fill="FFDCE0" w:val="clear"/>
          </w:tcPr>
          <w:p>
            <w:r>
              <w:rPr>
                <w:sz w:val="17"/>
              </w:rPr>
              <w:t>16,009</w:t>
            </w:r>
          </w:p>
        </w:tc>
        <w:tc>
          <w:tcPr>
            <w:tcW w:type="dxa" w:w="1440"/>
            <w:shd w:fill="FFDCE0" w:val="clear"/>
          </w:tcPr>
          <w:p>
            <w:r>
              <w:rPr>
                <w:b/>
                <w:sz w:val="17"/>
              </w:rPr>
              <w:t>16,942</w:t>
            </w:r>
          </w:p>
        </w:tc>
        <w:tc>
          <w:tcPr>
            <w:tcW w:type="dxa" w:w="1440"/>
            <w:shd w:fill="FFDCE0" w:val="clear"/>
          </w:tcPr>
          <w:p>
            <w:r>
              <w:rPr>
                <w:sz w:val="17"/>
              </w:rPr>
              <w:t>17,875</w:t>
            </w:r>
          </w:p>
        </w:tc>
        <w:tc>
          <w:tcPr>
            <w:tcW w:type="dxa" w:w="1440"/>
            <w:shd w:fill="FFDCE0" w:val="clear"/>
          </w:tcPr>
          <w:p>
            <w:r>
              <w:rPr>
                <w:b/>
                <w:color w:val="C00000"/>
                <w:sz w:val="17"/>
              </w:rPr>
              <w:t>-3.2%</w:t>
            </w:r>
          </w:p>
        </w:tc>
      </w:tr>
      <w:tr>
        <w:tc>
          <w:tcPr>
            <w:tcW w:type="dxa" w:w="1440"/>
            <w:shd w:fill="FFDCE0" w:val="clear"/>
          </w:tcPr>
          <w:p>
            <w:r>
              <w:rPr>
                <w:sz w:val="17"/>
              </w:rPr>
              <w:t>J+6  Moyenne</w:t>
            </w:r>
          </w:p>
        </w:tc>
        <w:tc>
          <w:tcPr>
            <w:tcW w:type="dxa" w:w="1440"/>
            <w:shd w:fill="FFDCE0" w:val="clear"/>
          </w:tcPr>
          <w:p>
            <w:r>
              <w:rPr>
                <w:sz w:val="17"/>
              </w:rPr>
              <w:t>2026-09-14</w:t>
            </w:r>
          </w:p>
        </w:tc>
        <w:tc>
          <w:tcPr>
            <w:tcW w:type="dxa" w:w="1440"/>
            <w:shd w:fill="FFDCE0" w:val="clear"/>
          </w:tcPr>
          <w:p>
            <w:r>
              <w:rPr>
                <w:sz w:val="17"/>
              </w:rPr>
              <w:t>15,856</w:t>
            </w:r>
          </w:p>
        </w:tc>
        <w:tc>
          <w:tcPr>
            <w:tcW w:type="dxa" w:w="1440"/>
            <w:shd w:fill="FFDCE0" w:val="clear"/>
          </w:tcPr>
          <w:p>
            <w:r>
              <w:rPr>
                <w:b/>
                <w:sz w:val="17"/>
              </w:rPr>
              <w:t>16,875</w:t>
            </w:r>
          </w:p>
        </w:tc>
        <w:tc>
          <w:tcPr>
            <w:tcW w:type="dxa" w:w="1440"/>
            <w:shd w:fill="FFDCE0" w:val="clear"/>
          </w:tcPr>
          <w:p>
            <w:r>
              <w:rPr>
                <w:sz w:val="17"/>
              </w:rPr>
              <w:t>17,893</w:t>
            </w:r>
          </w:p>
        </w:tc>
        <w:tc>
          <w:tcPr>
            <w:tcW w:type="dxa" w:w="1440"/>
            <w:shd w:fill="FFDCE0" w:val="clear"/>
          </w:tcPr>
          <w:p>
            <w:r>
              <w:rPr>
                <w:b/>
                <w:color w:val="C00000"/>
                <w:sz w:val="17"/>
              </w:rPr>
              <w:t>-3.6%</w:t>
            </w:r>
          </w:p>
        </w:tc>
      </w:tr>
      <w:tr>
        <w:tc>
          <w:tcPr>
            <w:tcW w:type="dxa" w:w="1440"/>
            <w:shd w:fill="FFDCE0" w:val="clear"/>
          </w:tcPr>
          <w:p>
            <w:r>
              <w:rPr>
                <w:sz w:val="17"/>
              </w:rPr>
              <w:t>J+7  Moyenne</w:t>
            </w:r>
          </w:p>
        </w:tc>
        <w:tc>
          <w:tcPr>
            <w:tcW w:type="dxa" w:w="1440"/>
            <w:shd w:fill="FFDCE0" w:val="clear"/>
          </w:tcPr>
          <w:p>
            <w:r>
              <w:rPr>
                <w:sz w:val="17"/>
              </w:rPr>
              <w:t>2026-09-15</w:t>
            </w:r>
          </w:p>
        </w:tc>
        <w:tc>
          <w:tcPr>
            <w:tcW w:type="dxa" w:w="1440"/>
            <w:shd w:fill="FFDCE0" w:val="clear"/>
          </w:tcPr>
          <w:p>
            <w:r>
              <w:rPr>
                <w:sz w:val="17"/>
              </w:rPr>
              <w:t>15,713</w:t>
            </w:r>
          </w:p>
        </w:tc>
        <w:tc>
          <w:tcPr>
            <w:tcW w:type="dxa" w:w="1440"/>
            <w:shd w:fill="FFDCE0" w:val="clear"/>
          </w:tcPr>
          <w:p>
            <w:r>
              <w:rPr>
                <w:b/>
                <w:sz w:val="17"/>
              </w:rPr>
              <w:t>16,808</w:t>
            </w:r>
          </w:p>
        </w:tc>
        <w:tc>
          <w:tcPr>
            <w:tcW w:type="dxa" w:w="1440"/>
            <w:shd w:fill="FFDCE0" w:val="clear"/>
          </w:tcPr>
          <w:p>
            <w:r>
              <w:rPr>
                <w:sz w:val="17"/>
              </w:rPr>
              <w:t>17,904</w:t>
            </w:r>
          </w:p>
        </w:tc>
        <w:tc>
          <w:tcPr>
            <w:tcW w:type="dxa" w:w="1440"/>
            <w:shd w:fill="FFDCE0" w:val="clear"/>
          </w:tcPr>
          <w:p>
            <w:r>
              <w:rPr>
                <w:b/>
                <w:color w:val="C00000"/>
                <w:sz w:val="17"/>
              </w:rPr>
              <w:t>-4.0%</w:t>
            </w:r>
          </w:p>
        </w:tc>
      </w:tr>
      <w:tr>
        <w:tc>
          <w:tcPr>
            <w:tcW w:type="dxa" w:w="1440"/>
            <w:shd w:fill="FFDCE0" w:val="clear"/>
          </w:tcPr>
          <w:p>
            <w:r>
              <w:rPr>
                <w:sz w:val="17"/>
              </w:rPr>
              <w:t>J+8  Moyenne</w:t>
            </w:r>
          </w:p>
        </w:tc>
        <w:tc>
          <w:tcPr>
            <w:tcW w:type="dxa" w:w="1440"/>
            <w:shd w:fill="FFDCE0" w:val="clear"/>
          </w:tcPr>
          <w:p>
            <w:r>
              <w:rPr>
                <w:sz w:val="17"/>
              </w:rPr>
              <w:t>2026-09-16</w:t>
            </w:r>
          </w:p>
        </w:tc>
        <w:tc>
          <w:tcPr>
            <w:tcW w:type="dxa" w:w="1440"/>
            <w:shd w:fill="FFDCE0" w:val="clear"/>
          </w:tcPr>
          <w:p>
            <w:r>
              <w:rPr>
                <w:sz w:val="17"/>
              </w:rPr>
              <w:t>15,577</w:t>
            </w:r>
          </w:p>
        </w:tc>
        <w:tc>
          <w:tcPr>
            <w:tcW w:type="dxa" w:w="1440"/>
            <w:shd w:fill="FFDCE0" w:val="clear"/>
          </w:tcPr>
          <w:p>
            <w:r>
              <w:rPr>
                <w:b/>
                <w:sz w:val="17"/>
              </w:rPr>
              <w:t>16,743</w:t>
            </w:r>
          </w:p>
        </w:tc>
        <w:tc>
          <w:tcPr>
            <w:tcW w:type="dxa" w:w="1440"/>
            <w:shd w:fill="FFDCE0" w:val="clear"/>
          </w:tcPr>
          <w:p>
            <w:r>
              <w:rPr>
                <w:sz w:val="17"/>
              </w:rPr>
              <w:t>17,910</w:t>
            </w:r>
          </w:p>
        </w:tc>
        <w:tc>
          <w:tcPr>
            <w:tcW w:type="dxa" w:w="1440"/>
            <w:shd w:fill="FFDCE0" w:val="clear"/>
          </w:tcPr>
          <w:p>
            <w:r>
              <w:rPr>
                <w:b/>
                <w:color w:val="C00000"/>
                <w:sz w:val="17"/>
              </w:rPr>
              <w:t>-4.3%</w:t>
            </w:r>
          </w:p>
        </w:tc>
      </w:tr>
      <w:tr>
        <w:tc>
          <w:tcPr>
            <w:tcW w:type="dxa" w:w="1440"/>
            <w:shd w:fill="FFDCE0" w:val="clear"/>
          </w:tcPr>
          <w:p>
            <w:r>
              <w:rPr>
                <w:sz w:val="17"/>
              </w:rPr>
              <w:t>J+9  Moyenne</w:t>
            </w:r>
          </w:p>
        </w:tc>
        <w:tc>
          <w:tcPr>
            <w:tcW w:type="dxa" w:w="1440"/>
            <w:shd w:fill="FFDCE0" w:val="clear"/>
          </w:tcPr>
          <w:p>
            <w:r>
              <w:rPr>
                <w:sz w:val="17"/>
              </w:rPr>
              <w:t>2026-09-17</w:t>
            </w:r>
          </w:p>
        </w:tc>
        <w:tc>
          <w:tcPr>
            <w:tcW w:type="dxa" w:w="1440"/>
            <w:shd w:fill="FFDCE0" w:val="clear"/>
          </w:tcPr>
          <w:p>
            <w:r>
              <w:rPr>
                <w:sz w:val="17"/>
              </w:rPr>
              <w:t>15,447</w:t>
            </w:r>
          </w:p>
        </w:tc>
        <w:tc>
          <w:tcPr>
            <w:tcW w:type="dxa" w:w="1440"/>
            <w:shd w:fill="FFDCE0" w:val="clear"/>
          </w:tcPr>
          <w:p>
            <w:r>
              <w:rPr>
                <w:b/>
                <w:sz w:val="17"/>
              </w:rPr>
              <w:t>16,679</w:t>
            </w:r>
          </w:p>
        </w:tc>
        <w:tc>
          <w:tcPr>
            <w:tcW w:type="dxa" w:w="1440"/>
            <w:shd w:fill="FFDCE0" w:val="clear"/>
          </w:tcPr>
          <w:p>
            <w:r>
              <w:rPr>
                <w:sz w:val="17"/>
              </w:rPr>
              <w:t>17,912</w:t>
            </w:r>
          </w:p>
        </w:tc>
        <w:tc>
          <w:tcPr>
            <w:tcW w:type="dxa" w:w="1440"/>
            <w:shd w:fill="FFDCE0" w:val="clear"/>
          </w:tcPr>
          <w:p>
            <w:r>
              <w:rPr>
                <w:b/>
                <w:color w:val="C00000"/>
                <w:sz w:val="17"/>
              </w:rPr>
              <w:t>-4.7%</w:t>
            </w:r>
          </w:p>
        </w:tc>
      </w:tr>
      <w:tr>
        <w:tc>
          <w:tcPr>
            <w:tcW w:type="dxa" w:w="1440"/>
            <w:shd w:fill="FFDCE0" w:val="clear"/>
          </w:tcPr>
          <w:p>
            <w:r>
              <w:rPr>
                <w:sz w:val="17"/>
              </w:rPr>
              <w:t>J+10  Moyenne</w:t>
            </w:r>
          </w:p>
        </w:tc>
        <w:tc>
          <w:tcPr>
            <w:tcW w:type="dxa" w:w="1440"/>
            <w:shd w:fill="FFDCE0" w:val="clear"/>
          </w:tcPr>
          <w:p>
            <w:r>
              <w:rPr>
                <w:sz w:val="17"/>
              </w:rPr>
              <w:t>2026-09-18</w:t>
            </w:r>
          </w:p>
        </w:tc>
        <w:tc>
          <w:tcPr>
            <w:tcW w:type="dxa" w:w="1440"/>
            <w:shd w:fill="FFDCE0" w:val="clear"/>
          </w:tcPr>
          <w:p>
            <w:r>
              <w:rPr>
                <w:sz w:val="17"/>
              </w:rPr>
              <w:t>15,322</w:t>
            </w:r>
          </w:p>
        </w:tc>
        <w:tc>
          <w:tcPr>
            <w:tcW w:type="dxa" w:w="1440"/>
            <w:shd w:fill="FFDCE0" w:val="clear"/>
          </w:tcPr>
          <w:p>
            <w:r>
              <w:rPr>
                <w:b/>
                <w:sz w:val="17"/>
              </w:rPr>
              <w:t>16,616</w:t>
            </w:r>
          </w:p>
        </w:tc>
        <w:tc>
          <w:tcPr>
            <w:tcW w:type="dxa" w:w="1440"/>
            <w:shd w:fill="FFDCE0" w:val="clear"/>
          </w:tcPr>
          <w:p>
            <w:r>
              <w:rPr>
                <w:sz w:val="17"/>
              </w:rPr>
              <w:t>17,910</w:t>
            </w:r>
          </w:p>
        </w:tc>
        <w:tc>
          <w:tcPr>
            <w:tcW w:type="dxa" w:w="1440"/>
            <w:shd w:fill="FFDCE0" w:val="clear"/>
          </w:tcPr>
          <w:p>
            <w:r>
              <w:rPr>
                <w:b/>
                <w:color w:val="C00000"/>
                <w:sz w:val="17"/>
              </w:rPr>
              <w:t>-5.1%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**Date de l'analyse : 05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SMBC s'établit à 136,42 milliards FCFA, un niveau qui la positionne parmi les valeurs moyennes à grandes capitalisations de la BRVM, lui conférant une liquidité et une visibilité notables. Le BPA de 1 677 FCFA indique que chaque action génère un bénéfice substantiel, justifiant un PER de 10,4x, en ligne avec la moyenne historique du marché (8-12x), ce qui traduit une valorisation raisonnable sans prime excessive. Le P/B de 3,18x, bien que supérieur à 1, reflète la confiance des investisseurs dans la capacité de l'entreprise à générer de la croissance et de la valeur au-delà de son actif net comptable. Enfin, un EV/EBITDA de 6,6x est un signal attractif, indiquant que la valeur totale de l'entreprise (dette incluse) reste modérée par rapport à sa rentabilité opérationnelle brute, ce qui suggère un potentiel de création de valeur.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SMBC a enregistré une performance exceptionnelle de +50,86%, avec une progression de +1,16% lors de la dernière séance, clôturant à 17 500 FCFA. Le titre a évolué dans une fourchette large de 11 450 FCFA (plus bas) à 17 735 FCFA (plus haut), démontrant une dynamique haussière soutenue. La moyenne du cours sur la période (14 923 FCFA) est inférieure à la médiane (15 995 FCFA), et le mode est à 16 000 FCFA, ce qui, combiné à un skewness négatif (-0.463), indique que le cours a passé plus de temps sous les niveaux extrêmes avant une accélération récente. L'écart-type de 2 179 FCFA (CV de 14,6%) montre une dispersion modérée. Le kurtosis négatif (-1.393) suggère une distribution aplatie, avec peu de pics extrêmes, mais la volatilité annualisée de 36,2% classe le titre comme très volatil, signalant un risque élevé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(17 500 FCFA) se situe nettement au-dessus de la MM20 (16 829,5 FCFA) et de la MM50 (16 643,9 FCFA), confirmant une tendance haussière de court et moyen terme. La configuration des MM (MM20 &gt; MM50) est un signal classique d'achat, indiquant que la dynamique positive est solide et que les acheteurs contrôlent le marché.</w:t>
      </w:r>
    </w:p>
    <w:p>
      <w:pPr>
        <w:spacing w:after="120" w:line="276" w:lineRule="auto"/>
      </w:pPr>
      <w:r>
        <w:t>**Bandes de Bollinger** : Le prix évolue près de la borne supérieure (17 605,8 FCFA), ce qui témoigne d'une pression acheteuse intense. La largeur des bandes (écart de 1 552 FCFA) reflète une volatilité élevée. Bien que la décision soit "Neutre", le franchissement ou le maintien au-dessus de la borne supérieure pourrait signaler une poursuite du mouvement, mais expose également à un risque de repli technique.</w:t>
      </w:r>
    </w:p>
    <w:p>
      <w:pPr>
        <w:spacing w:after="120" w:line="276" w:lineRule="auto"/>
      </w:pPr>
      <w:r>
        <w:t>**MACD** : Le MACD (301,4) est positif et nettement au-dessus de sa ligne de signal (238,9), confirmant un momentum haussier robuste. Cette configuration est un signal d'achat classique, indiquant que la tendance de fond reste favorable et que la pression acheteuse est dominante à moyen terme.</w:t>
      </w:r>
    </w:p>
    <w:p>
      <w:pPr>
        <w:spacing w:after="120" w:line="276" w:lineRule="auto"/>
      </w:pPr>
      <w:r>
        <w:t>**RSI** : Le RSI à 83,6 est en zone de surachat extrême (&gt;70). Ce niveau signale que le titre est techniquement survendu et qu'un repli ou une consolidation est probable à court terme. La décision associée est donc une "Vente" prudente, car la pression acheteuse pourrait s'essouffler.</w:t>
      </w:r>
    </w:p>
    <w:p>
      <w:pPr>
        <w:spacing w:after="120" w:line="276" w:lineRule="auto"/>
      </w:pPr>
      <w:r>
        <w:t>**Stochastique** : Le %K (100,0) et le %D (93,2) sont tous deux en zone de surachat très profonde. Cette configuration extrême renforce le signal de prudence du RSI, indiquant que le titre est temporairement surévalué d'un point de vue technique et qu'un retour vers des niveaux plus neutres est envisageable.</w:t>
      </w:r>
    </w:p>
    <w:p>
      <w:pPr>
        <w:spacing w:after="120" w:line="276" w:lineRule="auto"/>
      </w:pPr>
      <w:r>
        <w:t>**Conclusion technique** : Les indicateurs de tendance (MM, MACD) sont résolument haussiers, mais les oscillateurs (RSI, Stochastique) sont en surachat extrême. Cette divergence suggère que la tendance de fond reste positive, mais qu'un essoufflement à court terme est probable. Un investisseur pourrait attendre un repli technique pour renforcer sa position.</w:t>
      </w:r>
    </w:p>
    <w:p>
      <w:pPr>
        <w:spacing w:after="120" w:line="276" w:lineRule="auto"/>
      </w:pPr>
      <w:r>
        <w:t>---</w:t>
      </w:r>
    </w:p>
    <w:p>
      <w:pPr>
        <w:spacing w:after="120" w:line="276" w:lineRule="auto"/>
      </w:pPr>
      <w:r>
        <w:t>### PARTIE 3 : ANALYSE FONDAMENTALE (SECTION CRITIQUE)</w:t>
      </w:r>
    </w:p>
    <w:p>
      <w:pPr>
        <w:spacing w:after="120" w:line="276" w:lineRule="auto"/>
      </w:pPr>
      <w:r>
        <w:t>En 2025, SMBC a réalisé un chiffre d'affaires de 206,74 milliards FCFA, en baisse de -9,7% par rapport à 2024 (229,06 milliards FCFA), mais a vu son résultat net bondir de +50,3% à 13,075 milliards FCFA. Cette performance s'explique par une amélioration spectaculaire de la rentabilité, avec une marge nette passant de 3,8% à 6,3%. Le ROE est excellent à 30,5% et le ROA à 7,3%, démontrant une utilisation très efficace des capitaux propres et des actifs. La structure financière s'est renforcée avec des capitaux propres de 42,9 milliards FCFA (+21,6%) et une trésorerie nette positive de 24 milliards FCFA. Cependant, le BFR est positif (1,69 milliard FCFA) et le délai de paiement des clients est très élevé (193,75 jours), ce qui représente un risque de trésorerie important. Les rapports trimestriels de 2025 (T1, S1, 9M) montrent une baisse continue du CA (-22%, -23%, -14% respectivement) mais une amélioration des marges, suggérant que la stratégie de rentabilité prime sur la croissance des volumes. Le rapport de gestion 2025 recommande d'ailleurs de "CONSERVER" le titre, soulignant la solidité financière mais la prudence nécessaire face à la baisse des revenus. Sur la base des tendances 9M 2025, on estime que l'exercice 2026 pourrait voir une stabilisation du CA si la demande locale et les exportations reprennent, mais la priorité reste la gestion du BFR et des créances clients.</w:t>
      </w:r>
    </w:p>
    <w:p>
      <w:pPr>
        <w:spacing w:after="120" w:line="276" w:lineRule="auto"/>
      </w:pPr>
      <w:r>
        <w:t>---</w:t>
      </w:r>
    </w:p>
    <w:p>
      <w:pPr>
        <w:spacing w:after="120" w:line="276" w:lineRule="auto"/>
      </w:pPr>
      <w:r>
        <w:t>### PARTIE 4 : CONCLUSION D'INVESTISSEMENT</w:t>
      </w:r>
    </w:p>
    <w:p>
      <w:pPr>
        <w:spacing w:after="120" w:line="276" w:lineRule="auto"/>
      </w:pPr>
      <w:r>
        <w:t>La valorisation de SMBC (PER 10,4x, P/B 3,18x, EV/EBITDA 6,6x) est raisonnable et n'intègre pas pleinement la forte amélioration de la rentabilité de 2025, suggérant une sous-évaluation relative. Le comportement du cours est très positif (+50,86% sur 100 jours) mais la volatilité élevée (36,2%) et les statistiques (kurtosis platykurtique, skewness négatif) indiquent un profil de risque élevé. Les signaux techniques sont partagés : la tendance (MM, MACD) est haussière, mais les oscillateurs (RSI, Stochastique) sont en surachat extrême, laissant présager une consolidation à court terme. Les fondamentaux sont solides avec un ROE de 30,5% et une trésorerie nette positive, mais la baisse du CA et le délai client élevé (193 jours) constituent des risques opérationnels majeurs. Les prédictions IA pour les 10 prochains jours (baisse de 17 500 à 16 942 FCFA) confirment la probabilité d'un repli technique après la forte hausse. En synthèse, la convergence entre une valorisation attractive, des fondamentaux solides et une tendance haussière de fond est contrebalancée par des signaux techniques de surachat et des risques opérationnels. **Recommandation finale : CONSERVER**. Le niveau de confiance est **Moyen** et le risque global est **Élevé**. L'horizon d'investissement optimal serait à **moyen terme (3-12 mois)**, en attendant un point d'entrée plus favorable après une correction technique ou une confirmation de la reprise du chiffre d'affaires.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3850.00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10,241 titres</w:t>
            </w:r>
          </w:p>
        </w:tc>
        <w:tc>
          <w:tcPr>
            <w:tcW w:type="dxa" w:w="2268"/>
            <w:shd w:fill="FFF2CC" w:val="clear"/>
          </w:tcPr>
          <w:p>
            <w:r>
              <w:rPr>
                <w:b/>
                <w:color w:val="503200"/>
                <w:sz w:val="16"/>
              </w:rPr>
              <w:t xml:space="preserve">Cours actuel : </w:t>
            </w:r>
            <w:r>
              <w:rPr>
                <w:color w:val="000000"/>
                <w:sz w:val="17"/>
              </w:rPr>
              <w:t>38,500 FCFA</w:t>
            </w:r>
          </w:p>
          <w:p>
            <w:r>
              <w:rPr>
                <w:b/>
                <w:color w:val="503200"/>
                <w:sz w:val="16"/>
              </w:rPr>
              <w:t xml:space="preserve">Var. 100 jours : </w:t>
            </w:r>
            <w:r>
              <w:rPr>
                <w:b/>
                <w:color w:val="007800"/>
                <w:sz w:val="17"/>
              </w:rPr>
              <w:t>+33.68%</w:t>
            </w:r>
          </w:p>
          <w:p>
            <w:r>
              <w:rPr>
                <w:b/>
                <w:color w:val="503200"/>
                <w:sz w:val="16"/>
              </w:rPr>
              <w:t xml:space="preserve">Plus haut 100j : </w:t>
            </w:r>
            <w:r>
              <w:rPr>
                <w:color w:val="000000"/>
                <w:sz w:val="17"/>
              </w:rPr>
              <w:t>38,500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25.1/100 → Moyen</w:t>
      </w:r>
    </w:p>
    <w:p>
      <w:pPr>
        <w:spacing w:before="40" w:after="80"/>
      </w:pPr>
      <w:r>
        <w:rPr>
          <w:rFonts w:ascii="Courier New" w:hAnsi="Courier New"/>
          <w:color w:val="825A00"/>
          <w:sz w:val="18"/>
        </w:rPr>
        <w:t>█████░░░░░░░░░░░░░░░  25.1/100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8.66% (Moyenne) — μ=30,394 FCFA, σ=2,631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β=1.9076 (Très agressif) — Cov=0.000071, Var(idx)=0.000037, ρ=0.587,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10,241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σ_j=1.98%/j (Stable) — Vol. annualisée≈31.4%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35,524</w:t>
            </w:r>
          </w:p>
        </w:tc>
        <w:tc>
          <w:tcPr>
            <w:tcW w:type="dxa" w:w="1440"/>
            <w:shd w:fill="FFDCE0" w:val="clear"/>
          </w:tcPr>
          <w:p>
            <w:r>
              <w:rPr>
                <w:b/>
                <w:sz w:val="17"/>
              </w:rPr>
              <w:t>36,997</w:t>
            </w:r>
          </w:p>
        </w:tc>
        <w:tc>
          <w:tcPr>
            <w:tcW w:type="dxa" w:w="1440"/>
            <w:shd w:fill="FFDCE0" w:val="clear"/>
          </w:tcPr>
          <w:p>
            <w:r>
              <w:rPr>
                <w:sz w:val="17"/>
              </w:rPr>
              <w:t>38,469</w:t>
            </w:r>
          </w:p>
        </w:tc>
        <w:tc>
          <w:tcPr>
            <w:tcW w:type="dxa" w:w="1440"/>
            <w:shd w:fill="FFDCE0" w:val="clear"/>
          </w:tcPr>
          <w:p>
            <w:r>
              <w:rPr>
                <w:b/>
                <w:color w:val="C00000"/>
                <w:sz w:val="17"/>
              </w:rPr>
              <w:t>-3.9%</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34,883</w:t>
            </w:r>
          </w:p>
        </w:tc>
        <w:tc>
          <w:tcPr>
            <w:tcW w:type="dxa" w:w="1440"/>
            <w:shd w:fill="FFDCE0" w:val="clear"/>
          </w:tcPr>
          <w:p>
            <w:r>
              <w:rPr>
                <w:b/>
                <w:sz w:val="17"/>
              </w:rPr>
              <w:t>36,964</w:t>
            </w:r>
          </w:p>
        </w:tc>
        <w:tc>
          <w:tcPr>
            <w:tcW w:type="dxa" w:w="1440"/>
            <w:shd w:fill="FFDCE0" w:val="clear"/>
          </w:tcPr>
          <w:p>
            <w:r>
              <w:rPr>
                <w:sz w:val="17"/>
              </w:rPr>
              <w:t>39,044</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34,279</w:t>
            </w:r>
          </w:p>
        </w:tc>
        <w:tc>
          <w:tcPr>
            <w:tcW w:type="dxa" w:w="1440"/>
            <w:shd w:fill="FFDCE0" w:val="clear"/>
          </w:tcPr>
          <w:p>
            <w:r>
              <w:rPr>
                <w:b/>
                <w:sz w:val="17"/>
              </w:rPr>
              <w:t>36,818</w:t>
            </w:r>
          </w:p>
        </w:tc>
        <w:tc>
          <w:tcPr>
            <w:tcW w:type="dxa" w:w="1440"/>
            <w:shd w:fill="FFDCE0" w:val="clear"/>
          </w:tcPr>
          <w:p>
            <w:r>
              <w:rPr>
                <w:sz w:val="17"/>
              </w:rPr>
              <w:t>39,356</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33,764</w:t>
            </w:r>
          </w:p>
        </w:tc>
        <w:tc>
          <w:tcPr>
            <w:tcW w:type="dxa" w:w="1440"/>
            <w:shd w:fill="FFDCE0" w:val="clear"/>
          </w:tcPr>
          <w:p>
            <w:r>
              <w:rPr>
                <w:b/>
                <w:sz w:val="17"/>
              </w:rPr>
              <w:t>36,685</w:t>
            </w:r>
          </w:p>
        </w:tc>
        <w:tc>
          <w:tcPr>
            <w:tcW w:type="dxa" w:w="1440"/>
            <w:shd w:fill="FFDCE0" w:val="clear"/>
          </w:tcPr>
          <w:p>
            <w:r>
              <w:rPr>
                <w:sz w:val="17"/>
              </w:rPr>
              <w:t>39,605</w:t>
            </w:r>
          </w:p>
        </w:tc>
        <w:tc>
          <w:tcPr>
            <w:tcW w:type="dxa" w:w="1440"/>
            <w:shd w:fill="FFDCE0" w:val="clear"/>
          </w:tcPr>
          <w:p>
            <w:r>
              <w:rPr>
                <w:b/>
                <w:color w:val="C00000"/>
                <w:sz w:val="17"/>
              </w:rPr>
              <w:t>-4.7%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33,319</w:t>
            </w:r>
          </w:p>
        </w:tc>
        <w:tc>
          <w:tcPr>
            <w:tcW w:type="dxa" w:w="1440"/>
            <w:shd w:fill="FFDCE0" w:val="clear"/>
          </w:tcPr>
          <w:p>
            <w:r>
              <w:rPr>
                <w:b/>
                <w:sz w:val="17"/>
              </w:rPr>
              <w:t>36,575</w:t>
            </w:r>
          </w:p>
        </w:tc>
        <w:tc>
          <w:tcPr>
            <w:tcW w:type="dxa" w:w="1440"/>
            <w:shd w:fill="FFDCE0" w:val="clear"/>
          </w:tcPr>
          <w:p>
            <w:r>
              <w:rPr>
                <w:sz w:val="17"/>
              </w:rPr>
              <w:t>39,830</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32,921</w:t>
            </w:r>
          </w:p>
        </w:tc>
        <w:tc>
          <w:tcPr>
            <w:tcW w:type="dxa" w:w="1440"/>
            <w:shd w:fill="FFDCE0" w:val="clear"/>
          </w:tcPr>
          <w:p>
            <w:r>
              <w:rPr>
                <w:b/>
                <w:sz w:val="17"/>
              </w:rPr>
              <w:t>36,478</w:t>
            </w:r>
          </w:p>
        </w:tc>
        <w:tc>
          <w:tcPr>
            <w:tcW w:type="dxa" w:w="1440"/>
            <w:shd w:fill="FFDCE0" w:val="clear"/>
          </w:tcPr>
          <w:p>
            <w:r>
              <w:rPr>
                <w:sz w:val="17"/>
              </w:rPr>
              <w:t>40,035</w:t>
            </w:r>
          </w:p>
        </w:tc>
        <w:tc>
          <w:tcPr>
            <w:tcW w:type="dxa" w:w="1440"/>
            <w:shd w:fill="FFDCE0" w:val="clear"/>
          </w:tcPr>
          <w:p>
            <w:r>
              <w:rPr>
                <w:b/>
                <w:color w:val="C00000"/>
                <w:sz w:val="17"/>
              </w:rPr>
              <w:t>-5.3%</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32,556</w:t>
            </w:r>
          </w:p>
        </w:tc>
        <w:tc>
          <w:tcPr>
            <w:tcW w:type="dxa" w:w="1440"/>
            <w:shd w:fill="FFDCE0" w:val="clear"/>
          </w:tcPr>
          <w:p>
            <w:r>
              <w:rPr>
                <w:b/>
                <w:sz w:val="17"/>
              </w:rPr>
              <w:t>36,388</w:t>
            </w:r>
          </w:p>
        </w:tc>
        <w:tc>
          <w:tcPr>
            <w:tcW w:type="dxa" w:w="1440"/>
            <w:shd w:fill="FFDCE0" w:val="clear"/>
          </w:tcPr>
          <w:p>
            <w:r>
              <w:rPr>
                <w:sz w:val="17"/>
              </w:rPr>
              <w:t>40,220</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32,214</w:t>
            </w:r>
          </w:p>
        </w:tc>
        <w:tc>
          <w:tcPr>
            <w:tcW w:type="dxa" w:w="1440"/>
            <w:shd w:fill="FFDCE0" w:val="clear"/>
          </w:tcPr>
          <w:p>
            <w:r>
              <w:rPr>
                <w:b/>
                <w:sz w:val="17"/>
              </w:rPr>
              <w:t>36,301</w:t>
            </w:r>
          </w:p>
        </w:tc>
        <w:tc>
          <w:tcPr>
            <w:tcW w:type="dxa" w:w="1440"/>
            <w:shd w:fill="FFDCE0" w:val="clear"/>
          </w:tcPr>
          <w:p>
            <w:r>
              <w:rPr>
                <w:sz w:val="17"/>
              </w:rPr>
              <w:t>40,388</w:t>
            </w:r>
          </w:p>
        </w:tc>
        <w:tc>
          <w:tcPr>
            <w:tcW w:type="dxa" w:w="1440"/>
            <w:shd w:fill="FFDCE0" w:val="clear"/>
          </w:tcPr>
          <w:p>
            <w:r>
              <w:rPr>
                <w:b/>
                <w:color w:val="C00000"/>
                <w:sz w:val="17"/>
              </w:rPr>
              <w:t>-5.7%</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31,891</w:t>
            </w:r>
          </w:p>
        </w:tc>
        <w:tc>
          <w:tcPr>
            <w:tcW w:type="dxa" w:w="1440"/>
            <w:shd w:fill="FFDCE0" w:val="clear"/>
          </w:tcPr>
          <w:p>
            <w:r>
              <w:rPr>
                <w:b/>
                <w:sz w:val="17"/>
              </w:rPr>
              <w:t>36,216</w:t>
            </w:r>
          </w:p>
        </w:tc>
        <w:tc>
          <w:tcPr>
            <w:tcW w:type="dxa" w:w="1440"/>
            <w:shd w:fill="FFDCE0" w:val="clear"/>
          </w:tcPr>
          <w:p>
            <w:r>
              <w:rPr>
                <w:sz w:val="17"/>
              </w:rPr>
              <w:t>40,540</w:t>
            </w:r>
          </w:p>
        </w:tc>
        <w:tc>
          <w:tcPr>
            <w:tcW w:type="dxa" w:w="1440"/>
            <w:shd w:fill="FFDCE0" w:val="clear"/>
          </w:tcPr>
          <w:p>
            <w:r>
              <w:rPr>
                <w:b/>
                <w:color w:val="C00000"/>
                <w:sz w:val="17"/>
              </w:rPr>
              <w:t>-5.9%</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31,583</w:t>
            </w:r>
          </w:p>
        </w:tc>
        <w:tc>
          <w:tcPr>
            <w:tcW w:type="dxa" w:w="1440"/>
            <w:shd w:fill="FFDCE0" w:val="clear"/>
          </w:tcPr>
          <w:p>
            <w:r>
              <w:rPr>
                <w:b/>
                <w:sz w:val="17"/>
              </w:rPr>
              <w:t>36,131</w:t>
            </w:r>
          </w:p>
        </w:tc>
        <w:tc>
          <w:tcPr>
            <w:tcW w:type="dxa" w:w="1440"/>
            <w:shd w:fill="FFDCE0" w:val="clear"/>
          </w:tcPr>
          <w:p>
            <w:r>
              <w:rPr>
                <w:sz w:val="17"/>
              </w:rPr>
              <w:t>40,679</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Septembre 2026**</w:t>
        <w:br/>
        <w:t>**Marché : BRVM (Bourse Régionale des Valeurs Mobilières)**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Sonatel s'établit à 3 850 milliards FCFA, ce qui en fait l'une des toutes premières capitalisations de la BRVM, représentant un poids considérable dans l'indice global. Avec un BPA de 4 136 FCFA, chaque action génère un bénéfice substantiel. Le PER de 9,3x est inférieur à la moyenne historique de la BRVM (8-12x), indiquant une sous-évaluation relative du titre par rapport à ses bénéfices. Le P/B de 2,75x, bien que supérieur à 1, reflète une prime de croissance accordée par le marché pour la qualité des actifs et la rentabilité de l'entreprise. Enfin, un EV/EBITDA de 4,0x, nettement sous la barre des 5x, confirme une valorisation très attractive de la capacité opérationnelle de l'entreprise.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SNTS a enregistré une performance exceptionnelle de +33,68%, avec une progression de +1,32% lors de la dernière séance, clôturant à 38 500 FCFA. Le titre a évolué dans une fourchette de 27 160 FCFA (plus bas) à 38 500 FCFA (plus haut), démontrant une dynamique haussière soutenue. La moyenne du cours sur la période (30 394 FCFA) est nettement inférieure à la médiane (29 000 FCFA), et l'écart positif du prix actuel par rapport à ces deux indicateurs confirme la vigueur de la tendance. L'écart-type de 2 645 FCFA (CV=8,7%) indique une dispersion modérée autour de la moyenne. Le kurtosis positif (1,325) signale des queues de distribution épaisses, suggérant un risque de mouvements extrêmes. Le skewness positif (1,440) révèle une asymétrie avec des journées majoritairement sous la moyenne, mais des pics haussiers marqués. La volatilité annualisée de 31,4% classe le titre comme très volatil, un niveau élevé qui requiert une gestion de risque attentive.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(38 500 FCFA) se positionne nettement au-dessus de la MM20 (34 606 FCFA) et de la MM50 (32 239 FCFA). Cette configuration haussière, où les moyennes sont orientées à la hausse et le prix évolue au-dessus, confirme la solidité de la tendance et justifie la décision d'**Achat**.</w:t>
      </w:r>
    </w:p>
    <w:p>
      <w:pPr>
        <w:spacing w:after="120" w:line="276" w:lineRule="auto"/>
      </w:pPr>
      <w:r>
        <w:t>**Bandes de Bollinger :** Le prix se situe à 38 500 FCFA, proche de la borne supérieure (39 586 FCFA) et très éloigné de la borne inférieure (29 627 FCFA). Cette position indique une pression acheteuse forte, mais également une zone de surachat potentiel. La décision est **Neutre**, car le marché pourrait consolider avant une nouvelle impulsion.</w:t>
      </w:r>
    </w:p>
    <w:p>
      <w:pPr>
        <w:spacing w:after="120" w:line="276" w:lineRule="auto"/>
      </w:pPr>
      <w:r>
        <w:t>**MACD :** La valeur du MACD (1 741,4) est supérieure à son signal (1 429,5), avec un écart positif croissant. Cette configuration signale un momentum haussier robuste et une accélération de la tendance, justifiant la décision d'**Achat**.</w:t>
      </w:r>
    </w:p>
    <w:p>
      <w:pPr>
        <w:spacing w:after="120" w:line="276" w:lineRule="auto"/>
      </w:pPr>
      <w:r>
        <w:t>**RSI :** Le RSI à 78,5 est largement au-dessus du seuil de surachat (70). Cette valeur extrême indique que le titre est survendu à la hausse et qu'un repli technique ou une phase de consolidation est probable à court terme. La décision est **Vente**.</w:t>
      </w:r>
    </w:p>
    <w:p>
      <w:pPr>
        <w:spacing w:after="120" w:line="276" w:lineRule="auto"/>
      </w:pPr>
      <w:r>
        <w:t>**Stochastique :** Les valeurs %K et %D sont toutes deux à 100, un niveau extrême de surachat. Cette configuration signale un épuisement potentiel de la dynamique haussière à très court terme, justifiant la décision de **Vente**.</w:t>
      </w:r>
    </w:p>
    <w:p>
      <w:pPr>
        <w:spacing w:after="120" w:line="276" w:lineRule="auto"/>
      </w:pPr>
      <w:r>
        <w:t>**Conclusion technique :** Les indicateurs de tendance (MM, MACD) sont résolument haussiers, tandis que les oscillateurs de momentum (RSI, Stochastique) sont en zone de surachat extrême. Cette divergence suggère une tendance de fond positive mais un risque élevé de correction technique à court terme. Un investisseur pourrait attendre un repli vers les 36 000-37 000 FCFA pour renforcer une position.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données financières structurées de Sonatel révèlent une santé financière excellente. Le chiffre d'affaires s'établit à 1 923,1 milliards FCFA, en croissance de +8,3% par rapport à 2024 (1 776,4 milliards FCFA). Le résultat net atteint 413,6 milliards FCFA, en hausse de +5,1%. La rentabilité est remarquable avec un ROE de 29,6% et un ROA de 12,6%, démontrant une utilisation très efficace des capitaux propres et des actifs. La structure financière est saine avec une autonomie financière de 42,8% et une capacité de remboursement rapide (0,64 an). Le BFR négatif (-284,9 milliards FCFA) est un signe de grande solidité, indiquant que l'entreprise finance son cycle d'exploitation par ses fournisseurs. Les délais clients (46 jours) et fournisseurs (201 jours) confirment un pouvoir de négociation important. Les rapports trimestriels de 2025 (T1, S1, T3) montrent une croissance soutenue et régulière, avec un T1 2025 en hausse de 10,9% et un S1 en progression de 9,4%. Le rapport annuel 2025 confirme la solidité avec une marge d'EBITDAAL de 47,8%. Les résultats du S1 2026, publiés en juillet 2026, montrent une accélération avec un CA de 1 049,8 milliards FCFA (+9,3%) et un résultat net de 230 milliards FCFA (+10,5%). Sur la base de ces données, on estime que l'exercice 2026 pourrait dépasser les 2 100 milliards FCFA de chiffre d'affaires et un résultat net supérieur à 450 milliards FCFA. La politique de dividende reste attractive avec un dividende net de 1 740 FCFA par action pour 2025, offrant un rendement d'environ 4,5%. Les fondamentaux de Sonatel sont exceptionnellement solides, portés par la croissance de la data, de la fibre et d'Orange Money, avec une notation AAA.</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Sonatel est attractive (PER 9,3x, EV/EBITDA 4,0x) malgré la forte progression du cours, indiquant une sous-évaluation relative. Le comportement du cours montre une tendance haussière puissante, mais avec une volatilité élevée et des statistiques (kurtosis, skewness) suggérant des risques de mouvements brusques. Les signaux techniques sont mitigés : la tendance de fond (MM, MACD) est haussière, mais les oscillateurs (RSI, Stochastique) signalent un surachat extrême, annonçant une possible consolidation. Les fondamentaux sont excellents avec une croissance soutenue, une rentabilité supérieure et une politique de dividende généreuse. Les prédictions IA pour les 10 prochains jours (36 575 à 36 997 FCFA) indiquent un léger repli, confirmant le scénario de correction technique après la récente envolée. **Recommandation finale : ACHAT**, avec un niveau de confiance **Élevé** et un risque global **Moyen**. L'horizon d'investissement optimal est le **moyen terme (3-12 mois)**, en profitant d'un éventuel repli technique vers les 36 000-37 000 FCFA pour renforcer les positions. La convergence entre la sous-évaluation, la solidité fondamentale et la tendance de fond haussière contrebalance les signaux de surachat à court terme.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190.10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5,928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+10.41%</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5.04% (Moyenne) — μ=8,023 FCFA, σ=404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β=0.3669 (Défensif) — Cov=0.000014, Var(idx)=0.000037, ρ=0.095,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5,928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8,351</w:t>
            </w:r>
          </w:p>
        </w:tc>
        <w:tc>
          <w:tcPr>
            <w:tcW w:type="dxa" w:w="1440"/>
            <w:shd w:fill="FAFAFA" w:val="clear"/>
          </w:tcPr>
          <w:p>
            <w:r>
              <w:rPr>
                <w:b/>
                <w:sz w:val="17"/>
              </w:rPr>
              <w:t>8,755</w:t>
            </w:r>
          </w:p>
        </w:tc>
        <w:tc>
          <w:tcPr>
            <w:tcW w:type="dxa" w:w="1440"/>
            <w:shd w:fill="FAFAFA" w:val="clear"/>
          </w:tcPr>
          <w:p>
            <w:r>
              <w:rPr>
                <w:sz w:val="17"/>
              </w:rPr>
              <w:t>9,160</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8,184</w:t>
            </w:r>
          </w:p>
        </w:tc>
        <w:tc>
          <w:tcPr>
            <w:tcW w:type="dxa" w:w="1440"/>
            <w:shd w:fill="FAFAFA" w:val="clear"/>
          </w:tcPr>
          <w:p>
            <w:r>
              <w:rPr>
                <w:b/>
                <w:sz w:val="17"/>
              </w:rPr>
              <w:t>8,757</w:t>
            </w:r>
          </w:p>
        </w:tc>
        <w:tc>
          <w:tcPr>
            <w:tcW w:type="dxa" w:w="1440"/>
            <w:shd w:fill="FAFAFA" w:val="clear"/>
          </w:tcPr>
          <w:p>
            <w:r>
              <w:rPr>
                <w:sz w:val="17"/>
              </w:rPr>
              <w:t>9,329</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8,059</w:t>
            </w:r>
          </w:p>
        </w:tc>
        <w:tc>
          <w:tcPr>
            <w:tcW w:type="dxa" w:w="1440"/>
            <w:shd w:fill="FAFAFA" w:val="clear"/>
          </w:tcPr>
          <w:p>
            <w:r>
              <w:rPr>
                <w:b/>
                <w:sz w:val="17"/>
              </w:rPr>
              <w:t>8,760</w:t>
            </w:r>
          </w:p>
        </w:tc>
        <w:tc>
          <w:tcPr>
            <w:tcW w:type="dxa" w:w="1440"/>
            <w:shd w:fill="FAFAFA" w:val="clear"/>
          </w:tcPr>
          <w:p>
            <w:r>
              <w:rPr>
                <w:sz w:val="17"/>
              </w:rPr>
              <w:t>9,461</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7,956</w:t>
            </w:r>
          </w:p>
        </w:tc>
        <w:tc>
          <w:tcPr>
            <w:tcW w:type="dxa" w:w="1440"/>
            <w:shd w:fill="FAFAFA" w:val="clear"/>
          </w:tcPr>
          <w:p>
            <w:r>
              <w:rPr>
                <w:b/>
                <w:sz w:val="17"/>
              </w:rPr>
              <w:t>8,766</w:t>
            </w:r>
          </w:p>
        </w:tc>
        <w:tc>
          <w:tcPr>
            <w:tcW w:type="dxa" w:w="1440"/>
            <w:shd w:fill="FAFAFA" w:val="clear"/>
          </w:tcPr>
          <w:p>
            <w:r>
              <w:rPr>
                <w:sz w:val="17"/>
              </w:rPr>
              <w:t>9,576</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2026-09-11</w:t>
            </w:r>
          </w:p>
        </w:tc>
        <w:tc>
          <w:tcPr>
            <w:tcW w:type="dxa" w:w="1440"/>
            <w:shd w:fill="FAFAFA" w:val="clear"/>
          </w:tcPr>
          <w:p>
            <w:r>
              <w:rPr>
                <w:sz w:val="17"/>
              </w:rPr>
              <w:t>7,867</w:t>
            </w:r>
          </w:p>
        </w:tc>
        <w:tc>
          <w:tcPr>
            <w:tcW w:type="dxa" w:w="1440"/>
            <w:shd w:fill="FAFAFA" w:val="clear"/>
          </w:tcPr>
          <w:p>
            <w:r>
              <w:rPr>
                <w:b/>
                <w:sz w:val="17"/>
              </w:rPr>
              <w:t>8,773</w:t>
            </w:r>
          </w:p>
        </w:tc>
        <w:tc>
          <w:tcPr>
            <w:tcW w:type="dxa" w:w="1440"/>
            <w:shd w:fill="FAFAFA" w:val="clear"/>
          </w:tcPr>
          <w:p>
            <w:r>
              <w:rPr>
                <w:sz w:val="17"/>
              </w:rPr>
              <w:t>9,679</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2026-09-14</w:t>
            </w:r>
          </w:p>
        </w:tc>
        <w:tc>
          <w:tcPr>
            <w:tcW w:type="dxa" w:w="1440"/>
            <w:shd w:fill="FAFAFA" w:val="clear"/>
          </w:tcPr>
          <w:p>
            <w:r>
              <w:rPr>
                <w:sz w:val="17"/>
              </w:rPr>
              <w:t>7,786</w:t>
            </w:r>
          </w:p>
        </w:tc>
        <w:tc>
          <w:tcPr>
            <w:tcW w:type="dxa" w:w="1440"/>
            <w:shd w:fill="FAFAFA" w:val="clear"/>
          </w:tcPr>
          <w:p>
            <w:r>
              <w:rPr>
                <w:b/>
                <w:sz w:val="17"/>
              </w:rPr>
              <w:t>8,780</w:t>
            </w:r>
          </w:p>
        </w:tc>
        <w:tc>
          <w:tcPr>
            <w:tcW w:type="dxa" w:w="1440"/>
            <w:shd w:fill="FAFAFA" w:val="clear"/>
          </w:tcPr>
          <w:p>
            <w:r>
              <w:rPr>
                <w:sz w:val="17"/>
              </w:rPr>
              <w:t>9,773</w:t>
            </w:r>
          </w:p>
        </w:tc>
        <w:tc>
          <w:tcPr>
            <w:tcW w:type="dxa" w:w="1440"/>
            <w:shd w:fill="FAFAFA" w:val="clear"/>
          </w:tcPr>
          <w:p>
            <w:r>
              <w:rPr>
                <w:b/>
                <w:color w:val="C00000"/>
                <w:sz w:val="17"/>
              </w:rPr>
              <w:t>-0.2%</w:t>
            </w:r>
          </w:p>
        </w:tc>
      </w:tr>
      <w:tr>
        <w:tc>
          <w:tcPr>
            <w:tcW w:type="dxa" w:w="1440"/>
            <w:shd w:fill="FAFAFA" w:val="clear"/>
          </w:tcPr>
          <w:p>
            <w:r>
              <w:rPr>
                <w:sz w:val="17"/>
              </w:rPr>
              <w:t>J+7  ⭐</w:t>
            </w:r>
          </w:p>
        </w:tc>
        <w:tc>
          <w:tcPr>
            <w:tcW w:type="dxa" w:w="1440"/>
            <w:shd w:fill="FAFAFA" w:val="clear"/>
          </w:tcPr>
          <w:p>
            <w:r>
              <w:rPr>
                <w:sz w:val="17"/>
              </w:rPr>
              <w:t>2026-09-15</w:t>
            </w:r>
          </w:p>
        </w:tc>
        <w:tc>
          <w:tcPr>
            <w:tcW w:type="dxa" w:w="1440"/>
            <w:shd w:fill="FAFAFA" w:val="clear"/>
          </w:tcPr>
          <w:p>
            <w:r>
              <w:rPr>
                <w:sz w:val="17"/>
              </w:rPr>
              <w:t>7,713</w:t>
            </w:r>
          </w:p>
        </w:tc>
        <w:tc>
          <w:tcPr>
            <w:tcW w:type="dxa" w:w="1440"/>
            <w:shd w:fill="FAFAFA" w:val="clear"/>
          </w:tcPr>
          <w:p>
            <w:r>
              <w:rPr>
                <w:b/>
                <w:sz w:val="17"/>
              </w:rPr>
              <w:t>8,787</w:t>
            </w:r>
          </w:p>
        </w:tc>
        <w:tc>
          <w:tcPr>
            <w:tcW w:type="dxa" w:w="1440"/>
            <w:shd w:fill="FAFAFA" w:val="clear"/>
          </w:tcPr>
          <w:p>
            <w:r>
              <w:rPr>
                <w:sz w:val="17"/>
              </w:rPr>
              <w:t>9,860</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2026-09-16</w:t>
            </w:r>
          </w:p>
        </w:tc>
        <w:tc>
          <w:tcPr>
            <w:tcW w:type="dxa" w:w="1440"/>
            <w:shd w:fill="FAFAFA" w:val="clear"/>
          </w:tcPr>
          <w:p>
            <w:r>
              <w:rPr>
                <w:sz w:val="17"/>
              </w:rPr>
              <w:t>7,644</w:t>
            </w:r>
          </w:p>
        </w:tc>
        <w:tc>
          <w:tcPr>
            <w:tcW w:type="dxa" w:w="1440"/>
            <w:shd w:fill="FAFAFA" w:val="clear"/>
          </w:tcPr>
          <w:p>
            <w:r>
              <w:rPr>
                <w:b/>
                <w:sz w:val="17"/>
              </w:rPr>
              <w:t>8,793</w:t>
            </w:r>
          </w:p>
        </w:tc>
        <w:tc>
          <w:tcPr>
            <w:tcW w:type="dxa" w:w="1440"/>
            <w:shd w:fill="FAFAFA" w:val="clear"/>
          </w:tcPr>
          <w:p>
            <w:r>
              <w:rPr>
                <w:sz w:val="17"/>
              </w:rPr>
              <w:t>9,942</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2026-09-17</w:t>
            </w:r>
          </w:p>
        </w:tc>
        <w:tc>
          <w:tcPr>
            <w:tcW w:type="dxa" w:w="1440"/>
            <w:shd w:fill="FAFAFA" w:val="clear"/>
          </w:tcPr>
          <w:p>
            <w:r>
              <w:rPr>
                <w:sz w:val="17"/>
              </w:rPr>
              <w:t>7,580</w:t>
            </w:r>
          </w:p>
        </w:tc>
        <w:tc>
          <w:tcPr>
            <w:tcW w:type="dxa" w:w="1440"/>
            <w:shd w:fill="FAFAFA" w:val="clear"/>
          </w:tcPr>
          <w:p>
            <w:r>
              <w:rPr>
                <w:b/>
                <w:sz w:val="17"/>
              </w:rPr>
              <w:t>8,800</w:t>
            </w:r>
          </w:p>
        </w:tc>
        <w:tc>
          <w:tcPr>
            <w:tcW w:type="dxa" w:w="1440"/>
            <w:shd w:fill="FAFAFA" w:val="clear"/>
          </w:tcPr>
          <w:p>
            <w:r>
              <w:rPr>
                <w:sz w:val="17"/>
              </w:rPr>
              <w:t>10,020</w:t>
            </w:r>
          </w:p>
        </w:tc>
        <w:tc>
          <w:tcPr>
            <w:tcW w:type="dxa" w:w="1440"/>
            <w:shd w:fill="FAFAFA" w:val="clear"/>
          </w:tcPr>
          <w:p>
            <w:r>
              <w:rPr>
                <w:b/>
                <w:color w:val="008000"/>
                <w:sz w:val="17"/>
              </w:rPr>
              <w:t>+0.0%</w:t>
            </w:r>
          </w:p>
        </w:tc>
      </w:tr>
      <w:tr>
        <w:tc>
          <w:tcPr>
            <w:tcW w:type="dxa" w:w="1440"/>
            <w:shd w:fill="FAFAFA" w:val="clear"/>
          </w:tcPr>
          <w:p>
            <w:r>
              <w:rPr>
                <w:sz w:val="17"/>
              </w:rPr>
              <w:t>J+10  ⭐</w:t>
            </w:r>
          </w:p>
        </w:tc>
        <w:tc>
          <w:tcPr>
            <w:tcW w:type="dxa" w:w="1440"/>
            <w:shd w:fill="FAFAFA" w:val="clear"/>
          </w:tcPr>
          <w:p>
            <w:r>
              <w:rPr>
                <w:sz w:val="17"/>
              </w:rPr>
              <w:t>2026-09-18</w:t>
            </w:r>
          </w:p>
        </w:tc>
        <w:tc>
          <w:tcPr>
            <w:tcW w:type="dxa" w:w="1440"/>
            <w:shd w:fill="FAFAFA" w:val="clear"/>
          </w:tcPr>
          <w:p>
            <w:r>
              <w:rPr>
                <w:sz w:val="17"/>
              </w:rPr>
              <w:t>7,520</w:t>
            </w:r>
          </w:p>
        </w:tc>
        <w:tc>
          <w:tcPr>
            <w:tcW w:type="dxa" w:w="1440"/>
            <w:shd w:fill="FAFAFA" w:val="clear"/>
          </w:tcPr>
          <w:p>
            <w:r>
              <w:rPr>
                <w:b/>
                <w:sz w:val="17"/>
              </w:rPr>
              <w:t>8,807</w:t>
            </w:r>
          </w:p>
        </w:tc>
        <w:tc>
          <w:tcPr>
            <w:tcW w:type="dxa" w:w="1440"/>
            <w:shd w:fill="FAFAFA" w:val="clear"/>
          </w:tcPr>
          <w:p>
            <w:r>
              <w:rPr>
                <w:sz w:val="17"/>
              </w:rPr>
              <w:t>10,093</w:t>
            </w:r>
          </w:p>
        </w:tc>
        <w:tc>
          <w:tcPr>
            <w:tcW w:type="dxa" w:w="1440"/>
            <w:shd w:fill="FAFAFA" w:val="clear"/>
          </w:tcPr>
          <w:p>
            <w:r>
              <w:rPr>
                <w:b/>
                <w:color w:val="008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04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190,10 milliards FCFA positionne SOGC parmi les valeurs moyennes à grandes capitalisations de la BRVM, lui conférant une liquidité et une visibilité appréciables. Avec un BPA de 578 FCFA, le titre se négocie à un PER de 15,2x, ce qui est supérieur à la moyenne historique de la place (~8-12x). Cette prime relative suggère que le marché intègre déjà une partie de la croissance future et la solidité des fondamentaux de l'entreprise. Le P/B de 2,78x confirme cette prime, le marché valorisant les capitaux propres à près de trois fois leur valeur comptable, ce qui est justifié par un ROE élevé. Enfin, un EV/EBITDA de 7,9x indique une valorisation raisonnable de la capacité opérationnelle de l'entreprise, cohérente avec une société rentable et générant des flux de trésorerie solides.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SOGC affiche une progression totale de +10,41%, démontrant une tendance haussière soutenue, malgré un léger repli de -0,85% lors de la dernière séance. Le cours a évolué dans un range de 7 100 FCFA (plus bas) à 8 875 FCFA (plus haut), avec une moyenne de 8 023 FCFA et une médiane de 8 125 FCFA. La proximité de la moyenne et de la médiane indique une distribution relativement symétrique des prix, confirmée par un skewness de -0,406. L'écart-type de 406 FCFA (CV=5,1%) révèle une dispersion modérée des cours autour de la moyenne. Le kurtosis excédentaire de -0,780 (mésokurtique) suggère une absence de mouvements extrêmes ou de "pics" de prix, indiquant un comportement de trading sans événements brutaux. La volatilité annualisée de 37,4% classe le titre comme très volatil, ce qui implique un risque élevé mais aussi un potentiel de rendement important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(8 800 FCFA) se situe nettement au-dessus de la MM20 (8 144,5 FCFA) et de la MM50 (8 224,4 FCFA). Bien que la configuration à court terme soit haussière, la décision technique globale est un signal de "Vente", probablement en raison d'une extension excessive du prix par rapport à ces moyennes, suggérant un risque de correction ou de consolidation à court terme.</w:t>
      </w:r>
    </w:p>
    <w:p>
      <w:pPr>
        <w:spacing w:after="120" w:line="276" w:lineRule="auto"/>
      </w:pPr>
      <w:r>
        <w:t>**Bandes de Bollinger**: Le prix évolue près de la borne supérieure (8 839 FCFA), indiquant une forte pression acheteuse. La décision "Neutre" suggère que, malgré la proximité de la borne, le marché n'a pas encore montré de signe de retournement ou de cassure. La largeur des bandes reflète la volatilité élevée du titre.</w:t>
      </w:r>
    </w:p>
    <w:p>
      <w:pPr>
        <w:spacing w:after="120" w:line="276" w:lineRule="auto"/>
      </w:pPr>
      <w:r>
        <w:t>**MACD**: La valeur du MACD (135,415) est nettement supérieure à sa ligne de signal (46,503), ce qui est un signal d'achat fort. Cette configuration indique un momentum haussier puissant et une accélération de la tendance positive, confirmant la vigueur du mouvement actuel.</w:t>
      </w:r>
    </w:p>
    <w:p>
      <w:pPr>
        <w:spacing w:after="120" w:line="276" w:lineRule="auto"/>
      </w:pPr>
      <w:r>
        <w:t>**RSI**: Avec une valeur de 83,217, le RSI est en zone de surachat (&lt;70). Ce niveau extrême signale que le titre est potentiellement survendu à la hausse et qu'un repli technique est probable à court terme. La décision associée est donc une "Vente", car la probabilité d'une correction augmente.</w:t>
      </w:r>
    </w:p>
    <w:p>
      <w:pPr>
        <w:spacing w:after="120" w:line="276" w:lineRule="auto"/>
      </w:pPr>
      <w:r>
        <w:t>**Stochastique**: Les valeurs de %K (92,683) et %D (97,561) sont toutes deux en zone de surachat très élevée. Le %D est supérieur au %K, indiquant un affaiblissement imminent du momentum haussier. Ce croisement baissier potentiel renforce le signal de "Vente" et suggère une prudence accrue pour les positions acheteuses à court terme.</w:t>
      </w:r>
    </w:p>
    <w:p>
      <w:pPr>
        <w:spacing w:after="120" w:line="276" w:lineRule="auto"/>
      </w:pPr>
      <w:r>
        <w:t>**Conclusion technique**: Les indicateurs de tendance (MACD) et de momentum (RSI, Stochastique) sont en forte divergence. Alors que le MACD confirme une dynamique haussière robuste, le RSI et le Stochastique signalent des conditions de surachat extrême, annonçant un risque élevé de correction technique. La position du prix au-dessus des moyennes mobiles et près de la borne supérieure de Bollinger suggère une tendance sous-jacente positive, mais un repli de consolidation semble de plus en plus probable avant la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SOGC a réalisé un chiffre d'affaires de 98,979 milliards FCFA, en hausse de 10,7% par rapport à 2024 (93,52 milliards FCFA), et un résultat net de 12,493 milliards FCFA (en baisse de 5% vs 2024). Cette performance se traduit par un ROE de 18,26% et un ROA de 13,84%, des niveaux excellents qui confirment une gestion très efficace des capitaux propres et des actifs. La marge opérationnelle de 17,24% et la marge nette de 12,62% restent solides. La structure financière est saine avec une autonomie financière de 75,79% et une capacité de remboursement quasi nulle (0,04 an). L'analyse sectorielle (ENTREPRISE) révèle un BFR de 7,124 milliards FCFA, un délai client de 29,6 jours et un délai fournisseur de 31,7 jours, indiquant une gestion de trésorerie équilibrée. Le rapport annuel 2025 (daté du 31/12/2025) souligne une hausse des coûts des matières premières (+15%) qui a pesé sur la rentabilité, mais une amélioration de la trésorerie nette (+3,1 milliards FCFA). Les rapports trimestriels de 2025 montrent une décélération progressive : après un T1 exceptionnel (+262,9% de résultat net), le S1 affichait +151,6%, et les 9 mois +39,5%. Sur la base de ces tendances, on estime que l'exercice 2026 pourrait voir une stabilisation des résultats si les prix du caoutchouc se maintiennent. La recommandation fondamentale issue des rapports est de "Conserver", compte tenu de la solidité financière, mais aussi de la pression sur les marges et de la politique de distribution très généreuse (dividende de 570 FCFA/action proposé pour 2025).</w:t>
      </w:r>
    </w:p>
    <w:p>
      <w:pPr>
        <w:spacing w:after="120" w:line="276" w:lineRule="auto"/>
      </w:pPr>
      <w:r>
        <w:t>---</w:t>
      </w:r>
    </w:p>
    <w:p>
      <w:pPr>
        <w:spacing w:after="120" w:line="276" w:lineRule="auto"/>
      </w:pPr>
      <w:r>
        <w:t>### PARTIE 4 : CONCLUSION D'INVESTISSEMENT</w:t>
      </w:r>
    </w:p>
    <w:p>
      <w:pPr>
        <w:spacing w:after="120" w:line="276" w:lineRule="auto"/>
      </w:pPr>
      <w:r>
        <w:t>La valorisation de SOGC (PER 15,2x, P/B 2,78x) est attractive pour une société affichant un ROE supérieur à 18%, justifiant une prime par rapport au marché. Le comportement du cours sur 100 jours est haussier (+10,41%) avec une volatilité élevée (37,4%), mais les statistiques (kurtosis, skewness) montrent une évolution sans extrêmes, ce qui est rassurant. Les signaux techniques sont en divergence : le MACD est très positif, mais le RSI et le Stochastique en surachat extrême suggèrent un fort risque de correction à court terme. Les fondamentaux restent robustes, avec une croissance du CA, des marges élevées et une structure financière très saine, malgré une légère baisse du résultat net en 2025. Les prédictions IA pour les 10 prochains jours (8 755 à 8 773 FCFA) indiquent une stabilisation du cours, confirmant l'hypothèse d'une consolidation après la récente hausse. En synthèse, la convergence entre des fondamentaux solides et une tendance de fond haussière est contrebalancée par des signaux techniques de surachat à court terme. Par conséquent, notre recommandation est **CONSERVER** pour les investisseurs existants, avec un niveau de confiance **Moyen**. Le risque global est **Moyen**, principalement lié à la volatilité des matières premières et à un potentiel repli technique. L'horizon d'investissement optimal serait à **moyen terme (3-12 mois)**, en attendant une éventuelle correction pour renforcer les positions.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255.96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4,451 titres</w:t>
            </w:r>
          </w:p>
        </w:tc>
        <w:tc>
          <w:tcPr>
            <w:tcW w:type="dxa" w:w="2268"/>
            <w:shd w:fill="FFF2CC" w:val="clear"/>
          </w:tcPr>
          <w:p>
            <w:r>
              <w:rPr>
                <w:b/>
                <w:color w:val="503200"/>
                <w:sz w:val="16"/>
              </w:rPr>
              <w:t xml:space="preserve">Cours actuel : </w:t>
            </w:r>
            <w:r>
              <w:rPr>
                <w:color w:val="000000"/>
                <w:sz w:val="17"/>
              </w:rPr>
              <w:t>10,015 FCFA</w:t>
            </w:r>
          </w:p>
          <w:p>
            <w:r>
              <w:rPr>
                <w:b/>
                <w:color w:val="503200"/>
                <w:sz w:val="16"/>
              </w:rPr>
              <w:t xml:space="preserve">Var. 100 jours : </w:t>
            </w:r>
            <w:r>
              <w:rPr>
                <w:b/>
                <w:color w:val="007800"/>
                <w:sz w:val="17"/>
              </w:rPr>
              <w:t>+34.52%</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10.23% (Moyenne) — μ=7,703 FCFA, σ=788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β=1.0053 (Neutre (suit le marché)) — Cov=0.000037, Var(idx)=0.000037, ρ=0.241,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4,451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9,404</w:t>
            </w:r>
          </w:p>
        </w:tc>
        <w:tc>
          <w:tcPr>
            <w:tcW w:type="dxa" w:w="1440"/>
            <w:shd w:fill="FAFAFA" w:val="clear"/>
          </w:tcPr>
          <w:p>
            <w:r>
              <w:rPr>
                <w:b/>
                <w:sz w:val="17"/>
              </w:rPr>
              <w:t>9,898</w:t>
            </w:r>
          </w:p>
        </w:tc>
        <w:tc>
          <w:tcPr>
            <w:tcW w:type="dxa" w:w="1440"/>
            <w:shd w:fill="FAFAFA" w:val="clear"/>
          </w:tcPr>
          <w:p>
            <w:r>
              <w:rPr>
                <w:sz w:val="17"/>
              </w:rPr>
              <w:t>10,392</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9,142</w:t>
            </w:r>
          </w:p>
        </w:tc>
        <w:tc>
          <w:tcPr>
            <w:tcW w:type="dxa" w:w="1440"/>
            <w:shd w:fill="FAFAFA" w:val="clear"/>
          </w:tcPr>
          <w:p>
            <w:r>
              <w:rPr>
                <w:b/>
                <w:sz w:val="17"/>
              </w:rPr>
              <w:t>9,837</w:t>
            </w:r>
          </w:p>
        </w:tc>
        <w:tc>
          <w:tcPr>
            <w:tcW w:type="dxa" w:w="1440"/>
            <w:shd w:fill="FAFAFA" w:val="clear"/>
          </w:tcPr>
          <w:p>
            <w:r>
              <w:rPr>
                <w:sz w:val="17"/>
              </w:rPr>
              <w:t>10,532</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8,935</w:t>
            </w:r>
          </w:p>
        </w:tc>
        <w:tc>
          <w:tcPr>
            <w:tcW w:type="dxa" w:w="1440"/>
            <w:shd w:fill="FFDCE0" w:val="clear"/>
          </w:tcPr>
          <w:p>
            <w:r>
              <w:rPr>
                <w:b/>
                <w:sz w:val="17"/>
              </w:rPr>
              <w:t>9,782</w:t>
            </w:r>
          </w:p>
        </w:tc>
        <w:tc>
          <w:tcPr>
            <w:tcW w:type="dxa" w:w="1440"/>
            <w:shd w:fill="FFDCE0" w:val="clear"/>
          </w:tcPr>
          <w:p>
            <w:r>
              <w:rPr>
                <w:sz w:val="17"/>
              </w:rPr>
              <w:t>10,628</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8,758</w:t>
            </w:r>
          </w:p>
        </w:tc>
        <w:tc>
          <w:tcPr>
            <w:tcW w:type="dxa" w:w="1440"/>
            <w:shd w:fill="FFDCE0" w:val="clear"/>
          </w:tcPr>
          <w:p>
            <w:r>
              <w:rPr>
                <w:b/>
                <w:sz w:val="17"/>
              </w:rPr>
              <w:t>9,730</w:t>
            </w:r>
          </w:p>
        </w:tc>
        <w:tc>
          <w:tcPr>
            <w:tcW w:type="dxa" w:w="1440"/>
            <w:shd w:fill="FFDCE0" w:val="clear"/>
          </w:tcPr>
          <w:p>
            <w:r>
              <w:rPr>
                <w:sz w:val="17"/>
              </w:rPr>
              <w:t>10,702</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8,598</w:t>
            </w:r>
          </w:p>
        </w:tc>
        <w:tc>
          <w:tcPr>
            <w:tcW w:type="dxa" w:w="1440"/>
            <w:shd w:fill="FFDCE0" w:val="clear"/>
          </w:tcPr>
          <w:p>
            <w:r>
              <w:rPr>
                <w:b/>
                <w:sz w:val="17"/>
              </w:rPr>
              <w:t>9,679</w:t>
            </w:r>
          </w:p>
        </w:tc>
        <w:tc>
          <w:tcPr>
            <w:tcW w:type="dxa" w:w="1440"/>
            <w:shd w:fill="FFDCE0" w:val="clear"/>
          </w:tcPr>
          <w:p>
            <w:r>
              <w:rPr>
                <w:sz w:val="17"/>
              </w:rPr>
              <w:t>10,761</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8,451</w:t>
            </w:r>
          </w:p>
        </w:tc>
        <w:tc>
          <w:tcPr>
            <w:tcW w:type="dxa" w:w="1440"/>
            <w:shd w:fill="FFDCE0" w:val="clear"/>
          </w:tcPr>
          <w:p>
            <w:r>
              <w:rPr>
                <w:b/>
                <w:sz w:val="17"/>
              </w:rPr>
              <w:t>9,630</w:t>
            </w:r>
          </w:p>
        </w:tc>
        <w:tc>
          <w:tcPr>
            <w:tcW w:type="dxa" w:w="1440"/>
            <w:shd w:fill="FFDCE0" w:val="clear"/>
          </w:tcPr>
          <w:p>
            <w:r>
              <w:rPr>
                <w:sz w:val="17"/>
              </w:rPr>
              <w:t>10,808</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8,314</w:t>
            </w:r>
          </w:p>
        </w:tc>
        <w:tc>
          <w:tcPr>
            <w:tcW w:type="dxa" w:w="1440"/>
            <w:shd w:fill="FFDCE0" w:val="clear"/>
          </w:tcPr>
          <w:p>
            <w:r>
              <w:rPr>
                <w:b/>
                <w:sz w:val="17"/>
              </w:rPr>
              <w:t>9,580</w:t>
            </w:r>
          </w:p>
        </w:tc>
        <w:tc>
          <w:tcPr>
            <w:tcW w:type="dxa" w:w="1440"/>
            <w:shd w:fill="FFDCE0" w:val="clear"/>
          </w:tcPr>
          <w:p>
            <w:r>
              <w:rPr>
                <w:sz w:val="17"/>
              </w:rPr>
              <w:t>10,847</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8,185</w:t>
            </w:r>
          </w:p>
        </w:tc>
        <w:tc>
          <w:tcPr>
            <w:tcW w:type="dxa" w:w="1440"/>
            <w:shd w:fill="FFDCE0" w:val="clear"/>
          </w:tcPr>
          <w:p>
            <w:r>
              <w:rPr>
                <w:b/>
                <w:sz w:val="17"/>
              </w:rPr>
              <w:t>9,532</w:t>
            </w:r>
          </w:p>
        </w:tc>
        <w:tc>
          <w:tcPr>
            <w:tcW w:type="dxa" w:w="1440"/>
            <w:shd w:fill="FFDCE0" w:val="clear"/>
          </w:tcPr>
          <w:p>
            <w:r>
              <w:rPr>
                <w:sz w:val="17"/>
              </w:rPr>
              <w:t>10,879</w:t>
            </w:r>
          </w:p>
        </w:tc>
        <w:tc>
          <w:tcPr>
            <w:tcW w:type="dxa" w:w="1440"/>
            <w:shd w:fill="FFDCE0" w:val="clear"/>
          </w:tcPr>
          <w:p>
            <w:r>
              <w:rPr>
                <w:b/>
                <w:color w:val="C00000"/>
                <w:sz w:val="17"/>
              </w:rPr>
              <w:t>-4.8%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8,063</w:t>
            </w:r>
          </w:p>
        </w:tc>
        <w:tc>
          <w:tcPr>
            <w:tcW w:type="dxa" w:w="1440"/>
            <w:shd w:fill="FFDCE0" w:val="clear"/>
          </w:tcPr>
          <w:p>
            <w:r>
              <w:rPr>
                <w:b/>
                <w:sz w:val="17"/>
              </w:rPr>
              <w:t>9,485</w:t>
            </w:r>
          </w:p>
        </w:tc>
        <w:tc>
          <w:tcPr>
            <w:tcW w:type="dxa" w:w="1440"/>
            <w:shd w:fill="FFDCE0" w:val="clear"/>
          </w:tcPr>
          <w:p>
            <w:r>
              <w:rPr>
                <w:sz w:val="17"/>
              </w:rPr>
              <w:t>10,906</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7,947</w:t>
            </w:r>
          </w:p>
        </w:tc>
        <w:tc>
          <w:tcPr>
            <w:tcW w:type="dxa" w:w="1440"/>
            <w:shd w:fill="FFDCE0" w:val="clear"/>
          </w:tcPr>
          <w:p>
            <w:r>
              <w:rPr>
                <w:b/>
                <w:sz w:val="17"/>
              </w:rPr>
              <w:t>9,438</w:t>
            </w:r>
          </w:p>
        </w:tc>
        <w:tc>
          <w:tcPr>
            <w:tcW w:type="dxa" w:w="1440"/>
            <w:shd w:fill="FFDCE0" w:val="clear"/>
          </w:tcPr>
          <w:p>
            <w:r>
              <w:rPr>
                <w:sz w:val="17"/>
              </w:rPr>
              <w:t>10,929</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de l'analyse : 06 septembre 2026**</w:t>
        <w:br/>
        <w:t>**Cours de référence : 10 015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255,96 milliards FCFA, ce qui positionne la société parmi les capitalisations significatives de la BRVM, reflétant son statut de leader dans le secteur du caoutchouc naturel. Avec un BPA de 977 FCFA, le titre se négocie à un PER de 10,2x, un niveau jugé modéré qui se situe dans la fourchette moyenne du marché BRVM (8-12x), indiquant que les investisseurs ne paient pas un prix excessif pour les bénéfices générés. Le P/B de 1,86x montre que le marché valorise la société à près du double de sa valeur comptable, ce qui est raisonnable pour une entreprise affichant un ROE supérieur à 18%. Enfin, un EV/EBITDA de 6,2x suggère que la valeur totale de l'entreprise (capitaux propres + dettes) reste attractive par rapport à sa capacité opérationnelle à générer du cash, confirmant une valorisation globalement raisonnable et non spéculative.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SPHC a enregistré une performance remarquable de +34,52%, bien que la dernière séance ait clôturé en baisse de -1,81% à 10 015 FCFA, montrant un essoufflement à court terme. Le titre a évolué dans une fourchette large de 6 720 FCFA (plus bas) à 10 300 FCFA (plus haut), démontrant une forte dynamique haussière. Statistiquement, le cours moyen de 7 703 FCFA est supérieur à la médiane de 7 502 FCFA, et le skewness positif de 1,697 confirme une distribution asymétrique avec des journées de forte hausse concentrées en fin de période. L'écart-type de 792 FCFA (CV=10,3%) indique une dispersion modérée, mais le kurtosis élevé de 2,304 signale un risque de mouvements extrêmes (queues épaisses). La volatilité annualisée de 40,2% classe le titre comme très volatil (&gt;30%), ce qui implique un risque élevé mais aussi un potentiel de rendement important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de 10 015 FCFA se situe nettement au-dessus de la MM20 (8 982 FCFA) et de la MM50 (8 145,1 FCFA), avec un écart de plus de 11% par rapport à la MM20. Cette configuration en pente ascendante confirme une tendance haussière solide à moyen terme, justifiant la décision d'**Achat**. Le croisement haussier des moyennes mobiles indique que la dynamique positive est soutenue par les volumes.</w:t>
      </w:r>
    </w:p>
    <w:p>
      <w:pPr>
        <w:spacing w:after="120" w:line="276" w:lineRule="auto"/>
      </w:pPr>
      <w:r>
        <w:t>**Bandes de Bollinger**: Le prix évolue à 10 015 FCFA, proche de la borne supérieure fixée à 10 699 FCFA, avec une borne inférieure à 7 264 FCFA. La largeur des bandes reflète la volatilité élevée du titre. Le fait que le cours se rapproche de la borne supérieure suggère une possible consolidation à court terme, mais la décision reste **Neutre** car le prix n'a pas encore franchi cette résistance dynamique.</w:t>
      </w:r>
    </w:p>
    <w:p>
      <w:pPr>
        <w:spacing w:after="120" w:line="276" w:lineRule="auto"/>
      </w:pPr>
      <w:r>
        <w:t>**MACD**: La valeur du MACD à 601,4 est supérieure à son signal à 504,3, avec un écart positif de près de 100 points. Cette configuration haussière indique un momentum positif persistant, bien que l'écart commence à se stabiliser. La décision est à l'**Achat**, confirmant la vigueur de la tendance de fond.</w:t>
      </w:r>
    </w:p>
    <w:p>
      <w:pPr>
        <w:spacing w:after="120" w:line="276" w:lineRule="auto"/>
      </w:pPr>
      <w:r>
        <w:t>**RSI**: À 72,3, le RSI entre en zone de surachat (&gt;70), signalant que le titre a fortement progressé sur une courte période et qu'un repli technique est probable. La décision de **Vente** suggère une prudence pour les investisseurs à court terme, car le potentiel de hausse immédiat pourrait être limité par des prises de bénéfices.</w:t>
      </w:r>
    </w:p>
    <w:p>
      <w:pPr>
        <w:spacing w:after="120" w:line="276" w:lineRule="auto"/>
      </w:pPr>
      <w:r>
        <w:t>**Stochastique**: Le %K à 85,0 et le %D à 93,5 indiquent que le titre est également en zone de surachat. Le %K étant inférieur au %D, un croisement baissier semble se former, renforçant le signal de **Vente** pour les traders à court terme.</w:t>
      </w:r>
    </w:p>
    <w:p>
      <w:pPr>
        <w:spacing w:after="120" w:line="276" w:lineRule="auto"/>
      </w:pPr>
      <w:r>
        <w:t>**Conclusion technique**: Les indicateurs de tendance (MM, MACD) sont résolument haussiers et confirment la dynamique positive de fond. Cependant, les oscillateurs (RSI, Stochastique) signalent une condition de surachat extrême, suggérant un risque élevé de correction technique à très court terme. La prudence est donc recommandée pour les nouveaux achats, tandis que les investisseurs existants pourraient maintenir leurs positions en attendant une consolidation.</w:t>
      </w:r>
    </w:p>
    <w:p>
      <w:pPr>
        <w:spacing w:after="120" w:line="276" w:lineRule="auto"/>
      </w:pPr>
      <w:r>
        <w:t>---</w:t>
      </w:r>
    </w:p>
    <w:p>
      <w:pPr>
        <w:spacing w:after="120" w:line="276" w:lineRule="auto"/>
      </w:pPr>
      <w:r>
        <w:t>### PARTIE 3 : ANALYSE FONDAMENTALE (SECTION CRITIQUE)</w:t>
      </w:r>
    </w:p>
    <w:p>
      <w:pPr>
        <w:spacing w:after="120" w:line="276" w:lineRule="auto"/>
      </w:pPr>
      <w:r>
        <w:t>**En 2025**, SPHC a réalisé un chiffre d'affaires de 340,83 milliards FCFA, en croissance de +22% par rapport à 2024 (279,44 milliards FCFA), avec un résultat net de 24,97 milliards FCFA (+32,9% vs 2024). La rentabilité est excellente avec un ROE de 18,1% et un ROA de 11,1%, soutenue par une marge nette de 7,3% et une marge opérationnelle de 11,2%. La structure financière est saine avec une autonomie financière de 61,1% et un ratio d'endettement maîtrisé à 25,8%. Cependant, le BFR de 65,4 milliards FCFA (positif) et la trésorerie nette négative de -15,4 milliards FCFA constituent des points de vigilance, bien que la capacité de remboursement de 0,97 an soit très satisfaisante. Les rapports trimestriels 2025 montrent une performance exceptionnelle au S1 (+51% CA, résultat net x5) et au 9M (+36% CA, +131% résultat net), mais le **rapport T1 2026** (daté de mars 2026) révèle un net ralentissement avec un CA de 71,8 milliards FCFA (-24%) et un résultat net de 2,6 milliards FCFA (-78%), pénalisé par la chute des cours mondiaux et l'engorgement du port de San Pedro. Sur la base de ce T1 2026, on estime que l'exercice 2026 pourrait voir un résultat net annuel compris entre 10 et 15 milliards FCFA si les cours se stabilisent, soit une baisse significative par rapport à 2025. La société maintient néanmoins une politique de dividende généreuse avec un DPA proposé de 489 FCFA pour 2025, représentant un rendement d'environ 4,9% au cours actuel.</w:t>
      </w:r>
    </w:p>
    <w:p>
      <w:pPr>
        <w:spacing w:after="120" w:line="276" w:lineRule="auto"/>
      </w:pPr>
      <w:r>
        <w:t>---</w:t>
      </w:r>
    </w:p>
    <w:p>
      <w:pPr>
        <w:spacing w:after="120" w:line="276" w:lineRule="auto"/>
      </w:pPr>
      <w:r>
        <w:t>### PARTIE 4 : CONCLUSION D'INVESTISSEMENT</w:t>
      </w:r>
    </w:p>
    <w:p>
      <w:pPr>
        <w:spacing w:after="120" w:line="276" w:lineRule="auto"/>
      </w:pPr>
      <w:r>
        <w:t>La valorisation de SPHC (PER 10,2x, P/B 1,86x, EV/EBITDA 6,2x) reste raisonnable et n'intègre pas pleinement la décélération attendue en 2026. Le comportement du cours (+34,5% sur 100 jours) avec une volatilité très élevée (40,2%) et un skewness positif reflète un optimisme marqué des investisseurs, potentiellement excessif au vu des fondamentaux récents. Les signaux techniques sont divergents : les indicateurs de tendance (MM, MACD) restent positifs, mais les oscillateurs (RSI 72,3, Stochastique 85/93,5) signalent un surachat extrême, et les prédictions IA sur 10 jours (9 898 à 9 679 FCFA) anticipent une correction de -3,4%, confirmant ce risque. Les fondamentaux, bien que solides sur 2025 (ROE 18,1%, CA +22%), montrent une dégradation marquée au T1 2026 (-78% résultat net), suggérant une année 2026 difficile. **Recommandation : CONSERVER** avec une confiance moyenne, car la solidité bilancielle et la politique de dividende offrent un plancher de valorisation, mais le risque de correction technique et la dégradation conjoncturelle justifient une position d'attente. Risque global : **Élevé**. Horizon optimal : **Moyen terme (3-12 mois)** pour observer la reprise des cours du caoutchouc et la résolution des tensions logistiques.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35.01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5,973 titres</w:t>
            </w:r>
          </w:p>
        </w:tc>
        <w:tc>
          <w:tcPr>
            <w:tcW w:type="dxa" w:w="2268"/>
            <w:shd w:fill="FFF2CC" w:val="clear"/>
          </w:tcPr>
          <w:p>
            <w:r>
              <w:rPr>
                <w:b/>
                <w:color w:val="503200"/>
                <w:sz w:val="16"/>
              </w:rPr>
              <w:t xml:space="preserve">Cours actuel : </w:t>
            </w:r>
            <w:r>
              <w:rPr>
                <w:color w:val="000000"/>
                <w:sz w:val="17"/>
              </w:rPr>
              <w:t>2,605 FCFA</w:t>
            </w:r>
          </w:p>
          <w:p>
            <w:r>
              <w:rPr>
                <w:b/>
                <w:color w:val="503200"/>
                <w:sz w:val="16"/>
              </w:rPr>
              <w:t xml:space="preserve">Var. 100 jours : </w:t>
            </w:r>
            <w:r>
              <w:rPr>
                <w:b/>
                <w:color w:val="B40000"/>
                <w:sz w:val="17"/>
              </w:rPr>
              <w:t>-24.49%</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10.74% (Moyenne) — μ=2,992 FCFA, σ=321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β=-0.5557 (Contre-cyclique) — Cov=-0.000021, Var(idx)=0.000037, ρ=-0.089,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2026-09-07</w:t>
            </w:r>
          </w:p>
        </w:tc>
        <w:tc>
          <w:tcPr>
            <w:tcW w:type="dxa" w:w="1440"/>
            <w:shd w:fill="FFDCE0" w:val="clear"/>
          </w:tcPr>
          <w:p>
            <w:r>
              <w:rPr>
                <w:sz w:val="17"/>
              </w:rPr>
              <w:t>2,293</w:t>
            </w:r>
          </w:p>
        </w:tc>
        <w:tc>
          <w:tcPr>
            <w:tcW w:type="dxa" w:w="1440"/>
            <w:shd w:fill="FFDCE0" w:val="clear"/>
          </w:tcPr>
          <w:p>
            <w:r>
              <w:rPr>
                <w:b/>
                <w:sz w:val="17"/>
              </w:rPr>
              <w:t>2,410</w:t>
            </w:r>
          </w:p>
        </w:tc>
        <w:tc>
          <w:tcPr>
            <w:tcW w:type="dxa" w:w="1440"/>
            <w:shd w:fill="FFDCE0" w:val="clear"/>
          </w:tcPr>
          <w:p>
            <w:r>
              <w:rPr>
                <w:sz w:val="17"/>
              </w:rPr>
              <w:t>2,527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2026-09-08</w:t>
            </w:r>
          </w:p>
        </w:tc>
        <w:tc>
          <w:tcPr>
            <w:tcW w:type="dxa" w:w="1440"/>
            <w:shd w:fill="FFDCE0" w:val="clear"/>
          </w:tcPr>
          <w:p>
            <w:r>
              <w:rPr>
                <w:sz w:val="17"/>
              </w:rPr>
              <w:t>2,089</w:t>
            </w:r>
          </w:p>
        </w:tc>
        <w:tc>
          <w:tcPr>
            <w:tcW w:type="dxa" w:w="1440"/>
            <w:shd w:fill="FFDCE0" w:val="clear"/>
          </w:tcPr>
          <w:p>
            <w:r>
              <w:rPr>
                <w:b/>
                <w:sz w:val="17"/>
              </w:rPr>
              <w:t>2,243</w:t>
            </w:r>
          </w:p>
        </w:tc>
        <w:tc>
          <w:tcPr>
            <w:tcW w:type="dxa" w:w="1440"/>
            <w:shd w:fill="FFDCE0" w:val="clear"/>
          </w:tcPr>
          <w:p>
            <w:r>
              <w:rPr>
                <w:sz w:val="17"/>
              </w:rPr>
              <w:t>2,397</w:t>
            </w:r>
          </w:p>
        </w:tc>
        <w:tc>
          <w:tcPr>
            <w:tcW w:type="dxa" w:w="1440"/>
            <w:shd w:fill="FFDCE0" w:val="clear"/>
          </w:tcPr>
          <w:p>
            <w:r>
              <w:rPr>
                <w:b/>
                <w:color w:val="C00000"/>
                <w:sz w:val="17"/>
              </w:rPr>
              <w:t>-13.9%</w:t>
            </w:r>
          </w:p>
        </w:tc>
      </w:tr>
      <w:tr>
        <w:tc>
          <w:tcPr>
            <w:tcW w:type="dxa" w:w="1440"/>
            <w:shd w:fill="FFDCE0" w:val="clear"/>
          </w:tcPr>
          <w:p>
            <w:r>
              <w:rPr>
                <w:sz w:val="17"/>
              </w:rPr>
              <w:t>J+3  Moyenne</w:t>
            </w:r>
          </w:p>
        </w:tc>
        <w:tc>
          <w:tcPr>
            <w:tcW w:type="dxa" w:w="1440"/>
            <w:shd w:fill="FFDCE0" w:val="clear"/>
          </w:tcPr>
          <w:p>
            <w:r>
              <w:rPr>
                <w:sz w:val="17"/>
              </w:rPr>
              <w:t>2026-09-09</w:t>
            </w:r>
          </w:p>
        </w:tc>
        <w:tc>
          <w:tcPr>
            <w:tcW w:type="dxa" w:w="1440"/>
            <w:shd w:fill="FFDCE0" w:val="clear"/>
          </w:tcPr>
          <w:p>
            <w:r>
              <w:rPr>
                <w:sz w:val="17"/>
              </w:rPr>
              <w:t>1,915</w:t>
            </w:r>
          </w:p>
        </w:tc>
        <w:tc>
          <w:tcPr>
            <w:tcW w:type="dxa" w:w="1440"/>
            <w:shd w:fill="FFDCE0" w:val="clear"/>
          </w:tcPr>
          <w:p>
            <w:r>
              <w:rPr>
                <w:b/>
                <w:sz w:val="17"/>
              </w:rPr>
              <w:t>2,090</w:t>
            </w:r>
          </w:p>
        </w:tc>
        <w:tc>
          <w:tcPr>
            <w:tcW w:type="dxa" w:w="1440"/>
            <w:shd w:fill="FFDCE0" w:val="clear"/>
          </w:tcPr>
          <w:p>
            <w:r>
              <w:rPr>
                <w:sz w:val="17"/>
              </w:rPr>
              <w:t>2,266</w:t>
            </w:r>
          </w:p>
        </w:tc>
        <w:tc>
          <w:tcPr>
            <w:tcW w:type="dxa" w:w="1440"/>
            <w:shd w:fill="FFDCE0" w:val="clear"/>
          </w:tcPr>
          <w:p>
            <w:r>
              <w:rPr>
                <w:b/>
                <w:color w:val="C00000"/>
                <w:sz w:val="17"/>
              </w:rPr>
              <w:t>-19.8%</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1,772</w:t>
            </w:r>
          </w:p>
        </w:tc>
        <w:tc>
          <w:tcPr>
            <w:tcW w:type="dxa" w:w="1440"/>
            <w:shd w:fill="FFDCE0" w:val="clear"/>
          </w:tcPr>
          <w:p>
            <w:r>
              <w:rPr>
                <w:b/>
                <w:sz w:val="17"/>
              </w:rPr>
              <w:t>1,962</w:t>
            </w:r>
          </w:p>
        </w:tc>
        <w:tc>
          <w:tcPr>
            <w:tcW w:type="dxa" w:w="1440"/>
            <w:shd w:fill="FFDCE0" w:val="clear"/>
          </w:tcPr>
          <w:p>
            <w:r>
              <w:rPr>
                <w:sz w:val="17"/>
              </w:rPr>
              <w:t>2,153</w:t>
            </w:r>
          </w:p>
        </w:tc>
        <w:tc>
          <w:tcPr>
            <w:tcW w:type="dxa" w:w="1440"/>
            <w:shd w:fill="FFDCE0" w:val="clear"/>
          </w:tcPr>
          <w:p>
            <w:r>
              <w:rPr>
                <w:b/>
                <w:color w:val="C00000"/>
                <w:sz w:val="17"/>
              </w:rPr>
              <w:t>-24.7%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1,658</w:t>
            </w:r>
          </w:p>
        </w:tc>
        <w:tc>
          <w:tcPr>
            <w:tcW w:type="dxa" w:w="1440"/>
            <w:shd w:fill="FFDCE0" w:val="clear"/>
          </w:tcPr>
          <w:p>
            <w:r>
              <w:rPr>
                <w:b/>
                <w:sz w:val="17"/>
              </w:rPr>
              <w:t>1,860</w:t>
            </w:r>
          </w:p>
        </w:tc>
        <w:tc>
          <w:tcPr>
            <w:tcW w:type="dxa" w:w="1440"/>
            <w:shd w:fill="FFDCE0" w:val="clear"/>
          </w:tcPr>
          <w:p>
            <w:r>
              <w:rPr>
                <w:sz w:val="17"/>
              </w:rPr>
              <w:t>2,061</w:t>
            </w:r>
          </w:p>
        </w:tc>
        <w:tc>
          <w:tcPr>
            <w:tcW w:type="dxa" w:w="1440"/>
            <w:shd w:fill="FFDCE0" w:val="clear"/>
          </w:tcPr>
          <w:p>
            <w:r>
              <w:rPr>
                <w:b/>
                <w:color w:val="C00000"/>
                <w:sz w:val="17"/>
              </w:rPr>
              <w:t>-28.6%</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1,566</w:t>
            </w:r>
          </w:p>
        </w:tc>
        <w:tc>
          <w:tcPr>
            <w:tcW w:type="dxa" w:w="1440"/>
            <w:shd w:fill="FFDCE0" w:val="clear"/>
          </w:tcPr>
          <w:p>
            <w:r>
              <w:rPr>
                <w:b/>
                <w:sz w:val="17"/>
              </w:rPr>
              <w:t>1,777</w:t>
            </w:r>
          </w:p>
        </w:tc>
        <w:tc>
          <w:tcPr>
            <w:tcW w:type="dxa" w:w="1440"/>
            <w:shd w:fill="FFDCE0" w:val="clear"/>
          </w:tcPr>
          <w:p>
            <w:r>
              <w:rPr>
                <w:sz w:val="17"/>
              </w:rPr>
              <w:t>1,989</w:t>
            </w:r>
          </w:p>
        </w:tc>
        <w:tc>
          <w:tcPr>
            <w:tcW w:type="dxa" w:w="1440"/>
            <w:shd w:fill="FFDCE0" w:val="clear"/>
          </w:tcPr>
          <w:p>
            <w:r>
              <w:rPr>
                <w:b/>
                <w:color w:val="C00000"/>
                <w:sz w:val="17"/>
              </w:rPr>
              <w:t>-31.8%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1,492</w:t>
            </w:r>
          </w:p>
        </w:tc>
        <w:tc>
          <w:tcPr>
            <w:tcW w:type="dxa" w:w="1440"/>
            <w:shd w:fill="FFDCE0" w:val="clear"/>
          </w:tcPr>
          <w:p>
            <w:r>
              <w:rPr>
                <w:b/>
                <w:sz w:val="17"/>
              </w:rPr>
              <w:t>1,711</w:t>
            </w:r>
          </w:p>
        </w:tc>
        <w:tc>
          <w:tcPr>
            <w:tcW w:type="dxa" w:w="1440"/>
            <w:shd w:fill="FFDCE0" w:val="clear"/>
          </w:tcPr>
          <w:p>
            <w:r>
              <w:rPr>
                <w:sz w:val="17"/>
              </w:rPr>
              <w:t>1,931</w:t>
            </w:r>
          </w:p>
        </w:tc>
        <w:tc>
          <w:tcPr>
            <w:tcW w:type="dxa" w:w="1440"/>
            <w:shd w:fill="FFDCE0" w:val="clear"/>
          </w:tcPr>
          <w:p>
            <w:r>
              <w:rPr>
                <w:b/>
                <w:color w:val="C00000"/>
                <w:sz w:val="17"/>
              </w:rPr>
              <w:t>-34.3%</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1,430</w:t>
            </w:r>
          </w:p>
        </w:tc>
        <w:tc>
          <w:tcPr>
            <w:tcW w:type="dxa" w:w="1440"/>
            <w:shd w:fill="FFDCE0" w:val="clear"/>
          </w:tcPr>
          <w:p>
            <w:r>
              <w:rPr>
                <w:b/>
                <w:sz w:val="17"/>
              </w:rPr>
              <w:t>1,657</w:t>
            </w:r>
          </w:p>
        </w:tc>
        <w:tc>
          <w:tcPr>
            <w:tcW w:type="dxa" w:w="1440"/>
            <w:shd w:fill="FFDCE0" w:val="clear"/>
          </w:tcPr>
          <w:p>
            <w:r>
              <w:rPr>
                <w:sz w:val="17"/>
              </w:rPr>
              <w:t>1,884</w:t>
            </w:r>
          </w:p>
        </w:tc>
        <w:tc>
          <w:tcPr>
            <w:tcW w:type="dxa" w:w="1440"/>
            <w:shd w:fill="FFDCE0" w:val="clear"/>
          </w:tcPr>
          <w:p>
            <w:r>
              <w:rPr>
                <w:b/>
                <w:color w:val="C00000"/>
                <w:sz w:val="17"/>
              </w:rPr>
              <w:t>-36.4%</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1,377</w:t>
            </w:r>
          </w:p>
        </w:tc>
        <w:tc>
          <w:tcPr>
            <w:tcW w:type="dxa" w:w="1440"/>
            <w:shd w:fill="FFDCE0" w:val="clear"/>
          </w:tcPr>
          <w:p>
            <w:r>
              <w:rPr>
                <w:b/>
                <w:sz w:val="17"/>
              </w:rPr>
              <w:t>1,611</w:t>
            </w:r>
          </w:p>
        </w:tc>
        <w:tc>
          <w:tcPr>
            <w:tcW w:type="dxa" w:w="1440"/>
            <w:shd w:fill="FFDCE0" w:val="clear"/>
          </w:tcPr>
          <w:p>
            <w:r>
              <w:rPr>
                <w:sz w:val="17"/>
              </w:rPr>
              <w:t>1,845</w:t>
            </w:r>
          </w:p>
        </w:tc>
        <w:tc>
          <w:tcPr>
            <w:tcW w:type="dxa" w:w="1440"/>
            <w:shd w:fill="FFDCE0" w:val="clear"/>
          </w:tcPr>
          <w:p>
            <w:r>
              <w:rPr>
                <w:b/>
                <w:color w:val="C00000"/>
                <w:sz w:val="17"/>
              </w:rPr>
              <w:t>-38.2%</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1,330</w:t>
            </w:r>
          </w:p>
        </w:tc>
        <w:tc>
          <w:tcPr>
            <w:tcW w:type="dxa" w:w="1440"/>
            <w:shd w:fill="FFDCE0" w:val="clear"/>
          </w:tcPr>
          <w:p>
            <w:r>
              <w:rPr>
                <w:b/>
                <w:sz w:val="17"/>
              </w:rPr>
              <w:t>1,571</w:t>
            </w:r>
          </w:p>
        </w:tc>
        <w:tc>
          <w:tcPr>
            <w:tcW w:type="dxa" w:w="1440"/>
            <w:shd w:fill="FFDCE0" w:val="clear"/>
          </w:tcPr>
          <w:p>
            <w:r>
              <w:rPr>
                <w:sz w:val="17"/>
              </w:rPr>
              <w:t>1,812</w:t>
            </w:r>
          </w:p>
        </w:tc>
        <w:tc>
          <w:tcPr>
            <w:tcW w:type="dxa" w:w="1440"/>
            <w:shd w:fill="FFDCE0" w:val="clear"/>
          </w:tcPr>
          <w:p>
            <w:r>
              <w:rPr>
                <w:b/>
                <w:color w:val="C00000"/>
                <w:sz w:val="17"/>
              </w:rPr>
              <w:t>-39.7%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(BRVM)**</w:t>
        <w:br/>
        <w:t>**Date de l'analyse : 04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35,01 milliards FCFA, un niveau relativement modeste sur la BRVM, mais qui contraste fortement avec la situation financière de l'entreprise. Le BPA est négatif à -7 FCFA, ce qui rend le PER non significatif (-362,6x) et indique que les investisseurs paient pour une société déficitaire. Le P/B de 98,14x est extrêmement élevé, suggérant que le marché valorise l'actif net à une prime considérable, probablement en raison d'anticipations de redressement futur ou d'actifs stratégiques non comptabilisés. En l'absence d'EBITDA positif, le ratio EV/EBITDA n'est pas calculable, ce qui confirme la difficulté d'évaluer la société sur des critères de rentabilité opérationnelle. Ces ratios témoignent d'une valorisation spéculative, déconnectée des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 enregistré une chute vertigineuse de -24,49%, avec une baisse supplémentaire de -3,16% lors de la dernière séance, portant le cours à 2 605 FCFA. Le titre a évolué dans une fourchette large de 2 515 à 3 640 FCFA, illustrant une forte amplitude de trading. La moyenne (2 992 FCFA) est supérieure à la médiane (2 952 FCFA), indiquant une distribution légèrement asymétrique avec quelques fortes hausses passées. L'écart-type de 323 FCFA (CV=10,8%) montre une dispersion modérée, tandis que le kurtosis de -0,937 (mésokurtique) et le skewness de 0,459 suggèrent une distribution relativement normale sans risque de pics extrêmes. La volatilité annualisée de 60,1% est extrêmement élevée, classant le titre comme très risqué. La tendance générale est clairement baissière, avec un cours qui se rapproche dangereusement de son plus bas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(2 605 FCFA) est inférieur à la MM20 (2 632,75 FCFA) et nettement sous la MM50 (2 930,9 FCFA). Cette configuration en pente descendante confirme une dynamique baissière à court et moyen terme. La décision de "Vente" est justifiée par l'incapacité du titre à se maintenir au-dessus de ses moyennes mobiles, signe d'une pression vendeuse persistante.</w:t>
      </w:r>
    </w:p>
    <w:p>
      <w:pPr>
        <w:spacing w:after="120" w:line="276" w:lineRule="auto"/>
      </w:pPr>
      <w:r>
        <w:t>**Bandes de Bollinger**: Le prix se situe à 2 605 FCFA, entre la borne inférieure (2 461,95 FCFA) et la borne supérieure (2 803,55 FCFA), mais plus proche de la borne basse. La largeur des bandes reflète la volatilité élevée du titre. La décision "Neutre" indique que le cours n'est pas en situation de surachat ou de survente extrême, mais la proximité de la borne inférieure suggère un potentiel de rebond technique ou une poursuite de la baisse.</w:t>
      </w:r>
    </w:p>
    <w:p>
      <w:pPr>
        <w:spacing w:after="120" w:line="276" w:lineRule="auto"/>
      </w:pPr>
      <w:r>
        <w:t>**MACD**: La valeur MACD (-49,53) est supérieure au signal (-80,48), formant un croisement haussier récent. Cela indique un ralentissement du momentum baissier et une possible amorce de retournement à court terme. La décision "Achat" reflète cette amélioration technique, mais elle doit être confirmée par une remontée du cours au-dessus des moyennes mobiles.</w:t>
      </w:r>
    </w:p>
    <w:p>
      <w:pPr>
        <w:spacing w:after="120" w:line="276" w:lineRule="auto"/>
      </w:pPr>
      <w:r>
        <w:t>**RSI**: Le RSI à 47,95 se situe en zone neutre (30-70), indiquant un équilibre relatif entre acheteurs et vendeurs. Cette valeur ne signale ni surachat ni survente, laissant place à une certaine indécision sur le marché. La décision "Neutre" est cohérente avec cette lecture.</w:t>
      </w:r>
    </w:p>
    <w:p>
      <w:pPr>
        <w:spacing w:after="120" w:line="276" w:lineRule="auto"/>
      </w:pPr>
      <w:r>
        <w:t>**Stochastique**: Le %K (25,0) est inférieur au %D (57,78), formant un croisement baissier. Cela suggère que le titre est en phase de faiblesse à très court terme, mais les niveaux actuels proches de la zone de survente pourraient précéder un rebond technique. La décision "Neutre" reflète cette ambiguïté.</w:t>
      </w:r>
    </w:p>
    <w:p>
      <w:pPr>
        <w:spacing w:after="120" w:line="276" w:lineRule="auto"/>
      </w:pPr>
      <w:r>
        <w:t>**Conclusion technique**: La majorité des indicateurs (MM, Bollinger, Stochastique) pointent vers une poursuite de la tendance baissière, tandis que le MACD montre des signes précoces de retournement. Le RSI neutre ne fournit pas de direction claire. Globalement, le signal technique reste vendeur, mais avec des signes de stabilisation potentielle à surveiller.</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STAC révèlent une situation critique : le chiffre d'affaires s'établit à 3,878 milliards FCFA, en forte croissance de +116% par rapport à 2024, mais l'entreprise reste déficitaire avec un résultat net de -96,56 millions FCFA. La marge nette est négative à -2,49%, et le ROE est profondément négatif à -27,07%, tandis que le ROA s'établit à -1,77%. La structure financière est fragile avec des capitaux propres de seulement 356,75 millions FCFA (autonomie financière de 6,55%), ce qui est très insuffisant. Le BFR est négatif à -930,47 millions FCFA, un point positif indiquant que l'entreprise ne finance pas ses clients, mais les dettes totales de 5,09 milliards FCFA pèsent lourdement. Selon le rapport du 3ème trimestre 2025 (daté du 30/09/2025), le CA cumulé sur 9 mois atteint 3,456 milliards FCFA (+176% vs 2024), porté par les travaux de l'aéroport d'Abidjan, mais la perte nette cumulée reste de -477 millions FCFA. En comparaison, le rapport du 1er semestre 2025 (30/06/2025) montrait un CA de 2,271 milliards FCFA et une perte de -557 millions FCFA, indiquant une amélioration séquentielle au T3. Les rapports de 2024 (31/12/2024) faisaient état d'un CA de 1,793 milliard FCFA et d'une perte de -348 millions FCFA. On estime que l'exercice 2025 devrait se solder par une perte annuelle d'environ -100 à -150 millions FCFA, conformément aux données structurées, avec un CA proche de 4 milliards FCFA. La société reste dépendante d'un seul grand chantier, et sa rentabilité opérationnelle est toujours négative (EBE de -650 millions FCFA), bien qu'en amélioration. La recommandation fondamentale est **défavorable** : la société est structurellement déficitaire, avec une trésorerie positive (1,33 milliard FCFA) mais en diminution, et un modèle économique fragile.</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spéculative, avec un P/B de 98x et un PER négatif, indiquant une surévaluation manifeste par rapport aux fondamentaux. Le comportement du cours sur 100 jours est très préoccupant, avec une chute de -24,49% et une volatilité annualisée de 60%, reflétant un risque élevé. Les signaux techniques sont majoritairement baissiers (MM, Bollinger), malgré un MACD en légère amélioration, suggérant une possible stabilisation mais pas de retournement confirmé. Les fondamentaux sont très dégradés : pertes récurrentes, capitaux propres insuffisants, et dépendance à un seul projet. Les prédictions IA pour les 10 prochains jours (2 410 à 1 860 FCFA) confirment une poursuite de la chute, avec une baisse potentielle de -28% supplémentaire. La convergence entre la valorisation excessive, la tendance baissière, les fondamentaux fragiles et les prédictions IA est forte. **Recommandation finale : VENTE FORTE**. Le niveau de confiance est **Élevé** (convergence de tous les signaux), le risque global est **Élevé**, et l'horizon d'investissement optimal est le **court terme (&lt;3 mois)** pour sortir de la position avant une dépréciation supplémentaire. Les investisseurs devraient éviter cette valeur tant que le redressement fondamental n'est pas confirmé.</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396.81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3,700 titres</w:t>
            </w:r>
          </w:p>
        </w:tc>
        <w:tc>
          <w:tcPr>
            <w:tcW w:type="dxa" w:w="2268"/>
            <w:shd w:fill="FFF2CC" w:val="clear"/>
          </w:tcPr>
          <w:p>
            <w:r>
              <w:rPr>
                <w:b/>
                <w:color w:val="503200"/>
                <w:sz w:val="16"/>
              </w:rPr>
              <w:t xml:space="preserve">Cours actuel : </w:t>
            </w:r>
            <w:r>
              <w:rPr>
                <w:color w:val="000000"/>
                <w:sz w:val="17"/>
              </w:rPr>
              <w:t>22,100 FCFA</w:t>
            </w:r>
          </w:p>
          <w:p>
            <w:r>
              <w:rPr>
                <w:b/>
                <w:color w:val="503200"/>
                <w:sz w:val="16"/>
              </w:rPr>
              <w:t xml:space="preserve">Var. 100 jours : </w:t>
            </w:r>
            <w:r>
              <w:rPr>
                <w:b/>
                <w:color w:val="007800"/>
                <w:sz w:val="17"/>
              </w:rPr>
              <w:t>+4.12%</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6.08% (Moyenne) — μ=22,330 FCFA, σ=1,357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β=0.4299 (Défensif) — Cov=0.000016, Var(idx)=0.000037, ρ=0.114,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21,372</w:t>
            </w:r>
          </w:p>
        </w:tc>
        <w:tc>
          <w:tcPr>
            <w:tcW w:type="dxa" w:w="1440"/>
            <w:shd w:fill="FAFAFA" w:val="clear"/>
          </w:tcPr>
          <w:p>
            <w:r>
              <w:rPr>
                <w:b/>
                <w:sz w:val="17"/>
              </w:rPr>
              <w:t>22,444</w:t>
            </w:r>
          </w:p>
        </w:tc>
        <w:tc>
          <w:tcPr>
            <w:tcW w:type="dxa" w:w="1440"/>
            <w:shd w:fill="FAFAFA" w:val="clear"/>
          </w:tcPr>
          <w:p>
            <w:r>
              <w:rPr>
                <w:sz w:val="17"/>
              </w:rPr>
              <w:t>23,516</w:t>
            </w:r>
          </w:p>
        </w:tc>
        <w:tc>
          <w:tcPr>
            <w:tcW w:type="dxa" w:w="1440"/>
            <w:shd w:fill="FAFAFA" w:val="clear"/>
          </w:tcPr>
          <w:p>
            <w:r>
              <w:rPr>
                <w:b/>
                <w:color w:val="008000"/>
                <w:sz w:val="17"/>
              </w:rPr>
              <w:t>+1.6%</w:t>
            </w:r>
          </w:p>
        </w:tc>
      </w:tr>
      <w:tr>
        <w:tc>
          <w:tcPr>
            <w:tcW w:type="dxa" w:w="1440"/>
            <w:shd w:fill="C6EFCE" w:val="clear"/>
          </w:tcPr>
          <w:p>
            <w:r>
              <w:rPr>
                <w:sz w:val="17"/>
              </w:rPr>
              <w:t>J+2  ⭐</w:t>
            </w:r>
          </w:p>
        </w:tc>
        <w:tc>
          <w:tcPr>
            <w:tcW w:type="dxa" w:w="1440"/>
            <w:shd w:fill="C6EFCE" w:val="clear"/>
          </w:tcPr>
          <w:p>
            <w:r>
              <w:rPr>
                <w:sz w:val="17"/>
              </w:rPr>
              <w:t>2026-09-08</w:t>
            </w:r>
          </w:p>
        </w:tc>
        <w:tc>
          <w:tcPr>
            <w:tcW w:type="dxa" w:w="1440"/>
            <w:shd w:fill="C6EFCE" w:val="clear"/>
          </w:tcPr>
          <w:p>
            <w:r>
              <w:rPr>
                <w:sz w:val="17"/>
              </w:rPr>
              <w:t>21,098</w:t>
            </w:r>
          </w:p>
        </w:tc>
        <w:tc>
          <w:tcPr>
            <w:tcW w:type="dxa" w:w="1440"/>
            <w:shd w:fill="C6EFCE" w:val="clear"/>
          </w:tcPr>
          <w:p>
            <w:r>
              <w:rPr>
                <w:b/>
                <w:sz w:val="17"/>
              </w:rPr>
              <w:t>22,626</w:t>
            </w:r>
          </w:p>
        </w:tc>
        <w:tc>
          <w:tcPr>
            <w:tcW w:type="dxa" w:w="1440"/>
            <w:shd w:fill="C6EFCE" w:val="clear"/>
          </w:tcPr>
          <w:p>
            <w:r>
              <w:rPr>
                <w:sz w:val="17"/>
              </w:rPr>
              <w:t>24,154</w:t>
            </w:r>
          </w:p>
        </w:tc>
        <w:tc>
          <w:tcPr>
            <w:tcW w:type="dxa" w:w="1440"/>
            <w:shd w:fill="C6EFCE" w:val="clear"/>
          </w:tcPr>
          <w:p>
            <w:r>
              <w:rPr>
                <w:b/>
                <w:color w:val="008000"/>
                <w:sz w:val="17"/>
              </w:rPr>
              <w:t>+2.4%</w:t>
            </w:r>
          </w:p>
        </w:tc>
      </w:tr>
      <w:tr>
        <w:tc>
          <w:tcPr>
            <w:tcW w:type="dxa" w:w="1440"/>
            <w:shd w:fill="C6EFCE" w:val="clear"/>
          </w:tcPr>
          <w:p>
            <w:r>
              <w:rPr>
                <w:sz w:val="17"/>
              </w:rPr>
              <w:t>J+3  ⭐</w:t>
            </w:r>
          </w:p>
        </w:tc>
        <w:tc>
          <w:tcPr>
            <w:tcW w:type="dxa" w:w="1440"/>
            <w:shd w:fill="C6EFCE" w:val="clear"/>
          </w:tcPr>
          <w:p>
            <w:r>
              <w:rPr>
                <w:sz w:val="17"/>
              </w:rPr>
              <w:t>2026-09-09</w:t>
            </w:r>
          </w:p>
        </w:tc>
        <w:tc>
          <w:tcPr>
            <w:tcW w:type="dxa" w:w="1440"/>
            <w:shd w:fill="C6EFCE" w:val="clear"/>
          </w:tcPr>
          <w:p>
            <w:r>
              <w:rPr>
                <w:sz w:val="17"/>
              </w:rPr>
              <w:t>20,943</w:t>
            </w:r>
          </w:p>
        </w:tc>
        <w:tc>
          <w:tcPr>
            <w:tcW w:type="dxa" w:w="1440"/>
            <w:shd w:fill="C6EFCE" w:val="clear"/>
          </w:tcPr>
          <w:p>
            <w:r>
              <w:rPr>
                <w:b/>
                <w:sz w:val="17"/>
              </w:rPr>
              <w:t>22,832</w:t>
            </w:r>
          </w:p>
        </w:tc>
        <w:tc>
          <w:tcPr>
            <w:tcW w:type="dxa" w:w="1440"/>
            <w:shd w:fill="C6EFCE" w:val="clear"/>
          </w:tcPr>
          <w:p>
            <w:r>
              <w:rPr>
                <w:sz w:val="17"/>
              </w:rPr>
              <w:t>24,720</w:t>
            </w:r>
          </w:p>
        </w:tc>
        <w:tc>
          <w:tcPr>
            <w:tcW w:type="dxa" w:w="1440"/>
            <w:shd w:fill="C6EFCE" w:val="clear"/>
          </w:tcPr>
          <w:p>
            <w:r>
              <w:rPr>
                <w:b/>
                <w:color w:val="008000"/>
                <w:sz w:val="17"/>
              </w:rPr>
              <w:t>+3.3%</w:t>
            </w:r>
          </w:p>
        </w:tc>
      </w:tr>
      <w:tr>
        <w:tc>
          <w:tcPr>
            <w:tcW w:type="dxa" w:w="1440"/>
            <w:shd w:fill="C6EFCE" w:val="clear"/>
          </w:tcPr>
          <w:p>
            <w:r>
              <w:rPr>
                <w:sz w:val="17"/>
              </w:rPr>
              <w:t>J+4  ⭐</w:t>
            </w:r>
          </w:p>
        </w:tc>
        <w:tc>
          <w:tcPr>
            <w:tcW w:type="dxa" w:w="1440"/>
            <w:shd w:fill="C6EFCE" w:val="clear"/>
          </w:tcPr>
          <w:p>
            <w:r>
              <w:rPr>
                <w:sz w:val="17"/>
              </w:rPr>
              <w:t>2026-09-10</w:t>
            </w:r>
          </w:p>
        </w:tc>
        <w:tc>
          <w:tcPr>
            <w:tcW w:type="dxa" w:w="1440"/>
            <w:shd w:fill="C6EFCE" w:val="clear"/>
          </w:tcPr>
          <w:p>
            <w:r>
              <w:rPr>
                <w:sz w:val="17"/>
              </w:rPr>
              <w:t>20,850</w:t>
            </w:r>
          </w:p>
        </w:tc>
        <w:tc>
          <w:tcPr>
            <w:tcW w:type="dxa" w:w="1440"/>
            <w:shd w:fill="C6EFCE" w:val="clear"/>
          </w:tcPr>
          <w:p>
            <w:r>
              <w:rPr>
                <w:b/>
                <w:sz w:val="17"/>
              </w:rPr>
              <w:t>23,052</w:t>
            </w:r>
          </w:p>
        </w:tc>
        <w:tc>
          <w:tcPr>
            <w:tcW w:type="dxa" w:w="1440"/>
            <w:shd w:fill="C6EFCE" w:val="clear"/>
          </w:tcPr>
          <w:p>
            <w:r>
              <w:rPr>
                <w:sz w:val="17"/>
              </w:rPr>
              <w:t>25,254</w:t>
            </w:r>
          </w:p>
        </w:tc>
        <w:tc>
          <w:tcPr>
            <w:tcW w:type="dxa" w:w="1440"/>
            <w:shd w:fill="C6EFCE" w:val="clear"/>
          </w:tcPr>
          <w:p>
            <w:r>
              <w:rPr>
                <w:b/>
                <w:color w:val="008000"/>
                <w:sz w:val="17"/>
              </w:rPr>
              <w:t>+4.3%</w:t>
            </w:r>
          </w:p>
        </w:tc>
      </w:tr>
      <w:tr>
        <w:tc>
          <w:tcPr>
            <w:tcW w:type="dxa" w:w="1440"/>
            <w:shd w:fill="C6EFCE" w:val="clear"/>
          </w:tcPr>
          <w:p>
            <w:r>
              <w:rPr>
                <w:sz w:val="17"/>
              </w:rPr>
              <w:t>J+5  ⭐</w:t>
            </w:r>
          </w:p>
        </w:tc>
        <w:tc>
          <w:tcPr>
            <w:tcW w:type="dxa" w:w="1440"/>
            <w:shd w:fill="C6EFCE" w:val="clear"/>
          </w:tcPr>
          <w:p>
            <w:r>
              <w:rPr>
                <w:sz w:val="17"/>
              </w:rPr>
              <w:t>2026-09-11</w:t>
            </w:r>
          </w:p>
        </w:tc>
        <w:tc>
          <w:tcPr>
            <w:tcW w:type="dxa" w:w="1440"/>
            <w:shd w:fill="C6EFCE" w:val="clear"/>
          </w:tcPr>
          <w:p>
            <w:r>
              <w:rPr>
                <w:sz w:val="17"/>
              </w:rPr>
              <w:t>20,795</w:t>
            </w:r>
          </w:p>
        </w:tc>
        <w:tc>
          <w:tcPr>
            <w:tcW w:type="dxa" w:w="1440"/>
            <w:shd w:fill="C6EFCE" w:val="clear"/>
          </w:tcPr>
          <w:p>
            <w:r>
              <w:rPr>
                <w:b/>
                <w:sz w:val="17"/>
              </w:rPr>
              <w:t>23,282</w:t>
            </w:r>
          </w:p>
        </w:tc>
        <w:tc>
          <w:tcPr>
            <w:tcW w:type="dxa" w:w="1440"/>
            <w:shd w:fill="C6EFCE" w:val="clear"/>
          </w:tcPr>
          <w:p>
            <w:r>
              <w:rPr>
                <w:sz w:val="17"/>
              </w:rPr>
              <w:t>25,768</w:t>
            </w:r>
          </w:p>
        </w:tc>
        <w:tc>
          <w:tcPr>
            <w:tcW w:type="dxa" w:w="1440"/>
            <w:shd w:fill="C6EFCE" w:val="clear"/>
          </w:tcPr>
          <w:p>
            <w:r>
              <w:rPr>
                <w:b/>
                <w:color w:val="008000"/>
                <w:sz w:val="17"/>
              </w:rPr>
              <w:t>+5.3%</w:t>
            </w:r>
          </w:p>
        </w:tc>
      </w:tr>
      <w:tr>
        <w:tc>
          <w:tcPr>
            <w:tcW w:type="dxa" w:w="1440"/>
            <w:shd w:fill="C6EFCE" w:val="clear"/>
          </w:tcPr>
          <w:p>
            <w:r>
              <w:rPr>
                <w:sz w:val="17"/>
              </w:rPr>
              <w:t>J+6  ⭐</w:t>
            </w:r>
          </w:p>
        </w:tc>
        <w:tc>
          <w:tcPr>
            <w:tcW w:type="dxa" w:w="1440"/>
            <w:shd w:fill="C6EFCE" w:val="clear"/>
          </w:tcPr>
          <w:p>
            <w:r>
              <w:rPr>
                <w:sz w:val="17"/>
              </w:rPr>
              <w:t>2026-09-14</w:t>
            </w:r>
          </w:p>
        </w:tc>
        <w:tc>
          <w:tcPr>
            <w:tcW w:type="dxa" w:w="1440"/>
            <w:shd w:fill="C6EFCE" w:val="clear"/>
          </w:tcPr>
          <w:p>
            <w:r>
              <w:rPr>
                <w:sz w:val="17"/>
              </w:rPr>
              <w:t>20,754</w:t>
            </w:r>
          </w:p>
        </w:tc>
        <w:tc>
          <w:tcPr>
            <w:tcW w:type="dxa" w:w="1440"/>
            <w:shd w:fill="C6EFCE" w:val="clear"/>
          </w:tcPr>
          <w:p>
            <w:r>
              <w:rPr>
                <w:b/>
                <w:sz w:val="17"/>
              </w:rPr>
              <w:t>23,504</w:t>
            </w:r>
          </w:p>
        </w:tc>
        <w:tc>
          <w:tcPr>
            <w:tcW w:type="dxa" w:w="1440"/>
            <w:shd w:fill="C6EFCE" w:val="clear"/>
          </w:tcPr>
          <w:p>
            <w:r>
              <w:rPr>
                <w:sz w:val="17"/>
              </w:rPr>
              <w:t>26,253</w:t>
            </w:r>
          </w:p>
        </w:tc>
        <w:tc>
          <w:tcPr>
            <w:tcW w:type="dxa" w:w="1440"/>
            <w:shd w:fill="C6EFCE" w:val="clear"/>
          </w:tcPr>
          <w:p>
            <w:r>
              <w:rPr>
                <w:b/>
                <w:color w:val="008000"/>
                <w:sz w:val="17"/>
              </w:rPr>
              <w:t>+6.4%</w:t>
            </w:r>
          </w:p>
        </w:tc>
      </w:tr>
      <w:tr>
        <w:tc>
          <w:tcPr>
            <w:tcW w:type="dxa" w:w="1440"/>
            <w:shd w:fill="C6EFCE" w:val="clear"/>
          </w:tcPr>
          <w:p>
            <w:r>
              <w:rPr>
                <w:sz w:val="17"/>
              </w:rPr>
              <w:t>J+7  ⭐</w:t>
            </w:r>
          </w:p>
        </w:tc>
        <w:tc>
          <w:tcPr>
            <w:tcW w:type="dxa" w:w="1440"/>
            <w:shd w:fill="C6EFCE" w:val="clear"/>
          </w:tcPr>
          <w:p>
            <w:r>
              <w:rPr>
                <w:sz w:val="17"/>
              </w:rPr>
              <w:t>2026-09-15</w:t>
            </w:r>
          </w:p>
        </w:tc>
        <w:tc>
          <w:tcPr>
            <w:tcW w:type="dxa" w:w="1440"/>
            <w:shd w:fill="C6EFCE" w:val="clear"/>
          </w:tcPr>
          <w:p>
            <w:r>
              <w:rPr>
                <w:sz w:val="17"/>
              </w:rPr>
              <w:t>20,725</w:t>
            </w:r>
          </w:p>
        </w:tc>
        <w:tc>
          <w:tcPr>
            <w:tcW w:type="dxa" w:w="1440"/>
            <w:shd w:fill="C6EFCE" w:val="clear"/>
          </w:tcPr>
          <w:p>
            <w:r>
              <w:rPr>
                <w:b/>
                <w:sz w:val="17"/>
              </w:rPr>
              <w:t>23,722</w:t>
            </w:r>
          </w:p>
        </w:tc>
        <w:tc>
          <w:tcPr>
            <w:tcW w:type="dxa" w:w="1440"/>
            <w:shd w:fill="C6EFCE" w:val="clear"/>
          </w:tcPr>
          <w:p>
            <w:r>
              <w:rPr>
                <w:sz w:val="17"/>
              </w:rPr>
              <w:t>26,720</w:t>
            </w:r>
          </w:p>
        </w:tc>
        <w:tc>
          <w:tcPr>
            <w:tcW w:type="dxa" w:w="1440"/>
            <w:shd w:fill="C6EFCE" w:val="clear"/>
          </w:tcPr>
          <w:p>
            <w:r>
              <w:rPr>
                <w:b/>
                <w:color w:val="008000"/>
                <w:sz w:val="17"/>
              </w:rPr>
              <w:t>+7.3%</w:t>
            </w:r>
          </w:p>
        </w:tc>
      </w:tr>
      <w:tr>
        <w:tc>
          <w:tcPr>
            <w:tcW w:type="dxa" w:w="1440"/>
            <w:shd w:fill="C6EFCE" w:val="clear"/>
          </w:tcPr>
          <w:p>
            <w:r>
              <w:rPr>
                <w:sz w:val="17"/>
              </w:rPr>
              <w:t>J+8  ⭐</w:t>
            </w:r>
          </w:p>
        </w:tc>
        <w:tc>
          <w:tcPr>
            <w:tcW w:type="dxa" w:w="1440"/>
            <w:shd w:fill="C6EFCE" w:val="clear"/>
          </w:tcPr>
          <w:p>
            <w:r>
              <w:rPr>
                <w:sz w:val="17"/>
              </w:rPr>
              <w:t>2026-09-16</w:t>
            </w:r>
          </w:p>
        </w:tc>
        <w:tc>
          <w:tcPr>
            <w:tcW w:type="dxa" w:w="1440"/>
            <w:shd w:fill="C6EFCE" w:val="clear"/>
          </w:tcPr>
          <w:p>
            <w:r>
              <w:rPr>
                <w:sz w:val="17"/>
              </w:rPr>
              <w:t>20,716</w:t>
            </w:r>
          </w:p>
        </w:tc>
        <w:tc>
          <w:tcPr>
            <w:tcW w:type="dxa" w:w="1440"/>
            <w:shd w:fill="C6EFCE" w:val="clear"/>
          </w:tcPr>
          <w:p>
            <w:r>
              <w:rPr>
                <w:b/>
                <w:sz w:val="17"/>
              </w:rPr>
              <w:t>23,951</w:t>
            </w:r>
          </w:p>
        </w:tc>
        <w:tc>
          <w:tcPr>
            <w:tcW w:type="dxa" w:w="1440"/>
            <w:shd w:fill="C6EFCE" w:val="clear"/>
          </w:tcPr>
          <w:p>
            <w:r>
              <w:rPr>
                <w:sz w:val="17"/>
              </w:rPr>
              <w:t>27,186</w:t>
            </w:r>
          </w:p>
        </w:tc>
        <w:tc>
          <w:tcPr>
            <w:tcW w:type="dxa" w:w="1440"/>
            <w:shd w:fill="C6EFCE" w:val="clear"/>
          </w:tcPr>
          <w:p>
            <w:r>
              <w:rPr>
                <w:b/>
                <w:color w:val="008000"/>
                <w:sz w:val="17"/>
              </w:rPr>
              <w:t>+8.4%</w:t>
            </w:r>
          </w:p>
        </w:tc>
      </w:tr>
      <w:tr>
        <w:tc>
          <w:tcPr>
            <w:tcW w:type="dxa" w:w="1440"/>
            <w:shd w:fill="C6EFCE" w:val="clear"/>
          </w:tcPr>
          <w:p>
            <w:r>
              <w:rPr>
                <w:sz w:val="17"/>
              </w:rPr>
              <w:t>J+9  ⭐</w:t>
            </w:r>
          </w:p>
        </w:tc>
        <w:tc>
          <w:tcPr>
            <w:tcW w:type="dxa" w:w="1440"/>
            <w:shd w:fill="C6EFCE" w:val="clear"/>
          </w:tcPr>
          <w:p>
            <w:r>
              <w:rPr>
                <w:sz w:val="17"/>
              </w:rPr>
              <w:t>2026-09-17</w:t>
            </w:r>
          </w:p>
        </w:tc>
        <w:tc>
          <w:tcPr>
            <w:tcW w:type="dxa" w:w="1440"/>
            <w:shd w:fill="C6EFCE" w:val="clear"/>
          </w:tcPr>
          <w:p>
            <w:r>
              <w:rPr>
                <w:sz w:val="17"/>
              </w:rPr>
              <w:t>20,716</w:t>
            </w:r>
          </w:p>
        </w:tc>
        <w:tc>
          <w:tcPr>
            <w:tcW w:type="dxa" w:w="1440"/>
            <w:shd w:fill="C6EFCE" w:val="clear"/>
          </w:tcPr>
          <w:p>
            <w:r>
              <w:rPr>
                <w:b/>
                <w:sz w:val="17"/>
              </w:rPr>
              <w:t>24,181</w:t>
            </w:r>
          </w:p>
        </w:tc>
        <w:tc>
          <w:tcPr>
            <w:tcW w:type="dxa" w:w="1440"/>
            <w:shd w:fill="C6EFCE" w:val="clear"/>
          </w:tcPr>
          <w:p>
            <w:r>
              <w:rPr>
                <w:sz w:val="17"/>
              </w:rPr>
              <w:t>27,645</w:t>
            </w:r>
          </w:p>
        </w:tc>
        <w:tc>
          <w:tcPr>
            <w:tcW w:type="dxa" w:w="1440"/>
            <w:shd w:fill="C6EFCE" w:val="clear"/>
          </w:tcPr>
          <w:p>
            <w:r>
              <w:rPr>
                <w:b/>
                <w:color w:val="008000"/>
                <w:sz w:val="17"/>
              </w:rPr>
              <w:t>+9.4%</w:t>
            </w:r>
          </w:p>
        </w:tc>
      </w:tr>
      <w:tr>
        <w:tc>
          <w:tcPr>
            <w:tcW w:type="dxa" w:w="1440"/>
            <w:shd w:fill="C6EFCE" w:val="clear"/>
          </w:tcPr>
          <w:p>
            <w:r>
              <w:rPr>
                <w:sz w:val="17"/>
              </w:rPr>
              <w:t>J+10  ⭐</w:t>
            </w:r>
          </w:p>
        </w:tc>
        <w:tc>
          <w:tcPr>
            <w:tcW w:type="dxa" w:w="1440"/>
            <w:shd w:fill="C6EFCE" w:val="clear"/>
          </w:tcPr>
          <w:p>
            <w:r>
              <w:rPr>
                <w:sz w:val="17"/>
              </w:rPr>
              <w:t>2026-09-18</w:t>
            </w:r>
          </w:p>
        </w:tc>
        <w:tc>
          <w:tcPr>
            <w:tcW w:type="dxa" w:w="1440"/>
            <w:shd w:fill="C6EFCE" w:val="clear"/>
          </w:tcPr>
          <w:p>
            <w:r>
              <w:rPr>
                <w:sz w:val="17"/>
              </w:rPr>
              <w:t>20,746</w:t>
            </w:r>
          </w:p>
        </w:tc>
        <w:tc>
          <w:tcPr>
            <w:tcW w:type="dxa" w:w="1440"/>
            <w:shd w:fill="C6EFCE" w:val="clear"/>
          </w:tcPr>
          <w:p>
            <w:r>
              <w:rPr>
                <w:b/>
                <w:sz w:val="17"/>
              </w:rPr>
              <w:t>24,436</w:t>
            </w:r>
          </w:p>
        </w:tc>
        <w:tc>
          <w:tcPr>
            <w:tcW w:type="dxa" w:w="1440"/>
            <w:shd w:fill="C6EFCE" w:val="clear"/>
          </w:tcPr>
          <w:p>
            <w:r>
              <w:rPr>
                <w:sz w:val="17"/>
              </w:rPr>
              <w:t>28,127</w:t>
            </w:r>
          </w:p>
        </w:tc>
        <w:tc>
          <w:tcPr>
            <w:tcW w:type="dxa" w:w="1440"/>
            <w:shd w:fill="C6EFCE" w:val="clear"/>
          </w:tcPr>
          <w:p>
            <w:r>
              <w:rPr>
                <w:b/>
                <w:color w:val="008000"/>
                <w:sz w:val="17"/>
              </w:rPr>
              <w:t>+10.6%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STBC s'établit à 396,81 milliards FCFA, ce qui en fait l'une des valeurs les plus significatives de la BRVM, reflétant la position dominante de la Société Ivoirienne des Tabacs dans l'économie régionale. Avec un BPA de 2 014 FCFA, chaque action génère un bénéfice substantiel, justifiant un PER de 11,0x, légèrement au-dessus de la moyenne historique de la place (~8-12x), ce qui témoigne d'une valorisation raisonnable mais non bradée. Le P/B de 8,75x est particulièrement élevé, indiquant que le marché rémunère généreusement les capitaux propres, très supérieurs à leur valeur comptable, signe d'une forte prime de qualité. Enfin, l'EV/EBITDA de 7,9x se situe dans une fourchette raisonnable (5-10x), suggérant que la valeur totale de l'entreprise reste cohérente avec sa capacité opérationnelle à générer des flux. L'ensemble de ces ratios dessine le profil d'une entreprise de grande qualité, mais dont le prix intègre déjà une partie des excellentes performances passées.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progression modeste de +4,12%, avec une dernière séance en hausse de +0,43% à 22 100 FCFA, dans un range de trading compris entre 19 705 FCFA (plus bas) et 25 000 FCFA (plus haut). La moyenne du cours sur la période (22 330 FCFA) est très proche de la médiane (22 168 FCFA), indiquant une distribution quasi symétrique, confirmée par un skewness de 0,219. L'écart-type de 1 363 FCFA, avec un coefficient de variation de seulement 6,1%, révèle une dispersion modérée des prix autour de la moyenne. Le kurtosis de -0,930, qualifié de mésokurtique, suggère une distribution proche de la normale, avec un faible risque de variations extrêmes ou de pics soudains. La volatilité annualisée de 36,4% classe le titre dans la catégorie des valeurs à volatilité élevée (&gt;30%), ce qui implique des fluctuations de prix potentiellement amples sur l'année, malgré une stabilité relative observée sur la fenêtre des 100 jours.</w:t>
      </w:r>
    </w:p>
    <w:p>
      <w:pPr>
        <w:spacing w:after="120" w:line="276" w:lineRule="auto" w:before="240"/>
      </w:pPr>
      <w:r>
        <w:rPr>
          <w:b/>
          <w:color w:val="003366"/>
          <w:sz w:val="24"/>
        </w:rPr>
        <w:t>**PARTIE 2 : ANALYSE TECHNIQUE DÉTAILLÉE**</w:t>
      </w:r>
    </w:p>
    <w:p>
      <w:pPr>
        <w:spacing w:after="120" w:line="276" w:lineRule="auto"/>
      </w:pPr>
      <w:r>
        <w:t>Les **Moyennes Mobiles** (MM20 à 22 879,75 FCFA et MM50 à 23 428,2 FCFA) sont toutes deux situées au-dessus du cours actuel de 22 100 FCFA. Cette configuration, où le prix évolue sous ses moyennes mobiles, signale une tendance baissière à court et moyen terme. La décision de "Vente" est justifiée par l'incapacité du cours à franchir ces niveaux de résistance dynamiques, indiquant une pression vendeuse persistante.</w:t>
      </w:r>
    </w:p>
    <w:p>
      <w:pPr>
        <w:spacing w:after="120" w:line="276" w:lineRule="auto"/>
      </w:pPr>
      <w:r>
        <w:t>Les **Bandes de Bollinger** encadrent le prix entre une borne supérieure à 24 698 FCFA et une borne inférieure à 21 061 FCFA. Le cours actuel se situe dans la moitié inférieure de ce canal, mais au-dessus de la borne basse. La décision "Neutre" s'explique par le fait que le prix n'est pas en situation de surachat ou de survente extrême, bien que la proximité de la borne inférieure suggère un potentiel de rebond technique si le support tient.</w:t>
      </w:r>
    </w:p>
    <w:p>
      <w:pPr>
        <w:spacing w:after="120" w:line="276" w:lineRule="auto"/>
      </w:pPr>
      <w:r>
        <w:t>Le **MACD** présente une valeur négative de -368,067, inférieure à son signal (-284,25), confirmant un momentum baissier en cours. La décision de "Vente" est cohérente avec cette configuration où la ligne MACD évolue sous la ligne de signal, indiquant que la dynamique des prix reste négative à moyen terme.</w:t>
      </w:r>
    </w:p>
    <w:p>
      <w:pPr>
        <w:spacing w:after="120" w:line="276" w:lineRule="auto"/>
      </w:pPr>
      <w:r>
        <w:t>Le **RSI** s'établit à 36,229, dans la zone neutre (30-70), mais proche de la zone de survente (&lt;30). Cette valeur suggère que le titre n'est ni suracheté ni survendu, laissant place à une possible poursuite de la baisse ou à un rebond. La décision "Neutre" reflète cette indécision, bien que le RSI penche vers une faiblesse relative du momentum.</w:t>
      </w:r>
    </w:p>
    <w:p>
      <w:pPr>
        <w:spacing w:after="120" w:line="276" w:lineRule="auto"/>
      </w:pPr>
      <w:r>
        <w:t>Le **Stochastique** affiche un %K à 47,23 et un %D à 38,96, avec %K au-dessus de %D, indiquant un croisement haussier potentiel. La décision "Neutre" est justifiée par le fait que les valeurs restent dans la zone médiane, sans signal fort de surachat ou de survente, mais le croisement pourrait annoncer un début de reprise.</w:t>
      </w:r>
    </w:p>
    <w:p>
      <w:pPr>
        <w:spacing w:after="120" w:line="276" w:lineRule="auto"/>
      </w:pPr>
      <w:r>
        <w:t>En conclusion technique, les indicateurs sont majoritairement baissiers ou neutres, avec des moyennes mobiles et un MACD négatifs, tandis que le RSI et le Stochastique montrent des signes de stabilisation sans confirmation haussière. Le titre semble évoluer dans une phase de consolidation baissière, avec un potentiel de rebond technique uniquement si les supports clés tiennent.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STBC (ex-SITAB) révèlent une entreprise non bancaire avec un chiffre d'affaires de 268,537 milliards FCFA, en croissance de +25,3% par rapport à 2024, mais un résultat net de 36,158 milliards FCFA, en baisse de -18,1% (contre 44,2 milliards en 2024). La marge nette s'est contractée à 13,46% (contre 20,4% en 2024), tandis que le ROE reste exceptionnel à 79,75% et le ROA à 48,09%, démontrant une rentabilité toujours très élevée. En tant qu'entreprise de distribution, le BFR négatif de 5,639 milliards FCFA est favorable, indiquant que l'activité génère du cash, avec un délai clients de 42,57 jours et une durée de stockage de seulement 5,73 jours, reflétant une rotation rapide. La structure financière est saine avec une autonomie financière de 60,3% et une trésorerie nette de 30,763 milliards FCFA. Les rapports trimestriels 2026 (T1 et T2) montrent une stabilisation : CA T1 2026 en hausse de +12% à 68,8 milliards FCFA, T2 en hausse de +1% à 70,05 milliards, avec un résultat net T2 de 8,64 milliards FCFA (marge nette de 12,3%). Sur la base de ces données, on estime que l'exercice 2026 devrait confirmer une stabilisation de la rentabilité, avec un résultat net annuel potentiellement autour de 35-37 milliards FCFA, si la maîtrise des charges se poursuit. La recommandation fondamentale reste "Conserver", la société affichant une solidité financière remarquable, mais confrontée à une pression fiscale croissante (droits d'accises passés de 49% à 70%) et à une politique de dividende très généreuse (taux de distribution supérieur à 100% en 2025) qui pourrait limiter les capacités de réinvestissement à long terme.</w:t>
      </w:r>
    </w:p>
    <w:p>
      <w:pPr>
        <w:spacing w:after="120" w:line="276" w:lineRule="auto" w:before="240"/>
      </w:pPr>
      <w:r>
        <w:rPr>
          <w:b/>
          <w:color w:val="003366"/>
          <w:sz w:val="24"/>
        </w:rPr>
        <w:t>**PARTIE 4 : CONCLUSION D'INVESTISSEMENT**</w:t>
      </w:r>
    </w:p>
    <w:p>
      <w:pPr>
        <w:spacing w:after="120" w:line="276" w:lineRule="auto"/>
      </w:pPr>
      <w:r>
        <w:t>La synthèse des analyses fait ressortir un profil contrasté pour STBC. La valorisation (PER de 11,0x, EV/EBITDA de 7,9x) est raisonnable, mais le P/B de 8,75x indique une prime élevée qui reflète la qualité des fondamentaux. Le comportement du cours sur 100 jours montre une tendance légèrement positive (+4,12%) avec une volatilité élevée (36,4%), mais une distribution statistique stable (mésokurtique, symétrique) qui rassure sur l'absence de risque extrême. Les signaux techniques sont majoritairement baissiers (MM, MACD) ou neutres (Bollinger, RSI, Stochastique), suggérant une phase de consolidation sans direction claire. Les fondamentaux restent solides avec une croissance du CA de +25,3% en 2025, un ROE de 79,75%, et une trésorerie nette confortable, mais la baisse du résultat net (-18,1%) et la pression fiscale constituent des points de vigilance. Les prédictions IA pour les 10 prochains jours (22 444 à 23 282 FCFA) indiquent une trajectoire haussière modérée, contredisant légèrement les signaux techniques baissiers, mais cohérente avec la stabilité fondamentale. Au vu de ces éléments convergents, la recommandation finale est **CONSERVER**, avec un niveau de confiance **Moyen** et un risque global **Moyen**. L'horizon d'investissement optimal se situe à **moyen terme (3-12 mois)**, en attendant une clarification de la tendance technique et une confirmation de la stabilisation des marges au second semestre 2026.</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212.18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7,007 titres</w:t>
            </w:r>
          </w:p>
        </w:tc>
        <w:tc>
          <w:tcPr>
            <w:tcW w:type="dxa" w:w="2268"/>
            <w:shd w:fill="FFF2CC" w:val="clear"/>
          </w:tcPr>
          <w:p>
            <w:r>
              <w:rPr>
                <w:b/>
                <w:color w:val="503200"/>
                <w:sz w:val="16"/>
              </w:rPr>
              <w:t xml:space="preserve">Cours actuel : </w:t>
            </w:r>
            <w:r>
              <w:rPr>
                <w:color w:val="000000"/>
                <w:sz w:val="17"/>
              </w:rPr>
              <w:t>3,370 FCFA</w:t>
            </w:r>
          </w:p>
          <w:p>
            <w:r>
              <w:rPr>
                <w:b/>
                <w:color w:val="503200"/>
                <w:sz w:val="16"/>
              </w:rPr>
              <w:t xml:space="preserve">Var. 100 jours : </w:t>
            </w:r>
            <w:r>
              <w:rPr>
                <w:b/>
                <w:color w:val="007800"/>
                <w:sz w:val="17"/>
              </w:rPr>
              <w:t>+20.36%</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6.69% (Moyenne) — μ=2,938 FCFA, σ=197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β=-0.2720 (Contre-cyclique) — Cov=-0.000010, Var(idx)=0.000037, ρ=-0.066,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7,007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2026-09-07</w:t>
            </w:r>
          </w:p>
        </w:tc>
        <w:tc>
          <w:tcPr>
            <w:tcW w:type="dxa" w:w="1440"/>
            <w:shd w:fill="FAFAFA" w:val="clear"/>
          </w:tcPr>
          <w:p>
            <w:r>
              <w:rPr>
                <w:sz w:val="17"/>
              </w:rPr>
              <w:t>3,173</w:t>
            </w:r>
          </w:p>
        </w:tc>
        <w:tc>
          <w:tcPr>
            <w:tcW w:type="dxa" w:w="1440"/>
            <w:shd w:fill="FAFAFA" w:val="clear"/>
          </w:tcPr>
          <w:p>
            <w:r>
              <w:rPr>
                <w:b/>
                <w:sz w:val="17"/>
              </w:rPr>
              <w:t>3,354</w:t>
            </w:r>
          </w:p>
        </w:tc>
        <w:tc>
          <w:tcPr>
            <w:tcW w:type="dxa" w:w="1440"/>
            <w:shd w:fill="FAFAFA" w:val="clear"/>
          </w:tcPr>
          <w:p>
            <w:r>
              <w:rPr>
                <w:sz w:val="17"/>
              </w:rPr>
              <w:t>3,535</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2026-09-08</w:t>
            </w:r>
          </w:p>
        </w:tc>
        <w:tc>
          <w:tcPr>
            <w:tcW w:type="dxa" w:w="1440"/>
            <w:shd w:fill="FAFAFA" w:val="clear"/>
          </w:tcPr>
          <w:p>
            <w:r>
              <w:rPr>
                <w:sz w:val="17"/>
              </w:rPr>
              <w:t>3,087</w:t>
            </w:r>
          </w:p>
        </w:tc>
        <w:tc>
          <w:tcPr>
            <w:tcW w:type="dxa" w:w="1440"/>
            <w:shd w:fill="FAFAFA" w:val="clear"/>
          </w:tcPr>
          <w:p>
            <w:r>
              <w:rPr>
                <w:b/>
                <w:sz w:val="17"/>
              </w:rPr>
              <w:t>3,342</w:t>
            </w:r>
          </w:p>
        </w:tc>
        <w:tc>
          <w:tcPr>
            <w:tcW w:type="dxa" w:w="1440"/>
            <w:shd w:fill="FAFAFA" w:val="clear"/>
          </w:tcPr>
          <w:p>
            <w:r>
              <w:rPr>
                <w:sz w:val="17"/>
              </w:rPr>
              <w:t>3,597</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2026-09-09</w:t>
            </w:r>
          </w:p>
        </w:tc>
        <w:tc>
          <w:tcPr>
            <w:tcW w:type="dxa" w:w="1440"/>
            <w:shd w:fill="FAFAFA" w:val="clear"/>
          </w:tcPr>
          <w:p>
            <w:r>
              <w:rPr>
                <w:sz w:val="17"/>
              </w:rPr>
              <w:t>3,017</w:t>
            </w:r>
          </w:p>
        </w:tc>
        <w:tc>
          <w:tcPr>
            <w:tcW w:type="dxa" w:w="1440"/>
            <w:shd w:fill="FAFAFA" w:val="clear"/>
          </w:tcPr>
          <w:p>
            <w:r>
              <w:rPr>
                <w:b/>
                <w:sz w:val="17"/>
              </w:rPr>
              <w:t>3,328</w:t>
            </w:r>
          </w:p>
        </w:tc>
        <w:tc>
          <w:tcPr>
            <w:tcW w:type="dxa" w:w="1440"/>
            <w:shd w:fill="FAFAFA" w:val="clear"/>
          </w:tcPr>
          <w:p>
            <w:r>
              <w:rPr>
                <w:sz w:val="17"/>
              </w:rPr>
              <w:t>3,639</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2026-09-10</w:t>
            </w:r>
          </w:p>
        </w:tc>
        <w:tc>
          <w:tcPr>
            <w:tcW w:type="dxa" w:w="1440"/>
            <w:shd w:fill="FAFAFA" w:val="clear"/>
          </w:tcPr>
          <w:p>
            <w:r>
              <w:rPr>
                <w:sz w:val="17"/>
              </w:rPr>
              <w:t>2,956</w:t>
            </w:r>
          </w:p>
        </w:tc>
        <w:tc>
          <w:tcPr>
            <w:tcW w:type="dxa" w:w="1440"/>
            <w:shd w:fill="FAFAFA" w:val="clear"/>
          </w:tcPr>
          <w:p>
            <w:r>
              <w:rPr>
                <w:b/>
                <w:sz w:val="17"/>
              </w:rPr>
              <w:t>3,314</w:t>
            </w:r>
          </w:p>
        </w:tc>
        <w:tc>
          <w:tcPr>
            <w:tcW w:type="dxa" w:w="1440"/>
            <w:shd w:fill="FAFAFA" w:val="clear"/>
          </w:tcPr>
          <w:p>
            <w:r>
              <w:rPr>
                <w:sz w:val="17"/>
              </w:rPr>
              <w:t>3,672</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2,903</w:t>
            </w:r>
          </w:p>
        </w:tc>
        <w:tc>
          <w:tcPr>
            <w:tcW w:type="dxa" w:w="1440"/>
            <w:shd w:fill="FFDCE0" w:val="clear"/>
          </w:tcPr>
          <w:p>
            <w:r>
              <w:rPr>
                <w:b/>
                <w:sz w:val="17"/>
              </w:rPr>
              <w:t>3,301</w:t>
            </w:r>
          </w:p>
        </w:tc>
        <w:tc>
          <w:tcPr>
            <w:tcW w:type="dxa" w:w="1440"/>
            <w:shd w:fill="FFDCE0" w:val="clear"/>
          </w:tcPr>
          <w:p>
            <w:r>
              <w:rPr>
                <w:sz w:val="17"/>
              </w:rPr>
              <w:t>3,699</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2,854</w:t>
            </w:r>
          </w:p>
        </w:tc>
        <w:tc>
          <w:tcPr>
            <w:tcW w:type="dxa" w:w="1440"/>
            <w:shd w:fill="FFDCE0" w:val="clear"/>
          </w:tcPr>
          <w:p>
            <w:r>
              <w:rPr>
                <w:b/>
                <w:sz w:val="17"/>
              </w:rPr>
              <w:t>3,288</w:t>
            </w:r>
          </w:p>
        </w:tc>
        <w:tc>
          <w:tcPr>
            <w:tcW w:type="dxa" w:w="1440"/>
            <w:shd w:fill="FFDCE0" w:val="clear"/>
          </w:tcPr>
          <w:p>
            <w:r>
              <w:rPr>
                <w:sz w:val="17"/>
              </w:rPr>
              <w:t>3,723</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2,809</w:t>
            </w:r>
          </w:p>
        </w:tc>
        <w:tc>
          <w:tcPr>
            <w:tcW w:type="dxa" w:w="1440"/>
            <w:shd w:fill="FFDCE0" w:val="clear"/>
          </w:tcPr>
          <w:p>
            <w:r>
              <w:rPr>
                <w:b/>
                <w:sz w:val="17"/>
              </w:rPr>
              <w:t>3,276</w:t>
            </w:r>
          </w:p>
        </w:tc>
        <w:tc>
          <w:tcPr>
            <w:tcW w:type="dxa" w:w="1440"/>
            <w:shd w:fill="FFDCE0" w:val="clear"/>
          </w:tcPr>
          <w:p>
            <w:r>
              <w:rPr>
                <w:sz w:val="17"/>
              </w:rPr>
              <w:t>3,744</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2,766</w:t>
            </w:r>
          </w:p>
        </w:tc>
        <w:tc>
          <w:tcPr>
            <w:tcW w:type="dxa" w:w="1440"/>
            <w:shd w:fill="FFDCE0" w:val="clear"/>
          </w:tcPr>
          <w:p>
            <w:r>
              <w:rPr>
                <w:b/>
                <w:sz w:val="17"/>
              </w:rPr>
              <w:t>3,264</w:t>
            </w:r>
          </w:p>
        </w:tc>
        <w:tc>
          <w:tcPr>
            <w:tcW w:type="dxa" w:w="1440"/>
            <w:shd w:fill="FFDCE0" w:val="clear"/>
          </w:tcPr>
          <w:p>
            <w:r>
              <w:rPr>
                <w:sz w:val="17"/>
              </w:rPr>
              <w:t>3,762</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2,726</w:t>
            </w:r>
          </w:p>
        </w:tc>
        <w:tc>
          <w:tcPr>
            <w:tcW w:type="dxa" w:w="1440"/>
            <w:shd w:fill="FFDCE0" w:val="clear"/>
          </w:tcPr>
          <w:p>
            <w:r>
              <w:rPr>
                <w:b/>
                <w:sz w:val="17"/>
              </w:rPr>
              <w:t>3,252</w:t>
            </w:r>
          </w:p>
        </w:tc>
        <w:tc>
          <w:tcPr>
            <w:tcW w:type="dxa" w:w="1440"/>
            <w:shd w:fill="FFDCE0" w:val="clear"/>
          </w:tcPr>
          <w:p>
            <w:r>
              <w:rPr>
                <w:sz w:val="17"/>
              </w:rPr>
              <w:t>3,779</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2,688</w:t>
            </w:r>
          </w:p>
        </w:tc>
        <w:tc>
          <w:tcPr>
            <w:tcW w:type="dxa" w:w="1440"/>
            <w:shd w:fill="FFDCE0" w:val="clear"/>
          </w:tcPr>
          <w:p>
            <w:r>
              <w:rPr>
                <w:b/>
                <w:sz w:val="17"/>
              </w:rPr>
              <w:t>3,241</w:t>
            </w:r>
          </w:p>
        </w:tc>
        <w:tc>
          <w:tcPr>
            <w:tcW w:type="dxa" w:w="1440"/>
            <w:shd w:fill="FFDCE0" w:val="clear"/>
          </w:tcPr>
          <w:p>
            <w:r>
              <w:rPr>
                <w:sz w:val="17"/>
              </w:rPr>
              <w:t>3,794</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TTLC s'établit à 212,18 milliards FCFA, ce qui positionne le titre parmi les valeurs moyennes à grandes capitalisations de la BRVM, lui conférant une liquidité et une visibilité notables. Le BPA de 144 FCFA indique que chaque action génère un bénéfice modeste en valeur absolue, mais le PER de 23,3x est très supérieur à la moyenne historique de la BRVM (8-12x), signifiant que les investisseurs paient une prime substantielle pour chaque franc de bénéfice, en anticipant probablement une croissance future ou une stabilité des dividendes. Le P/B de 5,86x confirme cette prime, le marché valorisant le titre près de six fois sa valeur comptable, ce qui reflète une forte confiance dans la marque et la rentabilité des capitaux propres (ROE de 25%). Enfin, l'EV/EBITDA de 11,9x, bien que dans la fourchette haute (10-15x), indique que la valeur totale de l'entreprise reste cohérente avec sa capacité à générer du résultat opérationnel, même si elle laisse peu de marge de sécurité pour une appréciation supplémentaire.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TTLC a enregistré une progression remarquable de +20,36%, avec une dernière séance en hausse de +0,60%, portant le cours à 3 370 FCFA. Le titre a évolué dans une fourchette de 945 FCFA, entre un plus bas de 2 650 FCFA et un plus haut de 3 595 FCFA, démontrant une dynamique haussière soutenue. La moyenne du cours sur la période (2 938 FCFA) est inférieure à la médiane (2 892 FCFA), et le skewness positif de 1,395 indique une distribution asymétrique avec des journées majoritairement sous la moyenne, mais des pics de hausse marqués. L'écart-type de 198 FCFA (CV de 6,7%) révèle une dispersion modérée autour de la moyenne, tandis que le kurtosis excédentaire de 1,350 signale un risque de mouvements extrêmes (queues épaisses). La volatilité annualisée de 40,0% classe le titre comme très volatil (&gt;30%), ce qui implique des fluctuations de prix significatives et un risque élevé pour les investisseurs à court terme, malgré la tendance haussière globale.</w:t>
      </w:r>
    </w:p>
    <w:p>
      <w:pPr>
        <w:spacing w:after="120" w:line="276" w:lineRule="auto" w:before="240"/>
      </w:pPr>
      <w:r>
        <w:rPr>
          <w:b/>
          <w:color w:val="003366"/>
          <w:sz w:val="24"/>
        </w:rPr>
        <w:t>**PARTIE 2 : ANALYSE TECHNIQUE DÉTAILLÉE**</w:t>
      </w:r>
    </w:p>
    <w:p>
      <w:pPr>
        <w:spacing w:after="120" w:line="276" w:lineRule="auto"/>
      </w:pPr>
      <w:r>
        <w:t>Les Moyennes Mobiles (MM20 à 3 251 FCFA et MM50 à 3 048,6 FCFA) sont toutes deux inférieures au cours actuel de 3 370 FCFA, confirmant une tendance haussière solide à moyen terme. La MM20 étant nettement au-dessus de la MM50, la configuration en "courbe ascendante" valide la dynamique positive et justifie la décision d'Achat.</w:t>
      </w:r>
    </w:p>
    <w:p>
      <w:pPr>
        <w:spacing w:after="120" w:line="276" w:lineRule="auto"/>
      </w:pPr>
      <w:r>
        <w:t>Le cours se situe à 3 370 FCFA, entre la borne inférieure (2 842,8 FCFA) et la borne supérieure (3 659,2 FCFA) des Bandes de Bollinger, proche de la moyenne. Cette position centrale indique une volatilité normale sans surachat ni survente, justifiant une décision Neutre, mais la largeur des bandes reflète la volatilité élevée du titre.</w:t>
      </w:r>
    </w:p>
    <w:p>
      <w:pPr>
        <w:spacing w:after="120" w:line="276" w:lineRule="auto"/>
      </w:pPr>
      <w:r>
        <w:t>Le MACD (111,746) est inférieur à son Signal (115,907), indiquant un momentum baissier à très court terme malgré la tendance haussière de fond. Cette divergence négative suggère une possible consolidation ou correction technique, justifiant la décision de Vente pour les traders à court terme.</w:t>
      </w:r>
    </w:p>
    <w:p>
      <w:pPr>
        <w:spacing w:after="120" w:line="276" w:lineRule="auto"/>
      </w:pPr>
      <w:r>
        <w:t>Le RSI à 62,36 se situe dans la zone neutre (30-70), sans signal de surachat ni de survente. Cette valeur indique que le titre dispose encore d'un potentiel haussier sans être surchauffé, justifiant une décision Neutre.</w:t>
      </w:r>
    </w:p>
    <w:p>
      <w:pPr>
        <w:spacing w:after="120" w:line="276" w:lineRule="auto"/>
      </w:pPr>
      <w:r>
        <w:t>Le Stochastique (%K à 41,558 et %D à 50,683) montre que %K est inférieur à %D, signalant un momentum baissier à court terme. Les deux lignes étant sous le seuil de 50, cela suggère une faiblesse relative, justifiant une décision Neutre avec une vigilance accrue.</w:t>
      </w:r>
    </w:p>
    <w:p>
      <w:pPr>
        <w:spacing w:after="120" w:line="276" w:lineRule="auto"/>
      </w:pPr>
      <w:r>
        <w:t>La conclusion technique est mitigée : la tendance de fond reste haussière (MM), mais les indicateurs de momentum à court terme (MACD, Stochastique) montrent des signes de faiblesse. Le RSI neutre et les Bandes de Bollinger centrales suggèrent une phase de consolidation après la forte hausse, avec un risque de repli technique vers les 3 250-3 300 FCFA avant une éventuelle reprise.</w:t>
      </w:r>
    </w:p>
    <w:p>
      <w:pPr>
        <w:spacing w:after="120" w:line="276" w:lineRule="auto" w:before="240"/>
      </w:pPr>
      <w:r>
        <w:rPr>
          <w:b/>
          <w:color w:val="003366"/>
          <w:sz w:val="24"/>
        </w:rPr>
        <w:t>**PARTIE 3 : ANALYSE FONDAMENTALE (SECTION CRITIQUE)**</w:t>
      </w:r>
    </w:p>
    <w:p>
      <w:pPr>
        <w:spacing w:after="120" w:line="276" w:lineRule="auto"/>
      </w:pPr>
      <w:r>
        <w:t>En 2025, TTLC a réalisé un chiffre d'affaires de 588,709 milliards FCFA, en baisse de 5,2% par rapport à 2024 (621,042 milliards), mais avec une amélioration notable de la rentabilité opérationnelle : le résultat d'exploitation a progressé de 18% à 12,329 milliards FCFA et l'EBE de 12% à 22,347 milliards FCFA, grâce à une meilleure maîtrise des coûts d'approvisionnement. Le résultat net s'établit à 9,087 milliards FCFA (-3%), avec une marge nette stable à 1,54%. La société affiche un ROE excellent de 25,1% et un ROA de 4,82%, témoignant d'une utilisation efficace des capitaux propres. Le BFR négatif de -9,662 milliards FCFA est un signe favorable pour une entreprise de distribution, indiquant que TTLC finance son exploitation grâce aux délais fournisseurs (49,72 jours) et une rotation rapide des stocks (13,80 jours). Cependant, la trésorerie nette est négative à -21,926 milliards FCFA, et le ratio d'endettement de 90,2% (dettes totales/capitaux propres) reste élevé. Le rapport annuel 2025 (daté du 31/12/2025) confirme ces chiffres et souligne un dividende brut proposé de 10 milliards FCFA, soit un taux de distribution supérieur à 100%, financé partiellement par les réserves. Les rapports trimestriels 2025 montrent une dégradation progressive : le S1 2025 (rapport du 30/06/2025) affichait un CA de 296,8 milliards (-7,1%) et un résultat net de 4,79 milliards (-25,5%), tandis que le T3 2025 (rapport du 30/09/2025) cumulait un CA de 438,2 milliards (-5,7%) et un résultat net de 6,52 milliards (-30,2%). Le rapport T1 2026 (daté du 31/03/2026) montre une reprise encourageante avec un CA de 154,392 milliards (+4,3%) et un résultat net de 2,329 milliards (+5,5%), laissant présager une stabilisation pour l'exercice 2026. La recommandation fondamentale est CONSERVER : la société est solide et rentable, mais la dégradation de la trésorerie et le taux de distribution élevé constituent des risques à surveiller.</w:t>
      </w:r>
    </w:p>
    <w:p>
      <w:pPr>
        <w:spacing w:after="120" w:line="276" w:lineRule="auto" w:before="240"/>
      </w:pPr>
      <w:r>
        <w:rPr>
          <w:b/>
          <w:color w:val="003366"/>
          <w:sz w:val="24"/>
        </w:rPr>
        <w:t>**PARTIE 4 : CONCLUSION D'INVESTISSEMENT**</w:t>
      </w:r>
    </w:p>
    <w:p>
      <w:pPr>
        <w:spacing w:after="120" w:line="276" w:lineRule="auto"/>
      </w:pPr>
      <w:r>
        <w:t>La synthèse globale révèle des signaux contrastés pour TTLC. La valorisation (Partie 0) est exigeante avec un PER de 23,3x et un P/B de 5,86x, indiquant une surévaluation relative par rapport aux fondamentaux actuels, bien que justifiée par un ROE de 25%. Le comportement du cours (Partie 1) est haussier sur 100 jours (+20,36%) mais avec une volatilité très élevée (40%) et un skewness positif suggérant des pics de hausse ponctuels. Les signaux techniques (Partie 2) sont mitigés : la tendance de fond reste positive (MM), mais les indicateurs de momentum (MACD, Stochastique) signalent une faiblesse à court terme. Les fondamentaux (Partie 3) montrent une entreprise rentable avec une amélioration opérationnelle en 2025, mais une trésorerie sous pression et un début d'exercice 2026 encourageant (+5,5% au T1). Les prédictions IA pour les 10 prochains jours (3 354 à 3 301 FCFA) confirment cette tendance baissière à court terme, avec une correction progressive vers les 3 300 FCFA. Sur la base de cette convergence entre les signaux techniques et les prédictions IA, la recommandation finale est **CONSERVER** avec un niveau de confiance **Moyen**. Le risque global est **Élevé** en raison de la volatilité et de la valorisation exigeante. L'horizon d'investissement optimal serait le **moyen terme (3-12 mois)** pour capitaliser sur la reprise attendue en 2026, tout en surveillant l'évolution de la trésorerie et la soutenabilité du dividende.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125.10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2,651 titres</w:t>
            </w:r>
          </w:p>
        </w:tc>
        <w:tc>
          <w:tcPr>
            <w:tcW w:type="dxa" w:w="2268"/>
            <w:shd w:fill="FFF2CC" w:val="clear"/>
          </w:tcPr>
          <w:p>
            <w:r>
              <w:rPr>
                <w:b/>
                <w:color w:val="503200"/>
                <w:sz w:val="16"/>
              </w:rPr>
              <w:t xml:space="preserve">Cours actuel : </w:t>
            </w:r>
            <w:r>
              <w:rPr>
                <w:color w:val="000000"/>
                <w:sz w:val="17"/>
              </w:rPr>
              <w:t>3,840 FCFA</w:t>
            </w:r>
          </w:p>
          <w:p>
            <w:r>
              <w:rPr>
                <w:b/>
                <w:color w:val="503200"/>
                <w:sz w:val="16"/>
              </w:rPr>
              <w:t xml:space="preserve">Var. 100 jours : </w:t>
            </w:r>
            <w:r>
              <w:rPr>
                <w:b/>
                <w:color w:val="007800"/>
                <w:sz w:val="17"/>
              </w:rPr>
              <w:t>+21.71%</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10.55% (Moyenne) — μ=3,533 FCFA, σ=373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β=0.6284 (Défensif) — Cov=0.000023, Var(idx)=0.000037, ρ=0.128,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σ_j=2.99%/j (Stable) — Vol. annualisée≈47.4%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2026-09-07</w:t>
            </w:r>
          </w:p>
        </w:tc>
        <w:tc>
          <w:tcPr>
            <w:tcW w:type="dxa" w:w="1440"/>
            <w:shd w:fill="FFDCE0" w:val="clear"/>
          </w:tcPr>
          <w:p>
            <w:r>
              <w:rPr>
                <w:sz w:val="17"/>
              </w:rPr>
              <w:t>3,545</w:t>
            </w:r>
          </w:p>
        </w:tc>
        <w:tc>
          <w:tcPr>
            <w:tcW w:type="dxa" w:w="1440"/>
            <w:shd w:fill="FFDCE0" w:val="clear"/>
          </w:tcPr>
          <w:p>
            <w:r>
              <w:rPr>
                <w:b/>
                <w:sz w:val="17"/>
              </w:rPr>
              <w:t>3,689</w:t>
            </w:r>
          </w:p>
        </w:tc>
        <w:tc>
          <w:tcPr>
            <w:tcW w:type="dxa" w:w="1440"/>
            <w:shd w:fill="FFDCE0" w:val="clear"/>
          </w:tcPr>
          <w:p>
            <w:r>
              <w:rPr>
                <w:sz w:val="17"/>
              </w:rPr>
              <w:t>3,833</w:t>
            </w:r>
          </w:p>
        </w:tc>
        <w:tc>
          <w:tcPr>
            <w:tcW w:type="dxa" w:w="1440"/>
            <w:shd w:fill="FFDCE0" w:val="clear"/>
          </w:tcPr>
          <w:p>
            <w:r>
              <w:rPr>
                <w:b/>
                <w:color w:val="C00000"/>
                <w:sz w:val="17"/>
              </w:rPr>
              <w:t>-3.9%</w:t>
            </w:r>
          </w:p>
        </w:tc>
      </w:tr>
      <w:tr>
        <w:tc>
          <w:tcPr>
            <w:tcW w:type="dxa" w:w="1440"/>
            <w:shd w:fill="FFDCE0" w:val="clear"/>
          </w:tcPr>
          <w:p>
            <w:r>
              <w:rPr>
                <w:sz w:val="17"/>
              </w:rPr>
              <w:t>J+2  ⭐</w:t>
            </w:r>
          </w:p>
        </w:tc>
        <w:tc>
          <w:tcPr>
            <w:tcW w:type="dxa" w:w="1440"/>
            <w:shd w:fill="FFDCE0" w:val="clear"/>
          </w:tcPr>
          <w:p>
            <w:r>
              <w:rPr>
                <w:sz w:val="17"/>
              </w:rPr>
              <w:t>2026-09-08</w:t>
            </w:r>
          </w:p>
        </w:tc>
        <w:tc>
          <w:tcPr>
            <w:tcW w:type="dxa" w:w="1440"/>
            <w:shd w:fill="FFDCE0" w:val="clear"/>
          </w:tcPr>
          <w:p>
            <w:r>
              <w:rPr>
                <w:sz w:val="17"/>
              </w:rPr>
              <w:t>3,420</w:t>
            </w:r>
          </w:p>
        </w:tc>
        <w:tc>
          <w:tcPr>
            <w:tcW w:type="dxa" w:w="1440"/>
            <w:shd w:fill="FFDCE0" w:val="clear"/>
          </w:tcPr>
          <w:p>
            <w:r>
              <w:rPr>
                <w:b/>
                <w:sz w:val="17"/>
              </w:rPr>
              <w:t>3,620</w:t>
            </w:r>
          </w:p>
        </w:tc>
        <w:tc>
          <w:tcPr>
            <w:tcW w:type="dxa" w:w="1440"/>
            <w:shd w:fill="FFDCE0" w:val="clear"/>
          </w:tcPr>
          <w:p>
            <w:r>
              <w:rPr>
                <w:sz w:val="17"/>
              </w:rPr>
              <w:t>3,820</w:t>
            </w:r>
          </w:p>
        </w:tc>
        <w:tc>
          <w:tcPr>
            <w:tcW w:type="dxa" w:w="1440"/>
            <w:shd w:fill="FFDCE0" w:val="clear"/>
          </w:tcPr>
          <w:p>
            <w:r>
              <w:rPr>
                <w:b/>
                <w:color w:val="C00000"/>
                <w:sz w:val="17"/>
              </w:rPr>
              <w:t>-5.7%</w:t>
            </w:r>
          </w:p>
        </w:tc>
      </w:tr>
      <w:tr>
        <w:tc>
          <w:tcPr>
            <w:tcW w:type="dxa" w:w="1440"/>
            <w:shd w:fill="FFDCE0" w:val="clear"/>
          </w:tcPr>
          <w:p>
            <w:r>
              <w:rPr>
                <w:sz w:val="17"/>
              </w:rPr>
              <w:t>J+3  ⭐</w:t>
            </w:r>
          </w:p>
        </w:tc>
        <w:tc>
          <w:tcPr>
            <w:tcW w:type="dxa" w:w="1440"/>
            <w:shd w:fill="FFDCE0" w:val="clear"/>
          </w:tcPr>
          <w:p>
            <w:r>
              <w:rPr>
                <w:sz w:val="17"/>
              </w:rPr>
              <w:t>2026-09-09</w:t>
            </w:r>
          </w:p>
        </w:tc>
        <w:tc>
          <w:tcPr>
            <w:tcW w:type="dxa" w:w="1440"/>
            <w:shd w:fill="FFDCE0" w:val="clear"/>
          </w:tcPr>
          <w:p>
            <w:r>
              <w:rPr>
                <w:sz w:val="17"/>
              </w:rPr>
              <w:t>3,321</w:t>
            </w:r>
          </w:p>
        </w:tc>
        <w:tc>
          <w:tcPr>
            <w:tcW w:type="dxa" w:w="1440"/>
            <w:shd w:fill="FFDCE0" w:val="clear"/>
          </w:tcPr>
          <w:p>
            <w:r>
              <w:rPr>
                <w:b/>
                <w:sz w:val="17"/>
              </w:rPr>
              <w:t>3,562</w:t>
            </w:r>
          </w:p>
        </w:tc>
        <w:tc>
          <w:tcPr>
            <w:tcW w:type="dxa" w:w="1440"/>
            <w:shd w:fill="FFDCE0" w:val="clear"/>
          </w:tcPr>
          <w:p>
            <w:r>
              <w:rPr>
                <w:sz w:val="17"/>
              </w:rPr>
              <w:t>3,803</w:t>
            </w:r>
          </w:p>
        </w:tc>
        <w:tc>
          <w:tcPr>
            <w:tcW w:type="dxa" w:w="1440"/>
            <w:shd w:fill="FFDCE0" w:val="clear"/>
          </w:tcPr>
          <w:p>
            <w:r>
              <w:rPr>
                <w:b/>
                <w:color w:val="C00000"/>
                <w:sz w:val="17"/>
              </w:rPr>
              <w:t>-7.2%</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3,238</w:t>
            </w:r>
          </w:p>
        </w:tc>
        <w:tc>
          <w:tcPr>
            <w:tcW w:type="dxa" w:w="1440"/>
            <w:shd w:fill="FFDCE0" w:val="clear"/>
          </w:tcPr>
          <w:p>
            <w:r>
              <w:rPr>
                <w:b/>
                <w:sz w:val="17"/>
              </w:rPr>
              <w:t>3,512</w:t>
            </w:r>
          </w:p>
        </w:tc>
        <w:tc>
          <w:tcPr>
            <w:tcW w:type="dxa" w:w="1440"/>
            <w:shd w:fill="FFDCE0" w:val="clear"/>
          </w:tcPr>
          <w:p>
            <w:r>
              <w:rPr>
                <w:sz w:val="17"/>
              </w:rPr>
              <w:t>3,786</w:t>
            </w:r>
          </w:p>
        </w:tc>
        <w:tc>
          <w:tcPr>
            <w:tcW w:type="dxa" w:w="1440"/>
            <w:shd w:fill="FFDCE0" w:val="clear"/>
          </w:tcPr>
          <w:p>
            <w:r>
              <w:rPr>
                <w:b/>
                <w:color w:val="C00000"/>
                <w:sz w:val="17"/>
              </w:rPr>
              <w:t>-8.5%</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3,164</w:t>
            </w:r>
          </w:p>
        </w:tc>
        <w:tc>
          <w:tcPr>
            <w:tcW w:type="dxa" w:w="1440"/>
            <w:shd w:fill="FFDCE0" w:val="clear"/>
          </w:tcPr>
          <w:p>
            <w:r>
              <w:rPr>
                <w:b/>
                <w:sz w:val="17"/>
              </w:rPr>
              <w:t>3,467</w:t>
            </w:r>
          </w:p>
        </w:tc>
        <w:tc>
          <w:tcPr>
            <w:tcW w:type="dxa" w:w="1440"/>
            <w:shd w:fill="FFDCE0" w:val="clear"/>
          </w:tcPr>
          <w:p>
            <w:r>
              <w:rPr>
                <w:sz w:val="17"/>
              </w:rPr>
              <w:t>3,770</w:t>
            </w:r>
          </w:p>
        </w:tc>
        <w:tc>
          <w:tcPr>
            <w:tcW w:type="dxa" w:w="1440"/>
            <w:shd w:fill="FFDCE0" w:val="clear"/>
          </w:tcPr>
          <w:p>
            <w:r>
              <w:rPr>
                <w:b/>
                <w:color w:val="C00000"/>
                <w:sz w:val="17"/>
              </w:rPr>
              <w:t>-9.7%</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3,098</w:t>
            </w:r>
          </w:p>
        </w:tc>
        <w:tc>
          <w:tcPr>
            <w:tcW w:type="dxa" w:w="1440"/>
            <w:shd w:fill="FFDCE0" w:val="clear"/>
          </w:tcPr>
          <w:p>
            <w:r>
              <w:rPr>
                <w:b/>
                <w:sz w:val="17"/>
              </w:rPr>
              <w:t>3,425</w:t>
            </w:r>
          </w:p>
        </w:tc>
        <w:tc>
          <w:tcPr>
            <w:tcW w:type="dxa" w:w="1440"/>
            <w:shd w:fill="FFDCE0" w:val="clear"/>
          </w:tcPr>
          <w:p>
            <w:r>
              <w:rPr>
                <w:sz w:val="17"/>
              </w:rPr>
              <w:t>3,753</w:t>
            </w:r>
          </w:p>
        </w:tc>
        <w:tc>
          <w:tcPr>
            <w:tcW w:type="dxa" w:w="1440"/>
            <w:shd w:fill="FFDCE0" w:val="clear"/>
          </w:tcPr>
          <w:p>
            <w:r>
              <w:rPr>
                <w:b/>
                <w:color w:val="C00000"/>
                <w:sz w:val="17"/>
              </w:rPr>
              <w:t>-10.8%</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3,037</w:t>
            </w:r>
          </w:p>
        </w:tc>
        <w:tc>
          <w:tcPr>
            <w:tcW w:type="dxa" w:w="1440"/>
            <w:shd w:fill="FFDCE0" w:val="clear"/>
          </w:tcPr>
          <w:p>
            <w:r>
              <w:rPr>
                <w:b/>
                <w:sz w:val="17"/>
              </w:rPr>
              <w:t>3,387</w:t>
            </w:r>
          </w:p>
        </w:tc>
        <w:tc>
          <w:tcPr>
            <w:tcW w:type="dxa" w:w="1440"/>
            <w:shd w:fill="FFDCE0" w:val="clear"/>
          </w:tcPr>
          <w:p>
            <w:r>
              <w:rPr>
                <w:sz w:val="17"/>
              </w:rPr>
              <w:t>3,736</w:t>
            </w:r>
          </w:p>
        </w:tc>
        <w:tc>
          <w:tcPr>
            <w:tcW w:type="dxa" w:w="1440"/>
            <w:shd w:fill="FFDCE0" w:val="clear"/>
          </w:tcPr>
          <w:p>
            <w:r>
              <w:rPr>
                <w:b/>
                <w:color w:val="C00000"/>
                <w:sz w:val="17"/>
              </w:rPr>
              <w:t>-11.8%</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2,980</w:t>
            </w:r>
          </w:p>
        </w:tc>
        <w:tc>
          <w:tcPr>
            <w:tcW w:type="dxa" w:w="1440"/>
            <w:shd w:fill="FFDCE0" w:val="clear"/>
          </w:tcPr>
          <w:p>
            <w:r>
              <w:rPr>
                <w:b/>
                <w:sz w:val="17"/>
              </w:rPr>
              <w:t>3,350</w:t>
            </w:r>
          </w:p>
        </w:tc>
        <w:tc>
          <w:tcPr>
            <w:tcW w:type="dxa" w:w="1440"/>
            <w:shd w:fill="FFDCE0" w:val="clear"/>
          </w:tcPr>
          <w:p>
            <w:r>
              <w:rPr>
                <w:sz w:val="17"/>
              </w:rPr>
              <w:t>3,720</w:t>
            </w:r>
          </w:p>
        </w:tc>
        <w:tc>
          <w:tcPr>
            <w:tcW w:type="dxa" w:w="1440"/>
            <w:shd w:fill="FFDCE0" w:val="clear"/>
          </w:tcPr>
          <w:p>
            <w:r>
              <w:rPr>
                <w:b/>
                <w:color w:val="C00000"/>
                <w:sz w:val="17"/>
              </w:rPr>
              <w:t>-12.8%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2,928</w:t>
            </w:r>
          </w:p>
        </w:tc>
        <w:tc>
          <w:tcPr>
            <w:tcW w:type="dxa" w:w="1440"/>
            <w:shd w:fill="FFDCE0" w:val="clear"/>
          </w:tcPr>
          <w:p>
            <w:r>
              <w:rPr>
                <w:b/>
                <w:sz w:val="17"/>
              </w:rPr>
              <w:t>3,316</w:t>
            </w:r>
          </w:p>
        </w:tc>
        <w:tc>
          <w:tcPr>
            <w:tcW w:type="dxa" w:w="1440"/>
            <w:shd w:fill="FFDCE0" w:val="clear"/>
          </w:tcPr>
          <w:p>
            <w:r>
              <w:rPr>
                <w:sz w:val="17"/>
              </w:rPr>
              <w:t>3,704</w:t>
            </w:r>
          </w:p>
        </w:tc>
        <w:tc>
          <w:tcPr>
            <w:tcW w:type="dxa" w:w="1440"/>
            <w:shd w:fill="FFDCE0" w:val="clear"/>
          </w:tcPr>
          <w:p>
            <w:r>
              <w:rPr>
                <w:b/>
                <w:color w:val="C00000"/>
                <w:sz w:val="17"/>
              </w:rPr>
              <w:t>-13.6%</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2,878</w:t>
            </w:r>
          </w:p>
        </w:tc>
        <w:tc>
          <w:tcPr>
            <w:tcW w:type="dxa" w:w="1440"/>
            <w:shd w:fill="FFDCE0" w:val="clear"/>
          </w:tcPr>
          <w:p>
            <w:r>
              <w:rPr>
                <w:b/>
                <w:sz w:val="17"/>
              </w:rPr>
              <w:t>3,284</w:t>
            </w:r>
          </w:p>
        </w:tc>
        <w:tc>
          <w:tcPr>
            <w:tcW w:type="dxa" w:w="1440"/>
            <w:shd w:fill="FFDCE0" w:val="clear"/>
          </w:tcPr>
          <w:p>
            <w:r>
              <w:rPr>
                <w:sz w:val="17"/>
              </w:rPr>
              <w:t>3,689</w:t>
            </w:r>
          </w:p>
        </w:tc>
        <w:tc>
          <w:tcPr>
            <w:tcW w:type="dxa" w:w="1440"/>
            <w:shd w:fill="FFDCE0" w:val="clear"/>
          </w:tcPr>
          <w:p>
            <w:r>
              <w:rPr>
                <w:b/>
                <w:color w:val="C00000"/>
                <w:sz w:val="17"/>
              </w:rPr>
              <w:t>-14.5%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125,10 milliards FCFA, ce qui positionne la société parmi les valeurs moyennes du marché BRVM, avec un niveau de liquidité relativement faible (volume moyen de 2 651 titres/jour). Le BPA de 208 FCFA indique que chaque action génère un bénéfice modeste, cohérent avec une activité de distribution pétrolière. Le PER de 18,5x est nettement supérieur à la moyenne historique de la BRVM (8-12x), ce qui suggère que les investisseurs paient une prime significative pour la qualité perçue du titre et son statut de valeur défensive. Le P/B de 4,43x confirme cette prime, le marché valorisant le titre bien au-delà de sa valeur comptable. Enfin, l'EV/EBITDA de 7,8x, dans la fourchette raisonnable de 5-10x, tempère cette lecture en indiquant que la valeur totale de l'entreprise reste justifiée par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remarquable de +21,71%, malgré un léger repli de -0,26% lors de la dernière séance, pour s'établir à 3 840 FCFA. Le titre a évolué dans une fourchette large de 1 655 FCFA, entre un plus bas de 2 845 FCFA et un plus haut de 4 500 FCFA, illustrant une volatilité importante. La moyenne de 3 533 FCFA, proche de la médiane de 3 498 FCFA, suggère une distribution relativement symétrique des cours, confirmée par un skewness de 0,341. L'écart-type de 375 FCFA (CV=10,6%) indique une dispersion modérée autour de la moyenne. Le kurtosis de -0,381 (mésokurtique) révèle l'absence de pics extrêmes, tandis que la volatilité annualisée de 47,4% classe le titre comme très volatil, un niveau élevé qui reflète les incertitudes sectorielles et réglementaires propres au marché sénégalais des produits pétroliers.</w:t>
      </w:r>
    </w:p>
    <w:p>
      <w:pPr>
        <w:spacing w:after="120" w:line="276" w:lineRule="auto" w:before="240"/>
      </w:pPr>
      <w:r>
        <w:rPr>
          <w:b/>
          <w:color w:val="003366"/>
          <w:sz w:val="24"/>
        </w:rPr>
        <w:t>**PARTIE 2 : ANALYSE TECHNIQUE DÉTAILLÉE**</w:t>
      </w:r>
    </w:p>
    <w:p>
      <w:pPr>
        <w:spacing w:after="120" w:line="276" w:lineRule="auto"/>
      </w:pPr>
      <w:r>
        <w:t>Les **Moyennes Mobiles** indiquent une configuration baissière à court terme : le cours actuel de 3 840 FCFA est inférieur à la MM20 (3 744 FCFA) et à la MM50 (3 833,9 FCFA), bien que l'écart soit minime. Cette position sous les deux moyennes suggère une perte de dynamisme récente, justifiant la décision de vente, mais la proximité des niveaux laisse entrevoir un possible retournement haussier si le cours repasse au-dessus de la MM50.</w:t>
      </w:r>
    </w:p>
    <w:p>
      <w:pPr>
        <w:spacing w:after="120" w:line="276" w:lineRule="auto"/>
      </w:pPr>
      <w:r>
        <w:t>Les **Bandes de Bollinger** montrent un cours évoluant entre la borne inférieure (3 485,8 FCFA) et la borne supérieure (4 002,2 FCFA), avec une position médiane à 3 840 FCFA. Cette localisation centrale indique une volatilité modérée sans pression directionnelle forte, d'où une décision neutre. Un élargissement des bandes pourrait précéder un mouvement plus ample.</w:t>
      </w:r>
    </w:p>
    <w:p>
      <w:pPr>
        <w:spacing w:after="120" w:line="276" w:lineRule="auto"/>
      </w:pPr>
      <w:r>
        <w:t>Le **MACD** affiche une valeur positive de 29,398, nettement au-dessus de son signal à 15,497, ce qui traduit un momentum haussier encore actif. La divergence positive entre la ligne MACD et sa moyenne mobile signale une dynamique d'achat persistante, justifiant la décision d'achat malgré le récent repli du cours.</w:t>
      </w:r>
    </w:p>
    <w:p>
      <w:pPr>
        <w:spacing w:after="120" w:line="276" w:lineRule="auto"/>
      </w:pPr>
      <w:r>
        <w:t>Le **RSI** à 62,201 se situe dans la zone neutre (30-70), sans signal de surachat ni de survente. Cette valeur indique que le titre dispose encore d'une marge de progression avant d'atteindre des niveaux extrêmes, mais reflète également une certaine prudence des investisseurs, d'où une décision neutre.</w:t>
      </w:r>
    </w:p>
    <w:p>
      <w:pPr>
        <w:spacing w:after="120" w:line="276" w:lineRule="auto"/>
      </w:pPr>
      <w:r>
        <w:t>Le **Stochastique** montre un %K à 55,357 inférieur au %D à 65,382, suggérant un croisement baissier potentiel à court terme. Cette configuration, où la ligne rapide passe sous la ligne lente, indique un essoufflement du mouvement haussier, justifiant la décision neutre avec une vigilance accrue.</w:t>
      </w:r>
    </w:p>
    <w:p>
      <w:pPr>
        <w:spacing w:after="120" w:line="276" w:lineRule="auto"/>
      </w:pPr>
      <w:r>
        <w:t>En conclusion technique, les signaux sont mitigés : le MACD reste positif, mais les moyennes mobiles et le stochastique suggèrent un ralentissement. La configuration globale plaide pour une consolidation à court terme, avec un risque de correction modérée si le cours ne parvient pas à se maintenir au-dessus de la MM50 à 3 834 FCFA.</w:t>
      </w:r>
    </w:p>
    <w:p>
      <w:pPr>
        <w:spacing w:after="120" w:line="276" w:lineRule="auto" w:before="240"/>
      </w:pPr>
      <w:r>
        <w:rPr>
          <w:b/>
          <w:color w:val="003366"/>
          <w:sz w:val="24"/>
        </w:rPr>
        <w:t>**PARTIE 3 : ANALYSE FONDAMENTALE (SECTION CRITIQUE)**</w:t>
      </w:r>
    </w:p>
    <w:p>
      <w:pPr>
        <w:spacing w:after="120" w:line="276" w:lineRule="auto"/>
      </w:pPr>
      <w:r>
        <w:t>En 2025, TTLS a enregistré un chiffre d'affaires de 455,209 milliards FCFA, en baisse de 6,1% par rapport à 2024 (484,945 milliards), principalement due à l'arrêt stratégique de la commercialisation du fuel lourd. Le résultat net s'établit à 6,779 milliards FCFA, en repli de 5,1% par rapport aux 7,140 milliards de 2024, malgré une amélioration du résultat d'exploitation à 8,693 milliards FCFA. La marge nette reste faible à 1,49%, typique du secteur de distribution pétrolière, mais le ROE de 24,01% est excellent, démontrant une utilisation efficace des capitaux propres (28,239 milliards FCFA). Le BFR négatif de -36,899 milliards FCFA est un signal très favorable, indiquant que TTLS finance son exploitation grâce aux délais fournisseurs (97,76 jours) nettement supérieurs aux délais clients (47,43 jours). La trésorerie s'est considérablement améliorée, passant de 8,4 milliards en 2024 à 20,567 milliards FCFA en 2025, avec un free cash-flow de 17,483 milliards FCFA. Les rapports du T1 2026 (daté du 31 mars 2026) montrent une résilience remarquable : malgré une baisse du CA de 10% à 99,9 milliards FCFA due à la révision des prix à la pompe par l'État, le résultat net progresse de 5% à 1,585 milliards FCFA, grâce à une amélioration de 28% du résultat d'exploitation portée par les lubrifiants. On estime que l'exercice 2026 pourrait maintenir un résultat net proche de celui de 2025, entre 6,5 et 7 milliards FCFA, si la tendance du T1 se confirme. La solidité financière est renforcée par un actionnariat stable (TotalEnergies à 69,1%) et une capacité de remboursement rapide (0,94 an).</w:t>
      </w:r>
    </w:p>
    <w:p>
      <w:pPr>
        <w:spacing w:after="120" w:line="276" w:lineRule="auto" w:before="240"/>
      </w:pPr>
      <w:r>
        <w:rPr>
          <w:b/>
          <w:color w:val="003366"/>
          <w:sz w:val="24"/>
        </w:rPr>
        <w:t>**PARTIE 4 : CONCLUSION D'INVESTISSEMENT**</w:t>
      </w:r>
    </w:p>
    <w:p>
      <w:pPr>
        <w:spacing w:after="120" w:line="276" w:lineRule="auto"/>
      </w:pPr>
      <w:r>
        <w:t>La synthèse globale révèle des signaux contrastés. La valorisation (PER 18,5x, P/B 4,43x) apparaît exigeante, mais l'EV/EBITDA de 7,8x reste raisonnable. Le comportement du cours sur 100 jours est haussier (+21,71%) avec une volatilité élevée (47,4%) et une distribution statistique normale, indiquant un mouvement soutenu mais sans excès. Les signaux techniques sont mitigés : le MACD reste positif mais les moyennes mobiles et le stochastique suggèrent une consolidation. Les fondamentaux sont solides : ROE de 24%, trésorerie abondante (20,6 milliards FCFA), BFR négatif favorable et résilience opérationnelle démontrée au T1 2026. Les prédictions IA (J+1 à J+10) anticipent une correction de -9,7% vers 3 467 FCFA, contredisant la tendance haussière récente et suggérant un rééquilibrage technique. Compte tenu de la convergence entre la valorisation exigeante, les signaux techniques de ralentissement et les prédictions IA baissières, la recommandation finale est **CONSERVER** avec un niveau de confiance **Moyen**. Le risque global est **Moyen**, principalement lié à la dépendance réglementaire aux prix des carburants et à la concentration géographique. L'horizon d'investissement optimal est le **moyen terme (3-12 mois)**, en attendant une clarification sur la politique de dividende et une confirmation de la reprise des volumes.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499.12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54,350 FCFA</w:t>
            </w:r>
          </w:p>
          <w:p>
            <w:r>
              <w:rPr>
                <w:b/>
                <w:color w:val="503200"/>
                <w:sz w:val="16"/>
              </w:rPr>
              <w:t xml:space="preserve">Var. 100 jours : </w:t>
            </w:r>
            <w:r>
              <w:rPr>
                <w:b/>
                <w:color w:val="B40000"/>
                <w:sz w:val="17"/>
              </w:rPr>
              <w:t>-16.38%</w:t>
            </w:r>
          </w:p>
          <w:p>
            <w:r>
              <w:rPr>
                <w:b/>
                <w:color w:val="503200"/>
                <w:sz w:val="16"/>
              </w:rPr>
              <w:t xml:space="preserve">Plus haut 100j : </w:t>
            </w:r>
            <w:r>
              <w:rPr>
                <w:color w:val="000000"/>
                <w:sz w:val="17"/>
              </w:rPr>
              <w:t>65,000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60.1%</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5.55% (Moyenne) — μ=56,246 FCFA, σ=3,124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β=0.0660 (Défensif) — Cov=0.000002, Var(idx)=0.000038, ρ=0.011,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σ_j=3.79%/j (Modérée) — Vol. annualisée≈60.1%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2026-09-07</w:t>
            </w:r>
          </w:p>
        </w:tc>
        <w:tc>
          <w:tcPr>
            <w:tcW w:type="dxa" w:w="1440"/>
            <w:shd w:fill="C6EFCE" w:val="clear"/>
          </w:tcPr>
          <w:p>
            <w:r>
              <w:rPr>
                <w:sz w:val="17"/>
              </w:rPr>
              <w:t>52,166</w:t>
            </w:r>
          </w:p>
        </w:tc>
        <w:tc>
          <w:tcPr>
            <w:tcW w:type="dxa" w:w="1440"/>
            <w:shd w:fill="C6EFCE" w:val="clear"/>
          </w:tcPr>
          <w:p>
            <w:r>
              <w:rPr>
                <w:b/>
                <w:sz w:val="17"/>
              </w:rPr>
              <w:t>55,443</w:t>
            </w:r>
          </w:p>
        </w:tc>
        <w:tc>
          <w:tcPr>
            <w:tcW w:type="dxa" w:w="1440"/>
            <w:shd w:fill="C6EFCE" w:val="clear"/>
          </w:tcPr>
          <w:p>
            <w:r>
              <w:rPr>
                <w:sz w:val="17"/>
              </w:rPr>
              <w:t>58,721</w:t>
            </w:r>
          </w:p>
        </w:tc>
        <w:tc>
          <w:tcPr>
            <w:tcW w:type="dxa" w:w="1440"/>
            <w:shd w:fill="C6EFCE" w:val="clear"/>
          </w:tcPr>
          <w:p>
            <w:r>
              <w:rPr>
                <w:b/>
                <w:color w:val="008000"/>
                <w:sz w:val="17"/>
              </w:rPr>
              <w:t>+2.0%</w:t>
            </w:r>
          </w:p>
        </w:tc>
      </w:tr>
      <w:tr>
        <w:tc>
          <w:tcPr>
            <w:tcW w:type="dxa" w:w="1440"/>
            <w:shd w:fill="C6EFCE" w:val="clear"/>
          </w:tcPr>
          <w:p>
            <w:r>
              <w:rPr>
                <w:sz w:val="17"/>
              </w:rPr>
              <w:t>J+2  ⭐</w:t>
            </w:r>
          </w:p>
        </w:tc>
        <w:tc>
          <w:tcPr>
            <w:tcW w:type="dxa" w:w="1440"/>
            <w:shd w:fill="C6EFCE" w:val="clear"/>
          </w:tcPr>
          <w:p>
            <w:r>
              <w:rPr>
                <w:sz w:val="17"/>
              </w:rPr>
              <w:t>2026-09-08</w:t>
            </w:r>
          </w:p>
        </w:tc>
        <w:tc>
          <w:tcPr>
            <w:tcW w:type="dxa" w:w="1440"/>
            <w:shd w:fill="C6EFCE" w:val="clear"/>
          </w:tcPr>
          <w:p>
            <w:r>
              <w:rPr>
                <w:sz w:val="17"/>
              </w:rPr>
              <w:t>51,263</w:t>
            </w:r>
          </w:p>
        </w:tc>
        <w:tc>
          <w:tcPr>
            <w:tcW w:type="dxa" w:w="1440"/>
            <w:shd w:fill="C6EFCE" w:val="clear"/>
          </w:tcPr>
          <w:p>
            <w:r>
              <w:rPr>
                <w:b/>
                <w:sz w:val="17"/>
              </w:rPr>
              <w:t>55,939</w:t>
            </w:r>
          </w:p>
        </w:tc>
        <w:tc>
          <w:tcPr>
            <w:tcW w:type="dxa" w:w="1440"/>
            <w:shd w:fill="C6EFCE" w:val="clear"/>
          </w:tcPr>
          <w:p>
            <w:r>
              <w:rPr>
                <w:sz w:val="17"/>
              </w:rPr>
              <w:t>60,616</w:t>
            </w:r>
          </w:p>
        </w:tc>
        <w:tc>
          <w:tcPr>
            <w:tcW w:type="dxa" w:w="1440"/>
            <w:shd w:fill="C6EFCE" w:val="clear"/>
          </w:tcPr>
          <w:p>
            <w:r>
              <w:rPr>
                <w:b/>
                <w:color w:val="008000"/>
                <w:sz w:val="17"/>
              </w:rPr>
              <w:t>+2.9%</w:t>
            </w:r>
          </w:p>
        </w:tc>
      </w:tr>
      <w:tr>
        <w:tc>
          <w:tcPr>
            <w:tcW w:type="dxa" w:w="1440"/>
            <w:shd w:fill="C6EFCE" w:val="clear"/>
          </w:tcPr>
          <w:p>
            <w:r>
              <w:rPr>
                <w:sz w:val="17"/>
              </w:rPr>
              <w:t>J+3  ⭐</w:t>
            </w:r>
          </w:p>
        </w:tc>
        <w:tc>
          <w:tcPr>
            <w:tcW w:type="dxa" w:w="1440"/>
            <w:shd w:fill="C6EFCE" w:val="clear"/>
          </w:tcPr>
          <w:p>
            <w:r>
              <w:rPr>
                <w:sz w:val="17"/>
              </w:rPr>
              <w:t>2026-09-09</w:t>
            </w:r>
          </w:p>
        </w:tc>
        <w:tc>
          <w:tcPr>
            <w:tcW w:type="dxa" w:w="1440"/>
            <w:shd w:fill="C6EFCE" w:val="clear"/>
          </w:tcPr>
          <w:p>
            <w:r>
              <w:rPr>
                <w:sz w:val="17"/>
              </w:rPr>
              <w:t>50,742</w:t>
            </w:r>
          </w:p>
        </w:tc>
        <w:tc>
          <w:tcPr>
            <w:tcW w:type="dxa" w:w="1440"/>
            <w:shd w:fill="C6EFCE" w:val="clear"/>
          </w:tcPr>
          <w:p>
            <w:r>
              <w:rPr>
                <w:b/>
                <w:sz w:val="17"/>
              </w:rPr>
              <w:t>56,530</w:t>
            </w:r>
          </w:p>
        </w:tc>
        <w:tc>
          <w:tcPr>
            <w:tcW w:type="dxa" w:w="1440"/>
            <w:shd w:fill="C6EFCE" w:val="clear"/>
          </w:tcPr>
          <w:p>
            <w:r>
              <w:rPr>
                <w:sz w:val="17"/>
              </w:rPr>
              <w:t>62,318</w:t>
            </w:r>
          </w:p>
        </w:tc>
        <w:tc>
          <w:tcPr>
            <w:tcW w:type="dxa" w:w="1440"/>
            <w:shd w:fill="C6EFCE" w:val="clear"/>
          </w:tcPr>
          <w:p>
            <w:r>
              <w:rPr>
                <w:b/>
                <w:color w:val="008000"/>
                <w:sz w:val="17"/>
              </w:rPr>
              <w:t>+4.0%</w:t>
            </w:r>
          </w:p>
        </w:tc>
      </w:tr>
      <w:tr>
        <w:tc>
          <w:tcPr>
            <w:tcW w:type="dxa" w:w="1440"/>
            <w:shd w:fill="C6EFCE" w:val="clear"/>
          </w:tcPr>
          <w:p>
            <w:r>
              <w:rPr>
                <w:sz w:val="17"/>
              </w:rPr>
              <w:t>J+4  ⭐</w:t>
            </w:r>
          </w:p>
        </w:tc>
        <w:tc>
          <w:tcPr>
            <w:tcW w:type="dxa" w:w="1440"/>
            <w:shd w:fill="C6EFCE" w:val="clear"/>
          </w:tcPr>
          <w:p>
            <w:r>
              <w:rPr>
                <w:sz w:val="17"/>
              </w:rPr>
              <w:t>2026-09-10</w:t>
            </w:r>
          </w:p>
        </w:tc>
        <w:tc>
          <w:tcPr>
            <w:tcW w:type="dxa" w:w="1440"/>
            <w:shd w:fill="C6EFCE" w:val="clear"/>
          </w:tcPr>
          <w:p>
            <w:r>
              <w:rPr>
                <w:sz w:val="17"/>
              </w:rPr>
              <w:t>50,393</w:t>
            </w:r>
          </w:p>
        </w:tc>
        <w:tc>
          <w:tcPr>
            <w:tcW w:type="dxa" w:w="1440"/>
            <w:shd w:fill="C6EFCE" w:val="clear"/>
          </w:tcPr>
          <w:p>
            <w:r>
              <w:rPr>
                <w:b/>
                <w:sz w:val="17"/>
              </w:rPr>
              <w:t>57,150</w:t>
            </w:r>
          </w:p>
        </w:tc>
        <w:tc>
          <w:tcPr>
            <w:tcW w:type="dxa" w:w="1440"/>
            <w:shd w:fill="C6EFCE" w:val="clear"/>
          </w:tcPr>
          <w:p>
            <w:r>
              <w:rPr>
                <w:sz w:val="17"/>
              </w:rPr>
              <w:t>63,907</w:t>
            </w:r>
          </w:p>
        </w:tc>
        <w:tc>
          <w:tcPr>
            <w:tcW w:type="dxa" w:w="1440"/>
            <w:shd w:fill="C6EFCE" w:val="clear"/>
          </w:tcPr>
          <w:p>
            <w:r>
              <w:rPr>
                <w:b/>
                <w:color w:val="008000"/>
                <w:sz w:val="17"/>
              </w:rPr>
              <w:t>+5.2%</w:t>
            </w:r>
          </w:p>
        </w:tc>
      </w:tr>
      <w:tr>
        <w:tc>
          <w:tcPr>
            <w:tcW w:type="dxa" w:w="1440"/>
            <w:shd w:fill="C6EFCE" w:val="clear"/>
          </w:tcPr>
          <w:p>
            <w:r>
              <w:rPr>
                <w:sz w:val="17"/>
              </w:rPr>
              <w:t>J+5  ⭐</w:t>
            </w:r>
          </w:p>
        </w:tc>
        <w:tc>
          <w:tcPr>
            <w:tcW w:type="dxa" w:w="1440"/>
            <w:shd w:fill="C6EFCE" w:val="clear"/>
          </w:tcPr>
          <w:p>
            <w:r>
              <w:rPr>
                <w:sz w:val="17"/>
              </w:rPr>
              <w:t>2026-09-11</w:t>
            </w:r>
          </w:p>
        </w:tc>
        <w:tc>
          <w:tcPr>
            <w:tcW w:type="dxa" w:w="1440"/>
            <w:shd w:fill="C6EFCE" w:val="clear"/>
          </w:tcPr>
          <w:p>
            <w:r>
              <w:rPr>
                <w:sz w:val="17"/>
              </w:rPr>
              <w:t>50,145</w:t>
            </w:r>
          </w:p>
        </w:tc>
        <w:tc>
          <w:tcPr>
            <w:tcW w:type="dxa" w:w="1440"/>
            <w:shd w:fill="C6EFCE" w:val="clear"/>
          </w:tcPr>
          <w:p>
            <w:r>
              <w:rPr>
                <w:b/>
                <w:sz w:val="17"/>
              </w:rPr>
              <w:t>57,784</w:t>
            </w:r>
          </w:p>
        </w:tc>
        <w:tc>
          <w:tcPr>
            <w:tcW w:type="dxa" w:w="1440"/>
            <w:shd w:fill="C6EFCE" w:val="clear"/>
          </w:tcPr>
          <w:p>
            <w:r>
              <w:rPr>
                <w:sz w:val="17"/>
              </w:rPr>
              <w:t>65,422</w:t>
            </w:r>
          </w:p>
        </w:tc>
        <w:tc>
          <w:tcPr>
            <w:tcW w:type="dxa" w:w="1440"/>
            <w:shd w:fill="C6EFCE" w:val="clear"/>
          </w:tcPr>
          <w:p>
            <w:r>
              <w:rPr>
                <w:b/>
                <w:color w:val="008000"/>
                <w:sz w:val="17"/>
              </w:rPr>
              <w:t>+6.3%</w:t>
            </w:r>
          </w:p>
        </w:tc>
      </w:tr>
      <w:tr>
        <w:tc>
          <w:tcPr>
            <w:tcW w:type="dxa" w:w="1440"/>
            <w:shd w:fill="C6EFCE" w:val="clear"/>
          </w:tcPr>
          <w:p>
            <w:r>
              <w:rPr>
                <w:sz w:val="17"/>
              </w:rPr>
              <w:t>J+6  ⭐</w:t>
            </w:r>
          </w:p>
        </w:tc>
        <w:tc>
          <w:tcPr>
            <w:tcW w:type="dxa" w:w="1440"/>
            <w:shd w:fill="C6EFCE" w:val="clear"/>
          </w:tcPr>
          <w:p>
            <w:r>
              <w:rPr>
                <w:sz w:val="17"/>
              </w:rPr>
              <w:t>2026-09-14</w:t>
            </w:r>
          </w:p>
        </w:tc>
        <w:tc>
          <w:tcPr>
            <w:tcW w:type="dxa" w:w="1440"/>
            <w:shd w:fill="C6EFCE" w:val="clear"/>
          </w:tcPr>
          <w:p>
            <w:r>
              <w:rPr>
                <w:sz w:val="17"/>
              </w:rPr>
              <w:t>49,965</w:t>
            </w:r>
          </w:p>
        </w:tc>
        <w:tc>
          <w:tcPr>
            <w:tcW w:type="dxa" w:w="1440"/>
            <w:shd w:fill="C6EFCE" w:val="clear"/>
          </w:tcPr>
          <w:p>
            <w:r>
              <w:rPr>
                <w:b/>
                <w:sz w:val="17"/>
              </w:rPr>
              <w:t>58,425</w:t>
            </w:r>
          </w:p>
        </w:tc>
        <w:tc>
          <w:tcPr>
            <w:tcW w:type="dxa" w:w="1440"/>
            <w:shd w:fill="C6EFCE" w:val="clear"/>
          </w:tcPr>
          <w:p>
            <w:r>
              <w:rPr>
                <w:sz w:val="17"/>
              </w:rPr>
              <w:t>66,886</w:t>
            </w:r>
          </w:p>
        </w:tc>
        <w:tc>
          <w:tcPr>
            <w:tcW w:type="dxa" w:w="1440"/>
            <w:shd w:fill="C6EFCE" w:val="clear"/>
          </w:tcPr>
          <w:p>
            <w:r>
              <w:rPr>
                <w:b/>
                <w:color w:val="008000"/>
                <w:sz w:val="17"/>
              </w:rPr>
              <w:t>+7.5%</w:t>
            </w:r>
          </w:p>
        </w:tc>
      </w:tr>
      <w:tr>
        <w:tc>
          <w:tcPr>
            <w:tcW w:type="dxa" w:w="1440"/>
            <w:shd w:fill="C6EFCE" w:val="clear"/>
          </w:tcPr>
          <w:p>
            <w:r>
              <w:rPr>
                <w:sz w:val="17"/>
              </w:rPr>
              <w:t>J+7  ⭐</w:t>
            </w:r>
          </w:p>
        </w:tc>
        <w:tc>
          <w:tcPr>
            <w:tcW w:type="dxa" w:w="1440"/>
            <w:shd w:fill="C6EFCE" w:val="clear"/>
          </w:tcPr>
          <w:p>
            <w:r>
              <w:rPr>
                <w:sz w:val="17"/>
              </w:rPr>
              <w:t>2026-09-15</w:t>
            </w:r>
          </w:p>
        </w:tc>
        <w:tc>
          <w:tcPr>
            <w:tcW w:type="dxa" w:w="1440"/>
            <w:shd w:fill="C6EFCE" w:val="clear"/>
          </w:tcPr>
          <w:p>
            <w:r>
              <w:rPr>
                <w:sz w:val="17"/>
              </w:rPr>
              <w:t>49,833</w:t>
            </w:r>
          </w:p>
        </w:tc>
        <w:tc>
          <w:tcPr>
            <w:tcW w:type="dxa" w:w="1440"/>
            <w:shd w:fill="C6EFCE" w:val="clear"/>
          </w:tcPr>
          <w:p>
            <w:r>
              <w:rPr>
                <w:b/>
                <w:sz w:val="17"/>
              </w:rPr>
              <w:t>59,072</w:t>
            </w:r>
          </w:p>
        </w:tc>
        <w:tc>
          <w:tcPr>
            <w:tcW w:type="dxa" w:w="1440"/>
            <w:shd w:fill="C6EFCE" w:val="clear"/>
          </w:tcPr>
          <w:p>
            <w:r>
              <w:rPr>
                <w:sz w:val="17"/>
              </w:rPr>
              <w:t>68,311</w:t>
            </w:r>
          </w:p>
        </w:tc>
        <w:tc>
          <w:tcPr>
            <w:tcW w:type="dxa" w:w="1440"/>
            <w:shd w:fill="C6EFCE" w:val="clear"/>
          </w:tcPr>
          <w:p>
            <w:r>
              <w:rPr>
                <w:b/>
                <w:color w:val="008000"/>
                <w:sz w:val="17"/>
              </w:rPr>
              <w:t>+8.7%</w:t>
            </w:r>
          </w:p>
        </w:tc>
      </w:tr>
      <w:tr>
        <w:tc>
          <w:tcPr>
            <w:tcW w:type="dxa" w:w="1440"/>
            <w:shd w:fill="C6EFCE" w:val="clear"/>
          </w:tcPr>
          <w:p>
            <w:r>
              <w:rPr>
                <w:sz w:val="17"/>
              </w:rPr>
              <w:t>J+8  ⭐</w:t>
            </w:r>
          </w:p>
        </w:tc>
        <w:tc>
          <w:tcPr>
            <w:tcW w:type="dxa" w:w="1440"/>
            <w:shd w:fill="C6EFCE" w:val="clear"/>
          </w:tcPr>
          <w:p>
            <w:r>
              <w:rPr>
                <w:sz w:val="17"/>
              </w:rPr>
              <w:t>2026-09-16</w:t>
            </w:r>
          </w:p>
        </w:tc>
        <w:tc>
          <w:tcPr>
            <w:tcW w:type="dxa" w:w="1440"/>
            <w:shd w:fill="C6EFCE" w:val="clear"/>
          </w:tcPr>
          <w:p>
            <w:r>
              <w:rPr>
                <w:sz w:val="17"/>
              </w:rPr>
              <w:t>49,737</w:t>
            </w:r>
          </w:p>
        </w:tc>
        <w:tc>
          <w:tcPr>
            <w:tcW w:type="dxa" w:w="1440"/>
            <w:shd w:fill="C6EFCE" w:val="clear"/>
          </w:tcPr>
          <w:p>
            <w:r>
              <w:rPr>
                <w:b/>
                <w:sz w:val="17"/>
              </w:rPr>
              <w:t>59,723</w:t>
            </w:r>
          </w:p>
        </w:tc>
        <w:tc>
          <w:tcPr>
            <w:tcW w:type="dxa" w:w="1440"/>
            <w:shd w:fill="C6EFCE" w:val="clear"/>
          </w:tcPr>
          <w:p>
            <w:r>
              <w:rPr>
                <w:sz w:val="17"/>
              </w:rPr>
              <w:t>69,709</w:t>
            </w:r>
          </w:p>
        </w:tc>
        <w:tc>
          <w:tcPr>
            <w:tcW w:type="dxa" w:w="1440"/>
            <w:shd w:fill="C6EFCE" w:val="clear"/>
          </w:tcPr>
          <w:p>
            <w:r>
              <w:rPr>
                <w:b/>
                <w:color w:val="008000"/>
                <w:sz w:val="17"/>
              </w:rPr>
              <w:t>+9.9%</w:t>
            </w:r>
          </w:p>
        </w:tc>
      </w:tr>
      <w:tr>
        <w:tc>
          <w:tcPr>
            <w:tcW w:type="dxa" w:w="1440"/>
            <w:shd w:fill="C6EFCE" w:val="clear"/>
          </w:tcPr>
          <w:p>
            <w:r>
              <w:rPr>
                <w:sz w:val="17"/>
              </w:rPr>
              <w:t>J+9  ⭐</w:t>
            </w:r>
          </w:p>
        </w:tc>
        <w:tc>
          <w:tcPr>
            <w:tcW w:type="dxa" w:w="1440"/>
            <w:shd w:fill="C6EFCE" w:val="clear"/>
          </w:tcPr>
          <w:p>
            <w:r>
              <w:rPr>
                <w:sz w:val="17"/>
              </w:rPr>
              <w:t>2026-09-17</w:t>
            </w:r>
          </w:p>
        </w:tc>
        <w:tc>
          <w:tcPr>
            <w:tcW w:type="dxa" w:w="1440"/>
            <w:shd w:fill="C6EFCE" w:val="clear"/>
          </w:tcPr>
          <w:p>
            <w:r>
              <w:rPr>
                <w:sz w:val="17"/>
              </w:rPr>
              <w:t>49,669</w:t>
            </w:r>
          </w:p>
        </w:tc>
        <w:tc>
          <w:tcPr>
            <w:tcW w:type="dxa" w:w="1440"/>
            <w:shd w:fill="C6EFCE" w:val="clear"/>
          </w:tcPr>
          <w:p>
            <w:r>
              <w:rPr>
                <w:b/>
                <w:sz w:val="17"/>
              </w:rPr>
              <w:t>60,376</w:t>
            </w:r>
          </w:p>
        </w:tc>
        <w:tc>
          <w:tcPr>
            <w:tcW w:type="dxa" w:w="1440"/>
            <w:shd w:fill="C6EFCE" w:val="clear"/>
          </w:tcPr>
          <w:p>
            <w:r>
              <w:rPr>
                <w:sz w:val="17"/>
              </w:rPr>
              <w:t>71,084</w:t>
            </w:r>
          </w:p>
        </w:tc>
        <w:tc>
          <w:tcPr>
            <w:tcW w:type="dxa" w:w="1440"/>
            <w:shd w:fill="C6EFCE" w:val="clear"/>
          </w:tcPr>
          <w:p>
            <w:r>
              <w:rPr>
                <w:b/>
                <w:color w:val="008000"/>
                <w:sz w:val="17"/>
              </w:rPr>
              <w:t>+11.1%</w:t>
            </w:r>
          </w:p>
        </w:tc>
      </w:tr>
      <w:tr>
        <w:tc>
          <w:tcPr>
            <w:tcW w:type="dxa" w:w="1440"/>
            <w:shd w:fill="C6EFCE" w:val="clear"/>
          </w:tcPr>
          <w:p>
            <w:r>
              <w:rPr>
                <w:sz w:val="17"/>
              </w:rPr>
              <w:t>J+10  ⭐</w:t>
            </w:r>
          </w:p>
        </w:tc>
        <w:tc>
          <w:tcPr>
            <w:tcW w:type="dxa" w:w="1440"/>
            <w:shd w:fill="C6EFCE" w:val="clear"/>
          </w:tcPr>
          <w:p>
            <w:r>
              <w:rPr>
                <w:sz w:val="17"/>
              </w:rPr>
              <w:t>2026-09-18</w:t>
            </w:r>
          </w:p>
        </w:tc>
        <w:tc>
          <w:tcPr>
            <w:tcW w:type="dxa" w:w="1440"/>
            <w:shd w:fill="C6EFCE" w:val="clear"/>
          </w:tcPr>
          <w:p>
            <w:r>
              <w:rPr>
                <w:sz w:val="17"/>
              </w:rPr>
              <w:t>49,623</w:t>
            </w:r>
          </w:p>
        </w:tc>
        <w:tc>
          <w:tcPr>
            <w:tcW w:type="dxa" w:w="1440"/>
            <w:shd w:fill="C6EFCE" w:val="clear"/>
          </w:tcPr>
          <w:p>
            <w:r>
              <w:rPr>
                <w:b/>
                <w:sz w:val="17"/>
              </w:rPr>
              <w:t>61,032</w:t>
            </w:r>
          </w:p>
        </w:tc>
        <w:tc>
          <w:tcPr>
            <w:tcW w:type="dxa" w:w="1440"/>
            <w:shd w:fill="C6EFCE" w:val="clear"/>
          </w:tcPr>
          <w:p>
            <w:r>
              <w:rPr>
                <w:sz w:val="17"/>
              </w:rPr>
              <w:t>72,442</w:t>
            </w:r>
          </w:p>
        </w:tc>
        <w:tc>
          <w:tcPr>
            <w:tcW w:type="dxa" w:w="1440"/>
            <w:shd w:fill="C6EFCE" w:val="clear"/>
          </w:tcPr>
          <w:p>
            <w:r>
              <w:rPr>
                <w:b/>
                <w:color w:val="008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 — BRVM**</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499,12 milliards FCFA, un niveau substantiel qui la positionne parmi les valeurs à grande capitalisation de la BRVM, lui conférant un poids significatif dans l'indice composite. Les ratios de valorisation (BPA, PER, P/B, EV/EBITDA) ne sont pas calculables en raison de l'absence de données financières structurées dans la base de données. Cette situation est principalement due à la structure financière atypique de la société, marquée par des capitaux propres négatifs et des bénéfices historiquement volatils, ce qui rend les multiples de valorisation traditionnels peu pertinents ou non représentatifs de la réalité économique. Par ailleurs, le cours actuel de 54 350 FCFA, rapporté aux bénéfices modestes des derniers exercices, suggère un PER potentiellement élevé, indiquant que le marché valorise davantage la marque et le potentiel de redressement que les bénéfices courants. Cette absence de ratios standardisés impose une analyse basée sur les données de marché et les rapports fondamentaux disponibles.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-16,38%, illustrant une tendance baissière marquée, bien que la dernière séance affiche un rebond de +0,65% à 54 350 FCFA. Le titre a évolué dans une fourchette de 50 000 à 65 000 FCFA, démontrant une amplitude de trading considérable. La moyenne du cours sur la période (56 246 FCFA) est supérieure à la médiane (56 010 FCFA), indiquant une distribution légèrement asymétrique avec quelques pics à la hausse. L'écart-type de 3 140 FCFA, avec un coefficient de variation de 5,6%, révèle une dispersion modérée autour de la moyenne. Le kurtosis de -0,244 (mésokurtique) suggère une distribution proche de la normale, sans risque de variations extrêmes, tandis que le skewness de 0,220 confirme une asymétrie positive, avec une queue de distribution allongée vers les valeurs hautes. La volatilité annualisée de 60,1% est extrêmement élevée, classant UNLC comme un titre à risque majeur,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La MM20 (54 662 FCFA) et la MM50 (54 061,8 FCFA) sont toutes deux proches du cours actuel (54 350 FCFA), avec une MM20 supérieure à la MM50, indiquant un début de retournement haussier à court terme. Le signal d'achat généré par ces moyennes suggère que la dynamique baissière pourrait s'essouffler, le titre se stabilisant au-dessus de ses supports mobiles clés.</w:t>
      </w:r>
    </w:p>
    <w:p>
      <w:pPr>
        <w:spacing w:after="120" w:line="276" w:lineRule="auto"/>
      </w:pPr>
      <w:r>
        <w:t>**Bandes de Bollinger** : Le cours se positionne à 54 350 FCFA, entre la borne inférieure (50 953,9 FCFA) et la borne supérieure (58 370,1 FCFA), avec une largeur de bandes significative reflétant la volatilité élevée. La décision neutre indique que le prix évolue dans la zone médiane, sans signal directionnel fort, laissant place à une consolidation avant un mouvement potentiel.</w:t>
      </w:r>
    </w:p>
    <w:p>
      <w:pPr>
        <w:spacing w:after="120" w:line="276" w:lineRule="auto"/>
      </w:pPr>
      <w:r>
        <w:t>**MACD** : La valeur MACD (-34,845) est inférieure à son signal (-9,302), générant un signal de vente. Cette configuration, bien que négative, montre un écart qui se réduit, suggérant un affaiblissement de la dynamique baissière. Le momentum reste négatif mais pourrait s'inverser si la convergence se poursuit.</w:t>
      </w:r>
    </w:p>
    <w:p>
      <w:pPr>
        <w:spacing w:after="120" w:line="276" w:lineRule="auto"/>
      </w:pPr>
      <w:r>
        <w:t>**RSI** : À 39,736, le RSI se situe en zone neutre, proche du seuil de survente (30). Cette valeur indique que le titre n'est ni suracheté ni survendu, laissant une marge de manœuvre pour un potentiel rebond. La pression vendeuse semble se modérer, mais sans signal d'achat fort.</w:t>
      </w:r>
    </w:p>
    <w:p>
      <w:pPr>
        <w:spacing w:after="120" w:line="276" w:lineRule="auto"/>
      </w:pPr>
      <w:r>
        <w:t>**Stochastique** : Le %K (39,167) est supérieur au %D (35,278), indiquant un croisement haussier naissant. Cette configuration, bien que neutre, suggère un potentiel de reprise à court terme, le %K ayant dépassé son signal.</w:t>
      </w:r>
    </w:p>
    <w:p>
      <w:pPr>
        <w:spacing w:after="120" w:line="276" w:lineRule="auto"/>
      </w:pPr>
      <w:r>
        <w:t>**Conclusion technique** : Les indicateurs techniques sont mitigés, avec un signal d'achat des moyennes mobiles contrastant avec le signal de vente du MACD. Les oscillateurs (RSI et Stochastique) restent neutres, suggérant une phase de consolidation. La tendance globale reste baissière, mais les signaux de stabilisation se multiplient, laissant présager un possible retournement si le cours maintient ses niveaux actuels.</w:t>
      </w:r>
    </w:p>
    <w:p>
      <w:pPr>
        <w:spacing w:after="120" w:line="276" w:lineRule="auto" w:before="240"/>
      </w:pPr>
      <w:r>
        <w:rPr>
          <w:b/>
          <w:color w:val="003366"/>
          <w:sz w:val="24"/>
        </w:rPr>
        <w:t>**PARTIE 3 : ANALYSE FONDAMENTALE (SECTION CRITIQUE)**</w:t>
      </w:r>
    </w:p>
    <w:p>
      <w:pPr>
        <w:spacing w:after="120" w:line="276" w:lineRule="auto"/>
      </w:pPr>
      <w:r>
        <w:t>Les états financiers disponibles, bien qu'anciens (datant de 2024-12-31 pour le plus récent), révèlent une situation financière précaire. En 2023, UNLC a réalisé un chiffre d'affaires de 24,336 milliards FCFA, stable par rapport à 2022, avec un bénéfice net de 640 millions FCFA, en amélioration par rapport à la perte massive de 6,9 milliards FCFA en 2022. La marge nette de 2,63% en 2023 reste nettement inférieure à la moyenne sectorielle de 5-10%. Le résultat d'exploitation s'est redressé à +3,34 milliards FCFA en 2023, contre -6,26 milliards en 2022, grâce à une meilleure gestion des coûts. Cependant, les capitaux propres demeurent négatifs à -10,658 milliards FCFA, reflétant des pertes cumulées non absorbées. L'endettement financier s'élève à 4,379 milliards FCFA, avec une trésorerie passive de 14,874 milliards FCFA, indiquant un risque de liquidité. Le rapport de 2022 confirme la tendance avec un CA de 24,336 milliards FCFA et une perte nette de 6,38 milliards FCFA. Les rapports de 2021 montrent un bénéfice de 6,09 milliards FCFA, mais cette performance était due à des produits exceptionnels liés à la cession de l'activité Thé. Les perspectives de redressement restent incertaines, la société n'ayant versé aucun dividende depuis plusieurs exercices. La recommandation fondamentale est de conserver avec vigilance, en surveillant l'évolution des marges et la capacité à reconstituer les capitaux propres.</w:t>
      </w:r>
    </w:p>
    <w:p>
      <w:pPr>
        <w:spacing w:after="120" w:line="276" w:lineRule="auto" w:before="240"/>
      </w:pPr>
      <w:r>
        <w:rPr>
          <w:b/>
          <w:color w:val="003366"/>
          <w:sz w:val="24"/>
        </w:rPr>
        <w:t>**PARTIE 4 : CONCLUSION D'INVESTISSEMENT**</w:t>
      </w:r>
    </w:p>
    <w:p>
      <w:pPr>
        <w:spacing w:after="120" w:line="276" w:lineRule="auto"/>
      </w:pPr>
      <w:r>
        <w:t>La synthèse des analyses révèle une situation complexe pour UNLC. La valorisation boursière (Partie 0) ne peut être évaluée par les ratios traditionnels, mais la capitalisation de 499 milliards FCFA paraît élevée au regard des fondamentaux fragiles. Le comportement du cours (Partie 1) montre une tendance baissière avec une volatilité extrême de 60,1%, un signal préoccupant pour les investisseurs averses au risque. Les signaux techniques (Partie 2) sont mitigés, avec une possible stabilisation mais sans confirmation directionnelle forte. Les fondamentaux (Partie 3) indiquent une amélioration en 2023, mais la structure financière reste précaire avec des capitaux propres négatifs. Les prédictions IA pour les 10 prochains jours (54 443 à 57 784 FCFA) suggèrent une trajectoire haussière progressive, contredisant la tendance baissière récente mais confirmant les signaux techniques de stabilisation. Cette convergence entre les prédictions et les indicateurs techniques de retournement, malgré des fondamentaux faibles, conduit à une recommandation de **CONSERVER**. Le niveau de confiance est **Moyen**, le risque global est **Élevé**, et l'horizon d'investissement optimal serait le **moyen terme (3-12 mois)**, en attendant une confirmation du redressement financier et une stabilisation des capitaux propres.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49.90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13,171 titres</w:t>
            </w:r>
          </w:p>
        </w:tc>
        <w:tc>
          <w:tcPr>
            <w:tcW w:type="dxa" w:w="2268"/>
            <w:shd w:fill="FFF2CC" w:val="clear"/>
          </w:tcPr>
          <w:p>
            <w:r>
              <w:rPr>
                <w:b/>
                <w:color w:val="503200"/>
                <w:sz w:val="16"/>
              </w:rPr>
              <w:t xml:space="preserve">Cours actuel : </w:t>
            </w:r>
            <w:r>
              <w:rPr>
                <w:color w:val="000000"/>
                <w:sz w:val="17"/>
              </w:rPr>
              <w:t>2,405 FCFA</w:t>
            </w:r>
          </w:p>
          <w:p>
            <w:r>
              <w:rPr>
                <w:b/>
                <w:color w:val="503200"/>
                <w:sz w:val="16"/>
              </w:rPr>
              <w:t xml:space="preserve">Var. 100 jours : </w:t>
            </w:r>
            <w:r>
              <w:rPr>
                <w:b/>
                <w:color w:val="007800"/>
                <w:sz w:val="17"/>
              </w:rPr>
              <w:t>+22.70%</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19.8/100 → Faible</w:t>
      </w:r>
    </w:p>
    <w:p>
      <w:pPr>
        <w:spacing w:before="40" w:after="80"/>
      </w:pPr>
      <w:r>
        <w:rPr>
          <w:rFonts w:ascii="Courier New" w:hAnsi="Courier New"/>
          <w:color w:val="006400"/>
          <w:sz w:val="18"/>
        </w:rPr>
        <w:t>███░░░░░░░░░░░░░░░░░  19.8/100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13.08% (Moyenne) — μ=1,919 FCFA, σ=251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β=-0.0316 (Contre-cyclique) — Cov=-0.000001, Var(idx)=0.000037, ρ=-0.006,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13,171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2026-09-07</w:t>
            </w:r>
          </w:p>
        </w:tc>
        <w:tc>
          <w:tcPr>
            <w:tcW w:type="dxa" w:w="1440"/>
            <w:shd w:fill="FAFAFA" w:val="clear"/>
          </w:tcPr>
          <w:p>
            <w:r>
              <w:rPr>
                <w:sz w:val="17"/>
              </w:rPr>
              <w:t>2,280</w:t>
            </w:r>
          </w:p>
        </w:tc>
        <w:tc>
          <w:tcPr>
            <w:tcW w:type="dxa" w:w="1440"/>
            <w:shd w:fill="FAFAFA" w:val="clear"/>
          </w:tcPr>
          <w:p>
            <w:r>
              <w:rPr>
                <w:b/>
                <w:sz w:val="17"/>
              </w:rPr>
              <w:t>2,388</w:t>
            </w:r>
          </w:p>
        </w:tc>
        <w:tc>
          <w:tcPr>
            <w:tcW w:type="dxa" w:w="1440"/>
            <w:shd w:fill="FAFAFA" w:val="clear"/>
          </w:tcPr>
          <w:p>
            <w:r>
              <w:rPr>
                <w:sz w:val="17"/>
              </w:rPr>
              <w:t>2,497</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2026-09-08</w:t>
            </w:r>
          </w:p>
        </w:tc>
        <w:tc>
          <w:tcPr>
            <w:tcW w:type="dxa" w:w="1440"/>
            <w:shd w:fill="FAFAFA" w:val="clear"/>
          </w:tcPr>
          <w:p>
            <w:r>
              <w:rPr>
                <w:sz w:val="17"/>
              </w:rPr>
              <w:t>2,220</w:t>
            </w:r>
          </w:p>
        </w:tc>
        <w:tc>
          <w:tcPr>
            <w:tcW w:type="dxa" w:w="1440"/>
            <w:shd w:fill="FAFAFA" w:val="clear"/>
          </w:tcPr>
          <w:p>
            <w:r>
              <w:rPr>
                <w:b/>
                <w:sz w:val="17"/>
              </w:rPr>
              <w:t>2,373</w:t>
            </w:r>
          </w:p>
        </w:tc>
        <w:tc>
          <w:tcPr>
            <w:tcW w:type="dxa" w:w="1440"/>
            <w:shd w:fill="FAFAFA" w:val="clear"/>
          </w:tcPr>
          <w:p>
            <w:r>
              <w:rPr>
                <w:sz w:val="17"/>
              </w:rPr>
              <w:t>2,526</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2026-09-09</w:t>
            </w:r>
          </w:p>
        </w:tc>
        <w:tc>
          <w:tcPr>
            <w:tcW w:type="dxa" w:w="1440"/>
            <w:shd w:fill="FAFAFA" w:val="clear"/>
          </w:tcPr>
          <w:p>
            <w:r>
              <w:rPr>
                <w:sz w:val="17"/>
              </w:rPr>
              <w:t>2,172</w:t>
            </w:r>
          </w:p>
        </w:tc>
        <w:tc>
          <w:tcPr>
            <w:tcW w:type="dxa" w:w="1440"/>
            <w:shd w:fill="FAFAFA" w:val="clear"/>
          </w:tcPr>
          <w:p>
            <w:r>
              <w:rPr>
                <w:b/>
                <w:sz w:val="17"/>
              </w:rPr>
              <w:t>2,358</w:t>
            </w:r>
          </w:p>
        </w:tc>
        <w:tc>
          <w:tcPr>
            <w:tcW w:type="dxa" w:w="1440"/>
            <w:shd w:fill="FAFAFA" w:val="clear"/>
          </w:tcPr>
          <w:p>
            <w:r>
              <w:rPr>
                <w:sz w:val="17"/>
              </w:rPr>
              <w:t>2,544</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2026-09-10</w:t>
            </w:r>
          </w:p>
        </w:tc>
        <w:tc>
          <w:tcPr>
            <w:tcW w:type="dxa" w:w="1440"/>
            <w:shd w:fill="FFDCE0" w:val="clear"/>
          </w:tcPr>
          <w:p>
            <w:r>
              <w:rPr>
                <w:sz w:val="17"/>
              </w:rPr>
              <w:t>2,131</w:t>
            </w:r>
          </w:p>
        </w:tc>
        <w:tc>
          <w:tcPr>
            <w:tcW w:type="dxa" w:w="1440"/>
            <w:shd w:fill="FFDCE0" w:val="clear"/>
          </w:tcPr>
          <w:p>
            <w:r>
              <w:rPr>
                <w:b/>
                <w:sz w:val="17"/>
              </w:rPr>
              <w:t>2,344</w:t>
            </w:r>
          </w:p>
        </w:tc>
        <w:tc>
          <w:tcPr>
            <w:tcW w:type="dxa" w:w="1440"/>
            <w:shd w:fill="FFDCE0" w:val="clear"/>
          </w:tcPr>
          <w:p>
            <w:r>
              <w:rPr>
                <w:sz w:val="17"/>
              </w:rPr>
              <w:t>2,557</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2026-09-11</w:t>
            </w:r>
          </w:p>
        </w:tc>
        <w:tc>
          <w:tcPr>
            <w:tcW w:type="dxa" w:w="1440"/>
            <w:shd w:fill="FFDCE0" w:val="clear"/>
          </w:tcPr>
          <w:p>
            <w:r>
              <w:rPr>
                <w:sz w:val="17"/>
              </w:rPr>
              <w:t>2,093</w:t>
            </w:r>
          </w:p>
        </w:tc>
        <w:tc>
          <w:tcPr>
            <w:tcW w:type="dxa" w:w="1440"/>
            <w:shd w:fill="FFDCE0" w:val="clear"/>
          </w:tcPr>
          <w:p>
            <w:r>
              <w:rPr>
                <w:b/>
                <w:sz w:val="17"/>
              </w:rPr>
              <w:t>2,330</w:t>
            </w:r>
          </w:p>
        </w:tc>
        <w:tc>
          <w:tcPr>
            <w:tcW w:type="dxa" w:w="1440"/>
            <w:shd w:fill="FFDCE0" w:val="clear"/>
          </w:tcPr>
          <w:p>
            <w:r>
              <w:rPr>
                <w:sz w:val="17"/>
              </w:rPr>
              <w:t>2,567</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2026-09-14</w:t>
            </w:r>
          </w:p>
        </w:tc>
        <w:tc>
          <w:tcPr>
            <w:tcW w:type="dxa" w:w="1440"/>
            <w:shd w:fill="FFDCE0" w:val="clear"/>
          </w:tcPr>
          <w:p>
            <w:r>
              <w:rPr>
                <w:sz w:val="17"/>
              </w:rPr>
              <w:t>2,058</w:t>
            </w:r>
          </w:p>
        </w:tc>
        <w:tc>
          <w:tcPr>
            <w:tcW w:type="dxa" w:w="1440"/>
            <w:shd w:fill="FFDCE0" w:val="clear"/>
          </w:tcPr>
          <w:p>
            <w:r>
              <w:rPr>
                <w:b/>
                <w:sz w:val="17"/>
              </w:rPr>
              <w:t>2,316</w:t>
            </w:r>
          </w:p>
        </w:tc>
        <w:tc>
          <w:tcPr>
            <w:tcW w:type="dxa" w:w="1440"/>
            <w:shd w:fill="FFDCE0" w:val="clear"/>
          </w:tcPr>
          <w:p>
            <w:r>
              <w:rPr>
                <w:sz w:val="17"/>
              </w:rPr>
              <w:t>2,574</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2026-09-15</w:t>
            </w:r>
          </w:p>
        </w:tc>
        <w:tc>
          <w:tcPr>
            <w:tcW w:type="dxa" w:w="1440"/>
            <w:shd w:fill="FFDCE0" w:val="clear"/>
          </w:tcPr>
          <w:p>
            <w:r>
              <w:rPr>
                <w:sz w:val="17"/>
              </w:rPr>
              <w:t>2,025</w:t>
            </w:r>
          </w:p>
        </w:tc>
        <w:tc>
          <w:tcPr>
            <w:tcW w:type="dxa" w:w="1440"/>
            <w:shd w:fill="FFDCE0" w:val="clear"/>
          </w:tcPr>
          <w:p>
            <w:r>
              <w:rPr>
                <w:b/>
                <w:sz w:val="17"/>
              </w:rPr>
              <w:t>2,302</w:t>
            </w:r>
          </w:p>
        </w:tc>
        <w:tc>
          <w:tcPr>
            <w:tcW w:type="dxa" w:w="1440"/>
            <w:shd w:fill="FFDCE0" w:val="clear"/>
          </w:tcPr>
          <w:p>
            <w:r>
              <w:rPr>
                <w:sz w:val="17"/>
              </w:rPr>
              <w:t>2,580</w:t>
            </w:r>
          </w:p>
        </w:tc>
        <w:tc>
          <w:tcPr>
            <w:tcW w:type="dxa" w:w="1440"/>
            <w:shd w:fill="FFDCE0" w:val="clear"/>
          </w:tcPr>
          <w:p>
            <w:r>
              <w:rPr>
                <w:b/>
                <w:color w:val="C00000"/>
                <w:sz w:val="17"/>
              </w:rPr>
              <w:t>-4.3%</w:t>
            </w:r>
          </w:p>
        </w:tc>
      </w:tr>
      <w:tr>
        <w:tc>
          <w:tcPr>
            <w:tcW w:type="dxa" w:w="1440"/>
            <w:shd w:fill="FFDCE0" w:val="clear"/>
          </w:tcPr>
          <w:p>
            <w:r>
              <w:rPr>
                <w:sz w:val="17"/>
              </w:rPr>
              <w:t>J+8  ⭐</w:t>
            </w:r>
          </w:p>
        </w:tc>
        <w:tc>
          <w:tcPr>
            <w:tcW w:type="dxa" w:w="1440"/>
            <w:shd w:fill="FFDCE0" w:val="clear"/>
          </w:tcPr>
          <w:p>
            <w:r>
              <w:rPr>
                <w:sz w:val="17"/>
              </w:rPr>
              <w:t>2026-09-16</w:t>
            </w:r>
          </w:p>
        </w:tc>
        <w:tc>
          <w:tcPr>
            <w:tcW w:type="dxa" w:w="1440"/>
            <w:shd w:fill="FFDCE0" w:val="clear"/>
          </w:tcPr>
          <w:p>
            <w:r>
              <w:rPr>
                <w:sz w:val="17"/>
              </w:rPr>
              <w:t>1,994</w:t>
            </w:r>
          </w:p>
        </w:tc>
        <w:tc>
          <w:tcPr>
            <w:tcW w:type="dxa" w:w="1440"/>
            <w:shd w:fill="FFDCE0" w:val="clear"/>
          </w:tcPr>
          <w:p>
            <w:r>
              <w:rPr>
                <w:b/>
                <w:sz w:val="17"/>
              </w:rPr>
              <w:t>2,289</w:t>
            </w:r>
          </w:p>
        </w:tc>
        <w:tc>
          <w:tcPr>
            <w:tcW w:type="dxa" w:w="1440"/>
            <w:shd w:fill="FFDCE0" w:val="clear"/>
          </w:tcPr>
          <w:p>
            <w:r>
              <w:rPr>
                <w:sz w:val="17"/>
              </w:rPr>
              <w:t>2,583</w:t>
            </w:r>
          </w:p>
        </w:tc>
        <w:tc>
          <w:tcPr>
            <w:tcW w:type="dxa" w:w="1440"/>
            <w:shd w:fill="FFDCE0" w:val="clear"/>
          </w:tcPr>
          <w:p>
            <w:r>
              <w:rPr>
                <w:b/>
                <w:color w:val="C00000"/>
                <w:sz w:val="17"/>
              </w:rPr>
              <w:t>-4.8%</w:t>
            </w:r>
          </w:p>
        </w:tc>
      </w:tr>
      <w:tr>
        <w:tc>
          <w:tcPr>
            <w:tcW w:type="dxa" w:w="1440"/>
            <w:shd w:fill="FFDCE0" w:val="clear"/>
          </w:tcPr>
          <w:p>
            <w:r>
              <w:rPr>
                <w:sz w:val="17"/>
              </w:rPr>
              <w:t>J+9  ⭐</w:t>
            </w:r>
          </w:p>
        </w:tc>
        <w:tc>
          <w:tcPr>
            <w:tcW w:type="dxa" w:w="1440"/>
            <w:shd w:fill="FFDCE0" w:val="clear"/>
          </w:tcPr>
          <w:p>
            <w:r>
              <w:rPr>
                <w:sz w:val="17"/>
              </w:rPr>
              <w:t>2026-09-17</w:t>
            </w:r>
          </w:p>
        </w:tc>
        <w:tc>
          <w:tcPr>
            <w:tcW w:type="dxa" w:w="1440"/>
            <w:shd w:fill="FFDCE0" w:val="clear"/>
          </w:tcPr>
          <w:p>
            <w:r>
              <w:rPr>
                <w:sz w:val="17"/>
              </w:rPr>
              <w:t>1,965</w:t>
            </w:r>
          </w:p>
        </w:tc>
        <w:tc>
          <w:tcPr>
            <w:tcW w:type="dxa" w:w="1440"/>
            <w:shd w:fill="FFDCE0" w:val="clear"/>
          </w:tcPr>
          <w:p>
            <w:r>
              <w:rPr>
                <w:b/>
                <w:sz w:val="17"/>
              </w:rPr>
              <w:t>2,275</w:t>
            </w:r>
          </w:p>
        </w:tc>
        <w:tc>
          <w:tcPr>
            <w:tcW w:type="dxa" w:w="1440"/>
            <w:shd w:fill="FFDCE0" w:val="clear"/>
          </w:tcPr>
          <w:p>
            <w:r>
              <w:rPr>
                <w:sz w:val="17"/>
              </w:rPr>
              <w:t>2,586</w:t>
            </w:r>
          </w:p>
        </w:tc>
        <w:tc>
          <w:tcPr>
            <w:tcW w:type="dxa" w:w="1440"/>
            <w:shd w:fill="FFDCE0" w:val="clear"/>
          </w:tcPr>
          <w:p>
            <w:r>
              <w:rPr>
                <w:b/>
                <w:color w:val="C00000"/>
                <w:sz w:val="17"/>
              </w:rPr>
              <w:t>-5.4%</w:t>
            </w:r>
          </w:p>
        </w:tc>
      </w:tr>
      <w:tr>
        <w:tc>
          <w:tcPr>
            <w:tcW w:type="dxa" w:w="1440"/>
            <w:shd w:fill="FFDCE0" w:val="clear"/>
          </w:tcPr>
          <w:p>
            <w:r>
              <w:rPr>
                <w:sz w:val="17"/>
              </w:rPr>
              <w:t>J+10  ⭐</w:t>
            </w:r>
          </w:p>
        </w:tc>
        <w:tc>
          <w:tcPr>
            <w:tcW w:type="dxa" w:w="1440"/>
            <w:shd w:fill="FFDCE0" w:val="clear"/>
          </w:tcPr>
          <w:p>
            <w:r>
              <w:rPr>
                <w:sz w:val="17"/>
              </w:rPr>
              <w:t>2026-09-18</w:t>
            </w:r>
          </w:p>
        </w:tc>
        <w:tc>
          <w:tcPr>
            <w:tcW w:type="dxa" w:w="1440"/>
            <w:shd w:fill="FFDCE0" w:val="clear"/>
          </w:tcPr>
          <w:p>
            <w:r>
              <w:rPr>
                <w:sz w:val="17"/>
              </w:rPr>
              <w:t>1,936</w:t>
            </w:r>
          </w:p>
        </w:tc>
        <w:tc>
          <w:tcPr>
            <w:tcW w:type="dxa" w:w="1440"/>
            <w:shd w:fill="FFDCE0" w:val="clear"/>
          </w:tcPr>
          <w:p>
            <w:r>
              <w:rPr>
                <w:b/>
                <w:sz w:val="17"/>
              </w:rPr>
              <w:t>2,262</w:t>
            </w:r>
          </w:p>
        </w:tc>
        <w:tc>
          <w:tcPr>
            <w:tcW w:type="dxa" w:w="1440"/>
            <w:shd w:fill="FFDCE0" w:val="clear"/>
          </w:tcPr>
          <w:p>
            <w:r>
              <w:rPr>
                <w:sz w:val="17"/>
              </w:rPr>
              <w:t>2,588</w:t>
            </w:r>
          </w:p>
        </w:tc>
        <w:tc>
          <w:tcPr>
            <w:tcW w:type="dxa" w:w="1440"/>
            <w:shd w:fill="FFDCE0" w:val="clear"/>
          </w:tcPr>
          <w:p>
            <w:r>
              <w:rPr>
                <w:b/>
                <w:color w:val="C00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49,90 milliards FCFA, ce qui la positionne comme une valeur de taille moyenne sur la BRVM. Le BPA est négatif à -105 FCFA, reflétant la perte nette de 2,189 milliards FCFA enregistrée en 2024 ; par conséquent, le PER est également négatif (-22,8x), indiquant que les investisseurs ne peuvent pas valoriser la société sur la base de ses bénéfices actuels. En revanche, le P/B de 3,20x suggère que le marché accorde une prime de croissance significative par rapport aux capitaux propres comptables (15,591 Mds FCFA), ce qui témoigne d'un pari sur le redressement futur. Le ratio EV/EBITDA n'est pas calculable en raison de l'EBITDA négatif, mais la faiblesse des dettes financières (328 millions FCFA) par rapport à la capitalisation indique une structure financière peu endettée, un point positif dans un contexte de pertes récurrentes.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 enregistré une progression spectaculaire de +22,70%, malgré une légère baisse de -0,82% lors de la dernière séance, pour s'établir à 2 405 FCFA. Le titre a évolué dans une fourchette très large, allant d'un plus bas de 1 250 FCFA à un plus haut de 2 495 FCFA, soit un doublement de valeur sur la période, ce qui illustre un momentum haussier extrêmement fort. La moyenne (1 919 FCFA) et la médiane (1 900 FCFA) sont très proches, indiquant une distribution relativement symétrique des prix, confirmée par un skewness de 0,289. L'écart-type de 252 FCFA (CV = 13,1%) révèle une dispersion modérée autour de la moyenne, mais le kurtosis de 1,130 signale un risque de mouvements extrêmes (queues épaisses). La volatilité annualisée de 50,9% est très élevée (&gt;30%), classant UNXC comme un titre spéculatif à fort risque de fluctuation.</w:t>
      </w:r>
    </w:p>
    <w:p>
      <w:pPr>
        <w:spacing w:after="120" w:line="276" w:lineRule="auto" w:before="240"/>
      </w:pPr>
      <w:r>
        <w:rPr>
          <w:b/>
          <w:color w:val="003366"/>
          <w:sz w:val="24"/>
        </w:rPr>
        <w:t>**PARTIE 2 : ANALYSE TECHNIQUE DÉTAILLÉE**</w:t>
      </w:r>
    </w:p>
    <w:p>
      <w:pPr>
        <w:spacing w:after="120" w:line="276" w:lineRule="auto"/>
      </w:pPr>
      <w:r>
        <w:t>Les **Moyennes Mobiles** (MM20 à 2 263 FCFA et MM50 à 1 949,7 FCFA) sont toutes deux inférieures au cours actuel de 2 405 FCFA, confirmant une tendance haussière de court et moyen terme. La configuration en "courbe ascendante" (MM20 &gt; MM50) génère un signal d'**Achat**, indiquant que la dynamique positive est solidement installée.</w:t>
      </w:r>
    </w:p>
    <w:p>
      <w:pPr>
        <w:spacing w:after="120" w:line="276" w:lineRule="auto"/>
      </w:pPr>
      <w:r>
        <w:t>Les **Bandes de Bollinger** présentent un écartement important (borne supérieure à 2 738,5 FCFA et borne inférieure à 1 787,5 FCFA), témoignant d'une volatilité accrue. Le prix à 2 405 FCFA se situe dans la partie supérieure de la bande, mais sans toucher la borne haute, ce qui suggère une pression acheteuse soutenue sans condition de surachat extrême. La décision est **Neutre**.</w:t>
      </w:r>
    </w:p>
    <w:p>
      <w:pPr>
        <w:spacing w:after="120" w:line="276" w:lineRule="auto"/>
      </w:pPr>
      <w:r>
        <w:t>Le **MACD** affiche une valeur (147,7) légèrement inférieure à son signal (152,6), indiquant un affaiblissement du momentum haussier à très court terme. Cette divergence négative, bien que modérée, génère un signal de **Vente**, suggérant une possible consolidation ou correction après la forte hausse.</w:t>
      </w:r>
    </w:p>
    <w:p>
      <w:pPr>
        <w:spacing w:after="120" w:line="276" w:lineRule="auto"/>
      </w:pPr>
      <w:r>
        <w:t>Le **RSI** à 77,93 est en zone de surachat (&gt;70), signalant que le titre est techniquement surévalué à court terme. Ce niveau élevé indique que la pression acheteuse est excessive et qu'un repli technique est probable, justifiant une décision de **Vente**.</w:t>
      </w:r>
    </w:p>
    <w:p>
      <w:pPr>
        <w:spacing w:after="120" w:line="276" w:lineRule="auto"/>
      </w:pPr>
      <w:r>
        <w:t>Le **Stochastique** (%K à 76,9 et %D à 84,9) montre que %K est passé sous %D, formant un croisement baissier en zone de surachat. Cette configuration suggère un essoufflement de la dynamique haussière, bien que la décision reste **Neutre** tant que les niveaux ne sont pas plus extrêmes.</w:t>
      </w:r>
    </w:p>
    <w:p>
      <w:pPr>
        <w:spacing w:after="120" w:line="276" w:lineRule="auto"/>
      </w:pPr>
      <w:r>
        <w:t>En conclusion technique, les indicateurs de tendance (MM) restent positifs, mais les oscillateurs de momentum (RSI, MACD, Stochastique) signalent tous un épuisement à court terme. La probabilité d'une consolidation ou d'un repli technique est élevée, même si la tendance de fond demeure haussière.</w:t>
      </w:r>
    </w:p>
    <w:p>
      <w:pPr>
        <w:spacing w:after="120" w:line="276" w:lineRule="auto" w:before="240"/>
      </w:pPr>
      <w:r>
        <w:rPr>
          <w:b/>
          <w:color w:val="003366"/>
          <w:sz w:val="24"/>
        </w:rPr>
        <w:t>**PARTIE 3 : ANALYSE FONDAMENTALE (SECTION CRITIQUE)**</w:t>
      </w:r>
    </w:p>
    <w:p>
      <w:pPr>
        <w:spacing w:after="120" w:line="276" w:lineRule="auto"/>
      </w:pPr>
      <w:r>
        <w:t>En 2024, les états financiers annuels d'UNXC révèlent une situation préoccupante : le chiffre d'affaires s'établit à 27,333 milliards FCFA, en croissance de 15,4%, mais la société enregistre une perte nette de -2,189 milliards FCFA, contre un bénéfice de 4,188 milliards FCFA en 2023 (selon le rapport annuel 2024). Le ROE est fortement négatif à -14,04% et le ROA à -6,39%, indiquant une destruction de valeur. Les délais d'exploitation sont critiques : le délai clients de 51 jours est acceptable, mais la durée de stockage de 254,7 jours est très élevée, immobilisant un capital important dans les stocks (14,2 milliards FCFA). Le BFR de 2,149 milliards FCFA est positif, ce qui est défavorable pour une entreprise, et le délai fournisseurs de 267,8 jours suggère une pression sur les fournisseurs. Cependant, les rapports trimestriels 2025 montrent une amélioration spectaculaire : au S1 2025 (rapport du 30/06/2025), le CA progresse de 12,5% à 15,711 milliards FCFA, avec un bénéfice net exceptionnel de 8,217 milliards FCFA, mais ce bénéfice est intégralement dû à la cession-bail du terrain (produit exceptionnel de 9,994 milliards FCFA). Le rapport du 3ème trimestre 2025 (30/09/2025) confirme cette tendance : CA cumulé de 22,474 milliards FCFA (+13%) et résultat net de 8,143 milliards FCFA, toujours porté par l'exceptionnel. Le rapport annuel 2025 (publié en 2026) indique un CA de 29,03 milliards FCFA (+6,2%), un EBE redevenu positif à 1,13 milliard FCFA, mais une perte nette réduite à -624 millions FCFA. Enfin, le rapport S1 2026 (publié en 2026) marque un tournant décisif : le résultat d'exploitation redevient positif à 771 millions FCFA (contre -314 millions au S1 2025), et le résultat net atteint 771 millions FCFA, sans éléments exceptionnels. On estime que l'exercice 2026 devrait confirmer ce retour à la rentabilité opérationnelle, avec un CA semestriel stable à 15,752 milliards FCFA (+0,3%).</w:t>
      </w:r>
    </w:p>
    <w:p>
      <w:pPr>
        <w:spacing w:after="120" w:line="276" w:lineRule="auto" w:before="240"/>
      </w:pPr>
      <w:r>
        <w:rPr>
          <w:b/>
          <w:color w:val="003366"/>
          <w:sz w:val="24"/>
        </w:rPr>
        <w:t>**PARTIE 4 : CONCLUSION D'INVESTISSEMENT**</w:t>
      </w:r>
    </w:p>
    <w:p>
      <w:pPr>
        <w:spacing w:after="120" w:line="276" w:lineRule="auto"/>
      </w:pPr>
      <w:r>
        <w:t>La valorisation d'UNXC est complexe : le PER négatif et le P/B élevé (3,20x) indiquent que le marché anticipe un redressement, mais le cours a déjà fortement progressé (+22,7% en 100 jours), atteignant des niveaux de surachat technique (RSI à 77,9). Les fondamentaux montrent une réelle amélioration : après une perte de 2,189 milliards FCFA en 2024, la société est redevenue bénéficiaire au S1 2026 (771 millions FCFA) grâce à un résultat d'exploitation positif, signe que la restructuration engagée via la cession-bail du terrain (2025) porte ses fruits. Cependant, la volatilité annualisée de 50,9% et le kurtosis élevé signalent un risque de mouvements brusques, et les prédictions IA (baisse progressive de 2 405 à 2 330 FCFA sur 10 jours) suggèrent une correction à court terme, en ligne avec les signaux techniques de vente (RSI, MACD). La convergence entre l'amélioration fondamentale et la tendance haussière de long terme est positive, mais la divergence avec les indicateurs techniques à court terme recommande la prudence. **Recommandation finale : CONSERVER**, avec un niveau de confiance **Moyen** et un risque global **Élevé**. L'horizon d'investissement optimal est le **moyen terme (3-12 mois)**, en attendant la confirmation du retour à une rentabilité durable sur l'exercice 2026 complet.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