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05/10/2026 à 11:30</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48 ACHAT  |  0 NEUTRE  |  0 VENTE  (sur 48 sociétés)</w:t>
      </w:r>
    </w:p>
    <w:p>
      <w:pPr>
        <w:spacing w:before="20" w:after="20"/>
        <w:ind w:left="360" w:right="360"/>
        <w:shd w:val="clear" w:color="auto" w:fill="EBF5FB"/>
      </w:pPr>
      <w:r>
        <w:rPr>
          <w:b/>
          <w:sz w:val="19"/>
        </w:rPr>
        <w:t xml:space="preserve">Top opportunité :  </w:t>
      </w:r>
      <w:r>
        <w:rPr>
          <w:color w:val="008000"/>
          <w:sz w:val="19"/>
        </w:rPr>
        <w:t>ABJC  (score 85/100)</w:t>
      </w:r>
    </w:p>
    <w:p>
      <w:pPr>
        <w:spacing w:before="20" w:after="20"/>
        <w:ind w:left="360" w:right="360"/>
        <w:shd w:val="clear" w:color="auto" w:fill="EBF5FB"/>
      </w:pPr>
      <w:r>
        <w:rPr>
          <w:b/>
          <w:sz w:val="19"/>
        </w:rPr>
        <w:t xml:space="preserve">Secteur surperformant :  </w:t>
      </w:r>
      <w:r>
        <w:rPr>
          <w:color w:val="008000"/>
          <w:sz w:val="19"/>
        </w:rPr>
        <w:t>SERVICES PUBLICS  (+68.7%)</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9 sociétés — vérifier avant d'investir</w:t>
      </w:r>
    </w:p>
    <w:p>
      <w:pPr>
        <w:spacing w:before="20" w:after="20"/>
        <w:ind w:left="360" w:right="360"/>
        <w:shd w:val="clear" w:color="auto" w:fill="EBF5FB"/>
      </w:pPr>
      <w:r>
        <w:rPr>
          <w:b/>
          <w:sz w:val="19"/>
        </w:rPr>
        <w:t xml:space="preserve">⚠️ Liquidité réduite :  </w:t>
      </w:r>
      <w:r>
        <w:rPr>
          <w:color w:val="C00000"/>
          <w:sz w:val="19"/>
        </w:rPr>
        <w:t>11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549.02 points </w:t>
      </w:r>
      <w:r>
        <w:rPr>
          <w:color w:val="008000"/>
        </w:rPr>
        <w:t>(+0.12%)</w:t>
      </w:r>
      <w:r>
        <w:t xml:space="preserve"> sur la séance. </w:t>
      </w:r>
      <w:r>
        <w:t>La capitalisation globale du marché atteint 21 529,927 milliards FCFA.</w:t>
      </w:r>
    </w:p>
    <w:p/>
    <w:p>
      <w:pPr>
        <w:pStyle w:val="Heading3"/>
      </w:pPr>
      <w:r>
        <w:t>📊 Évolution de l'indice BRVM Composite (100 derniers jours)</w:t>
      </w:r>
    </w:p>
    <w:p>
      <w:r>
        <w:rPr>
          <w:b/>
        </w:rPr>
        <w:t xml:space="preserve">BRVM Composite — </w:t>
      </w:r>
      <w:r>
        <w:t xml:space="preserve">Sur les 100 derniers jours de cotation (2026-05-08 au 2026-10-01), l'indice BRVM Composite a évolué de </w:t>
      </w:r>
      <w:r>
        <w:rPr>
          <w:b/>
          <w:color w:val="008000"/>
        </w:rPr>
        <w:t>+35.70%</w:t>
      </w:r>
      <w:r>
        <w:t>, passant de 404.59 pts à 549.02 pts. Le plus haut atteint est 555.90 pts et le plus bas 404.59 pts. Sur l'ensemble de la période, la moyenne de l'indice s'établit à 481.61 pts, la médiane à 480.58 pts et le mode à 404.59 pts</w:t>
      </w:r>
      <w:r>
        <w:t xml:space="preserve"> (distribution symétrique). </w:t>
      </w:r>
      <w:r>
        <w:t xml:space="preserve">L'écart-type de 46.61 pts (CV=9.7%) traduit une modérée dispersion des cotations. Le kurtosis de -1.24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+38.04%</w:t>
      </w:r>
      <w:r>
        <w:t xml:space="preserve"> sur la période, passant de 15 596,700 Mds FCFA à 21 529,927 Mds FCFA. Le pic de capitalisation observé est de 21 529,927 Mds FCFA et le plancher de 15 596,700 Mds FCFA. La moyenne de la capitalisation sur la période s'établit à 18 584,263 Mds FCFA, la médiane à 18 513,271 Mds FCFA et le mode à 15 596,700 Mds FCFA</w:t>
      </w:r>
      <w:r>
        <w:t xml:space="preserve"> (distribution symétrique). </w:t>
      </w:r>
      <w:r>
        <w:t>L'écart-type de 1 832,141 Mds FCFA (CV=9.9%) reflète une modérée variabilité de la valorisation du marché. Le kurtosis de -1.23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SEMC - SEMC - EVIOSYS PACKAGING SIEM CI</w:t>
      </w:r>
      <w:r>
        <w:t xml:space="preserve"> | Prix: 1495 FCFA | </w:t>
      </w:r>
      <w:r>
        <w:rPr>
          <w:b/>
          <w:color w:val="008000"/>
        </w:rPr>
        <w:t>ACHAT FORT</w:t>
      </w:r>
      <w:r>
        <w:t xml:space="preserve"> | Confiance: Élevée | Risque: Faible</w:t>
      </w:r>
    </w:p>
    <w:p>
      <w:pPr>
        <w:pStyle w:val="ListNumber"/>
      </w:pPr>
      <w:r>
        <w:rPr>
          <w:b/>
        </w:rPr>
        <w:t>ABJC - ABJC - SERVAIR ABIDJAN CI</w:t>
      </w:r>
      <w:r>
        <w:t xml:space="preserve"> | Prix: 3370 FCFA | </w:t>
      </w:r>
      <w:r>
        <w:rPr>
          <w:b/>
          <w:color w:val="008000"/>
        </w:rPr>
        <w:t>ACHAT</w:t>
      </w:r>
      <w:r>
        <w:t xml:space="preserve"> | Confiance: Élevée | Risque: Faible</w:t>
      </w:r>
    </w:p>
    <w:p>
      <w:pPr>
        <w:pStyle w:val="ListNumber"/>
      </w:pPr>
      <w:r>
        <w:rPr>
          <w:b/>
        </w:rPr>
        <w:t>BBGC - BRIDGE BANK GROUP COTE D'IVOIRE</w:t>
      </w:r>
      <w:r>
        <w:t xml:space="preserve"> | Prix: 8800 FCFA | </w:t>
      </w:r>
      <w:r>
        <w:rPr>
          <w:b/>
          <w:color w:val="008000"/>
        </w:rPr>
        <w:t>ACHAT</w:t>
      </w:r>
      <w:r>
        <w:t xml:space="preserve"> | Confiance: Moyen | Risque: Faible</w:t>
      </w:r>
    </w:p>
    <w:p>
      <w:pPr>
        <w:pStyle w:val="ListNumber"/>
      </w:pPr>
      <w:r>
        <w:rPr>
          <w:b/>
        </w:rPr>
        <w:t>BICB - BIIC BN - Banque internationale pour le commerce du benin</w:t>
      </w:r>
      <w:r>
        <w:t xml:space="preserve"> | Prix: 8800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33800 FCFA | </w:t>
      </w:r>
      <w:r>
        <w:rPr>
          <w:b/>
          <w:color w:val="008000"/>
        </w:rPr>
        <w:t>ACHAT</w:t>
      </w:r>
      <w:r>
        <w:t xml:space="preserve"> | Confiance: Élevée | Risque: Moyen</w:t>
      </w:r>
    </w:p>
    <w:p>
      <w:pPr>
        <w:pStyle w:val="ListNumber"/>
      </w:pPr>
      <w:r>
        <w:rPr>
          <w:b/>
        </w:rPr>
        <w:t>BNBC - BNBC - BERNABE CI</w:t>
      </w:r>
      <w:r>
        <w:t xml:space="preserve"> | Prix: 1900 FCFA | </w:t>
      </w:r>
      <w:r>
        <w:rPr>
          <w:b/>
          <w:color w:val="008000"/>
        </w:rPr>
        <w:t>ACHAT</w:t>
      </w:r>
      <w:r>
        <w:t xml:space="preserve"> | Confiance: Élevée | Risque: Faible</w:t>
      </w:r>
    </w:p>
    <w:p>
      <w:pPr>
        <w:pStyle w:val="ListNumber"/>
      </w:pPr>
      <w:r>
        <w:rPr>
          <w:b/>
        </w:rPr>
        <w:t>BOAB - BANK OF AFRICA BENIN</w:t>
      </w:r>
      <w:r>
        <w:t xml:space="preserve"> | Prix: 9385 FCFA | </w:t>
      </w:r>
      <w:r>
        <w:rPr>
          <w:b/>
          <w:color w:val="008000"/>
        </w:rPr>
        <w:t>ACHAT</w:t>
      </w:r>
      <w:r>
        <w:t xml:space="preserve"> | Confiance: Moyen | Risque: Faible</w:t>
      </w:r>
    </w:p>
    <w:p>
      <w:pPr>
        <w:pStyle w:val="ListNumber"/>
      </w:pPr>
      <w:r>
        <w:rPr>
          <w:b/>
        </w:rPr>
        <w:t>BOABF - BANK OF AFRICA BURKINA FASO</w:t>
      </w:r>
      <w:r>
        <w:t xml:space="preserve"> | Prix: 8000 FCFA | </w:t>
      </w:r>
      <w:r>
        <w:rPr>
          <w:b/>
          <w:color w:val="008000"/>
        </w:rPr>
        <w:t>ACHAT</w:t>
      </w:r>
      <w:r>
        <w:t xml:space="preserve"> | Confiance: Moyen | Risque: Moyen</w:t>
      </w:r>
    </w:p>
    <w:p>
      <w:pPr>
        <w:pStyle w:val="ListNumber"/>
      </w:pPr>
      <w:r>
        <w:rPr>
          <w:b/>
        </w:rPr>
        <w:t>BOAC - BANK OF AFRICA COTE D'IVOIRE</w:t>
      </w:r>
      <w:r>
        <w:t xml:space="preserve"> | Prix: 11490 FCFA | </w:t>
      </w:r>
      <w:r>
        <w:rPr>
          <w:b/>
          <w:color w:val="008000"/>
        </w:rPr>
        <w:t>ACHAT</w:t>
      </w:r>
      <w:r>
        <w:t xml:space="preserve"> | Confiance: Faible | Risque: Faible</w:t>
      </w:r>
    </w:p>
    <w:p>
      <w:pPr>
        <w:pStyle w:val="ListNumber"/>
      </w:pPr>
      <w:r>
        <w:rPr>
          <w:b/>
        </w:rPr>
        <w:t>BOAM - BANK OF AFRICA MALI</w:t>
      </w:r>
      <w:r>
        <w:t xml:space="preserve"> | Prix: 6090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48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68.74%</w:t>
      </w:r>
      <w:r>
        <w:t xml:space="preserve">  |  </w:t>
      </w:r>
      <w:r>
        <w:rPr>
          <w:b/>
        </w:rPr>
        <w:t xml:space="preserve">vs BRVM Composite: </w:t>
      </w:r>
      <w:r>
        <w:rPr>
          <w:b/>
          <w:color w:val="008000"/>
        </w:rPr>
        <w:t>+33.04%  🟢 Surperformance</w:t>
      </w:r>
      <w:r>
        <w:br/>
      </w:r>
      <w:r>
        <w:rPr>
          <w:b/>
        </w:rPr>
        <w:t xml:space="preserve">Sentiment général: </w:t>
      </w:r>
      <w:r>
        <w:t xml:space="preserve">ACHAT  |  </w:t>
      </w:r>
      <w:r>
        <w:rPr>
          <w:b/>
        </w:rPr>
        <w:t xml:space="preserve">Risque moyen: </w:t>
      </w:r>
      <w:r>
        <w:t xml:space="preserve">Moyen  |  </w:t>
      </w:r>
      <w:r>
        <w:rPr>
          <w:b/>
        </w:rPr>
        <w:t xml:space="preserve">Prix moyen: </w:t>
      </w:r>
      <w:r>
        <w:t>9720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38.11%</w:t>
      </w:r>
      <w:r>
        <w:t xml:space="preserve">  |  </w:t>
      </w:r>
      <w:r>
        <w:rPr>
          <w:b/>
        </w:rPr>
        <w:t xml:space="preserve">vs BRVM Composite: </w:t>
      </w:r>
      <w:r>
        <w:rPr>
          <w:b/>
          <w:color w:val="008000"/>
        </w:rPr>
        <w:t>+2.41%  🟢 Surperformance</w:t>
      </w:r>
      <w:r>
        <w:br/>
      </w:r>
      <w:r>
        <w:rPr>
          <w:b/>
        </w:rPr>
        <w:t xml:space="preserve">Sentiment général: </w:t>
      </w:r>
      <w:r>
        <w:t xml:space="preserve">ACHAT  |  </w:t>
      </w:r>
      <w:r>
        <w:rPr>
          <w:b/>
        </w:rPr>
        <w:t xml:space="preserve">Risque moyen: </w:t>
      </w:r>
      <w:r>
        <w:t xml:space="preserve">Moyen  |  </w:t>
      </w:r>
      <w:r>
        <w:rPr>
          <w:b/>
        </w:rPr>
        <w:t xml:space="preserve">Prix moyen: </w:t>
      </w:r>
      <w:r>
        <w:t>13470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36.05%</w:t>
      </w:r>
      <w:r>
        <w:t xml:space="preserve">  |  </w:t>
      </w:r>
      <w:r>
        <w:rPr>
          <w:b/>
        </w:rPr>
        <w:t xml:space="preserve">vs BRVM Composite: </w:t>
      </w:r>
      <w:r>
        <w:rPr>
          <w:b/>
          <w:color w:val="008000"/>
        </w:rPr>
        <w:t>+0.36%  🟢 Surperformance</w:t>
      </w:r>
      <w:r>
        <w:br/>
      </w:r>
      <w:r>
        <w:rPr>
          <w:b/>
        </w:rPr>
        <w:t xml:space="preserve">Sentiment général: </w:t>
      </w:r>
      <w:r>
        <w:t xml:space="preserve">ACHAT  |  </w:t>
      </w:r>
      <w:r>
        <w:rPr>
          <w:b/>
        </w:rPr>
        <w:t xml:space="preserve">Risque moyen: </w:t>
      </w:r>
      <w:r>
        <w:t xml:space="preserve">Faible  |  </w:t>
      </w:r>
      <w:r>
        <w:rPr>
          <w:b/>
        </w:rPr>
        <w:t xml:space="preserve">Prix moyen: </w:t>
      </w:r>
      <w:r>
        <w:t>23245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22.40%</w:t>
      </w:r>
      <w:r>
        <w:t xml:space="preserve">  |  </w:t>
      </w:r>
      <w:r>
        <w:rPr>
          <w:b/>
        </w:rPr>
        <w:t xml:space="preserve">vs BRVM Composite: </w:t>
      </w:r>
      <w:r>
        <w:rPr>
          <w:b/>
          <w:color w:val="C00000"/>
        </w:rPr>
        <w:t>-13.30%  🔴 Sous-performance</w:t>
      </w:r>
      <w:r>
        <w:br/>
      </w:r>
      <w:r>
        <w:rPr>
          <w:b/>
        </w:rPr>
        <w:t xml:space="preserve">Sentiment général: </w:t>
      </w:r>
      <w:r>
        <w:t xml:space="preserve">ACHAT  |  </w:t>
      </w:r>
      <w:r>
        <w:rPr>
          <w:b/>
        </w:rPr>
        <w:t xml:space="preserve">Risque moyen: </w:t>
      </w:r>
      <w:r>
        <w:t xml:space="preserve">Faible  |  </w:t>
      </w:r>
      <w:r>
        <w:rPr>
          <w:b/>
        </w:rPr>
        <w:t xml:space="preserve">Prix moyen: </w:t>
      </w:r>
      <w:r>
        <w:t>6352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21.30%</w:t>
      </w:r>
      <w:r>
        <w:t xml:space="preserve">  |  </w:t>
      </w:r>
      <w:r>
        <w:rPr>
          <w:b/>
        </w:rPr>
        <w:t xml:space="preserve">vs BRVM Composite: </w:t>
      </w:r>
      <w:r>
        <w:rPr>
          <w:b/>
          <w:color w:val="C00000"/>
        </w:rPr>
        <w:t>-14.40%  🔴 Sous-performance</w:t>
      </w:r>
      <w:r>
        <w:br/>
      </w:r>
      <w:r>
        <w:rPr>
          <w:b/>
        </w:rPr>
        <w:t xml:space="preserve">Sentiment général: </w:t>
      </w:r>
      <w:r>
        <w:t xml:space="preserve">ACHAT  |  </w:t>
      </w:r>
      <w:r>
        <w:rPr>
          <w:b/>
        </w:rPr>
        <w:t xml:space="preserve">Risque moyen: </w:t>
      </w:r>
      <w:r>
        <w:t xml:space="preserve">Faible  |  </w:t>
      </w:r>
      <w:r>
        <w:rPr>
          <w:b/>
        </w:rPr>
        <w:t xml:space="preserve">Prix moyen: </w:t>
      </w:r>
      <w:r>
        <w:t>8800 FCFA</w:t>
        <w:br/>
      </w:r>
      <w:r>
        <w:rPr>
          <w:b/>
        </w:rPr>
        <w:br/>
        <w:t xml:space="preserve">Sociétés: </w:t>
      </w:r>
      <w:r>
        <w:t>BBGC (BRIDGE BANK GROUP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19.35%</w:t>
      </w:r>
      <w:r>
        <w:t xml:space="preserve">  |  </w:t>
      </w:r>
      <w:r>
        <w:rPr>
          <w:b/>
        </w:rPr>
        <w:t xml:space="preserve">vs BRVM Composite: </w:t>
      </w:r>
      <w:r>
        <w:rPr>
          <w:b/>
          <w:color w:val="C00000"/>
        </w:rPr>
        <w:t>-16.35%  🔴 Sous-performance</w:t>
      </w:r>
      <w:r>
        <w:br/>
      </w:r>
      <w:r>
        <w:rPr>
          <w:b/>
        </w:rPr>
        <w:t xml:space="preserve">Sentiment général: </w:t>
      </w:r>
      <w:r>
        <w:t xml:space="preserve">ACHAT  |  </w:t>
      </w:r>
      <w:r>
        <w:rPr>
          <w:b/>
        </w:rPr>
        <w:t xml:space="preserve">Risque moyen: </w:t>
      </w:r>
      <w:r>
        <w:t xml:space="preserve">Faible  |  </w:t>
      </w:r>
      <w:r>
        <w:rPr>
          <w:b/>
        </w:rPr>
        <w:t xml:space="preserve">Prix moyen: </w:t>
      </w:r>
      <w:r>
        <w:t>2741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18.32%</w:t>
      </w:r>
      <w:r>
        <w:t xml:space="preserve">  |  </w:t>
      </w:r>
      <w:r>
        <w:rPr>
          <w:b/>
        </w:rPr>
        <w:t xml:space="preserve">vs BRVM Composite: </w:t>
      </w:r>
      <w:r>
        <w:rPr>
          <w:b/>
          <w:color w:val="C00000"/>
        </w:rPr>
        <w:t>-17.38%  🔴 Sous-performance</w:t>
      </w:r>
      <w:r>
        <w:br/>
      </w:r>
      <w:r>
        <w:rPr>
          <w:b/>
        </w:rPr>
        <w:t xml:space="preserve">Sentiment général: </w:t>
      </w:r>
      <w:r>
        <w:t xml:space="preserve">ACHAT  |  </w:t>
      </w:r>
      <w:r>
        <w:rPr>
          <w:b/>
        </w:rPr>
        <w:t xml:space="preserve">Risque moyen: </w:t>
      </w:r>
      <w:r>
        <w:t xml:space="preserve">Faible  |  </w:t>
      </w:r>
      <w:r>
        <w:rPr>
          <w:b/>
        </w:rPr>
        <w:t xml:space="preserve">Prix moyen: </w:t>
      </w:r>
      <w:r>
        <w:t>17799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-1.98%</w:t>
      </w:r>
      <w:r>
        <w:t xml:space="preserve">  |  </w:t>
      </w:r>
      <w:r>
        <w:rPr>
          <w:b/>
        </w:rPr>
        <w:t xml:space="preserve">vs BRVM Composite: </w:t>
      </w:r>
      <w:r>
        <w:rPr>
          <w:b/>
          <w:color w:val="C00000"/>
        </w:rPr>
        <w:t>-37.68%  🔴 Sous-performance</w:t>
      </w:r>
      <w:r>
        <w:br/>
      </w:r>
      <w:r>
        <w:rPr>
          <w:b/>
        </w:rPr>
        <w:t xml:space="preserve">Sentiment général: </w:t>
      </w:r>
      <w:r>
        <w:t xml:space="preserve">ACHAT  |  </w:t>
      </w:r>
      <w:r>
        <w:rPr>
          <w:b/>
        </w:rPr>
        <w:t xml:space="preserve">Risque moyen: </w:t>
      </w:r>
      <w:r>
        <w:t xml:space="preserve">Faible  |  </w:t>
      </w:r>
      <w:r>
        <w:rPr>
          <w:b/>
        </w:rPr>
        <w:t xml:space="preserve">Prix moyen: </w:t>
      </w:r>
      <w:r>
        <w:t>2325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BICB, BICC, BNBC, NEIC, ONTBF, SGBC, SHEC, SIBC, SLBC, STAC, TTLC, TTLS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BBGC, BOAB, BOABF, BOAM, BOAN, BOAS, CABC, CBIBF, CIEC, ECOC, ETIT, NSBC, NTLC, ORAC, ORGT, PALC, PRSC, SCRC, SDCC, SDSC, SEMC, SIVC, SMBC, SNTS, SOGC,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BOAC, CFAC, FTSC, LNBB, SAFC, SICC, SPHC, STBC,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2089195</w:t>
            </w:r>
          </w:p>
        </w:tc>
        <w:tc>
          <w:tcPr>
            <w:tcW w:type="dxa" w:w="1728"/>
          </w:tcPr>
          <w:p>
            <w:r>
              <w:t>141527888 FCFA</w:t>
            </w:r>
          </w:p>
        </w:tc>
        <w:tc>
          <w:tcPr>
            <w:tcW w:type="dxa" w:w="1728"/>
          </w:tcPr>
          <w:p>
            <w:r>
              <w:t>123.33%</w:t>
            </w:r>
          </w:p>
        </w:tc>
        <w:tc>
          <w:tcPr>
            <w:tcW w:type="dxa" w:w="1728"/>
          </w:tcPr>
          <w:p>
            <w:r>
              <w:t>ACHAT</w:t>
            </w:r>
          </w:p>
        </w:tc>
      </w:tr>
      <w:tr>
        <w:tc>
          <w:tcPr>
            <w:tcW w:type="dxa" w:w="1728"/>
          </w:tcPr>
          <w:p>
            <w:r>
              <w:t>BBGC (BRIDGE BANK GROUP COTE D'IVOIRE)</w:t>
            </w:r>
          </w:p>
        </w:tc>
        <w:tc>
          <w:tcPr>
            <w:tcW w:type="dxa" w:w="1728"/>
          </w:tcPr>
          <w:p>
            <w:r>
              <w:t>46451</w:t>
            </w:r>
          </w:p>
        </w:tc>
        <w:tc>
          <w:tcPr>
            <w:tcW w:type="dxa" w:w="1728"/>
          </w:tcPr>
          <w:p>
            <w:r>
              <w:t>421608626 FCFA</w:t>
            </w:r>
          </w:p>
        </w:tc>
        <w:tc>
          <w:tcPr>
            <w:tcW w:type="dxa" w:w="1728"/>
          </w:tcPr>
          <w:p>
            <w:r>
              <w:t>21.30%</w:t>
            </w:r>
          </w:p>
        </w:tc>
        <w:tc>
          <w:tcPr>
            <w:tcW w:type="dxa" w:w="1728"/>
          </w:tcPr>
          <w:p>
            <w:r>
              <w:t>ACHAT</w:t>
            </w:r>
          </w:p>
        </w:tc>
      </w:tr>
      <w:tr>
        <w:tc>
          <w:tcPr>
            <w:tcW w:type="dxa" w:w="1728"/>
          </w:tcPr>
          <w:p>
            <w:r>
              <w:t>SNTS (SNTS - SONATEL SN)</w:t>
            </w:r>
          </w:p>
        </w:tc>
        <w:tc>
          <w:tcPr>
            <w:tcW w:type="dxa" w:w="1728"/>
          </w:tcPr>
          <w:p>
            <w:r>
              <w:t>25437</w:t>
            </w:r>
          </w:p>
        </w:tc>
        <w:tc>
          <w:tcPr>
            <w:tcW w:type="dxa" w:w="1728"/>
          </w:tcPr>
          <w:p>
            <w:r>
              <w:t>1051505429 FCFA</w:t>
            </w:r>
          </w:p>
        </w:tc>
        <w:tc>
          <w:tcPr>
            <w:tcW w:type="dxa" w:w="1728"/>
          </w:tcPr>
          <w:p>
            <w:r>
              <w:t>55.71%</w:t>
            </w:r>
          </w:p>
        </w:tc>
        <w:tc>
          <w:tcPr>
            <w:tcW w:type="dxa" w:w="1728"/>
          </w:tcPr>
          <w:p>
            <w:r>
              <w:t>ACHAT</w:t>
            </w:r>
          </w:p>
        </w:tc>
      </w:tr>
      <w:tr>
        <w:tc>
          <w:tcPr>
            <w:tcW w:type="dxa" w:w="1728"/>
          </w:tcPr>
          <w:p>
            <w:r>
              <w:t>BOAS (BANK OF AFRICA SENEGAL)</w:t>
            </w:r>
          </w:p>
        </w:tc>
        <w:tc>
          <w:tcPr>
            <w:tcW w:type="dxa" w:w="1728"/>
          </w:tcPr>
          <w:p>
            <w:r>
              <w:t>14303</w:t>
            </w:r>
          </w:p>
        </w:tc>
        <w:tc>
          <w:tcPr>
            <w:tcW w:type="dxa" w:w="1728"/>
          </w:tcPr>
          <w:p>
            <w:r>
              <w:t>115980505 FCFA</w:t>
            </w:r>
          </w:p>
        </w:tc>
        <w:tc>
          <w:tcPr>
            <w:tcW w:type="dxa" w:w="1728"/>
          </w:tcPr>
          <w:p>
            <w:r>
              <w:t>10.62%</w:t>
            </w:r>
          </w:p>
        </w:tc>
        <w:tc>
          <w:tcPr>
            <w:tcW w:type="dxa" w:w="1728"/>
          </w:tcPr>
          <w:p>
            <w:r>
              <w:t>ACHAT</w:t>
            </w:r>
          </w:p>
        </w:tc>
      </w:tr>
      <w:tr>
        <w:tc>
          <w:tcPr>
            <w:tcW w:type="dxa" w:w="1728"/>
          </w:tcPr>
          <w:p>
            <w:r>
              <w:t>SIBC (SIBC - SOCIETE IVOIRIENNE DE BANQUE)</w:t>
            </w:r>
          </w:p>
        </w:tc>
        <w:tc>
          <w:tcPr>
            <w:tcW w:type="dxa" w:w="1728"/>
          </w:tcPr>
          <w:p>
            <w:r>
              <w:t>12239</w:t>
            </w:r>
          </w:p>
        </w:tc>
        <w:tc>
          <w:tcPr>
            <w:tcW w:type="dxa" w:w="1728"/>
          </w:tcPr>
          <w:p>
            <w:r>
              <w:t>111242933 FCFA</w:t>
            </w:r>
          </w:p>
        </w:tc>
        <w:tc>
          <w:tcPr>
            <w:tcW w:type="dxa" w:w="1728"/>
          </w:tcPr>
          <w:p>
            <w:r>
              <w:t>29.11%</w:t>
            </w:r>
          </w:p>
        </w:tc>
        <w:tc>
          <w:tcPr>
            <w:tcW w:type="dxa" w:w="1728"/>
          </w:tcPr>
          <w:p>
            <w:r>
              <w:t>ACHAT</w:t>
            </w:r>
          </w:p>
        </w:tc>
      </w:tr>
      <w:tr>
        <w:tc>
          <w:tcPr>
            <w:tcW w:type="dxa" w:w="1728"/>
          </w:tcPr>
          <w:p>
            <w:r>
              <w:t>BOAC (BANK OF AFRICA COTE D'IVOIRE)</w:t>
            </w:r>
          </w:p>
        </w:tc>
        <w:tc>
          <w:tcPr>
            <w:tcW w:type="dxa" w:w="1728"/>
          </w:tcPr>
          <w:p>
            <w:r>
              <w:t>11979</w:t>
            </w:r>
          </w:p>
        </w:tc>
        <w:tc>
          <w:tcPr>
            <w:tcW w:type="dxa" w:w="1728"/>
          </w:tcPr>
          <w:p>
            <w:r>
              <w:t>140244567 FCFA</w:t>
            </w:r>
          </w:p>
        </w:tc>
        <w:tc>
          <w:tcPr>
            <w:tcW w:type="dxa" w:w="1728"/>
          </w:tcPr>
          <w:p>
            <w:r>
              <w:t>31.99%</w:t>
            </w:r>
          </w:p>
        </w:tc>
        <w:tc>
          <w:tcPr>
            <w:tcW w:type="dxa" w:w="1728"/>
          </w:tcPr>
          <w:p>
            <w:r>
              <w:t>ACHAT</w:t>
            </w:r>
          </w:p>
        </w:tc>
      </w:tr>
      <w:tr>
        <w:tc>
          <w:tcPr>
            <w:tcW w:type="dxa" w:w="1728"/>
          </w:tcPr>
          <w:p>
            <w:r>
              <w:t>UNXC (UNXC - UNIWAX COTE D'IVOIRE)</w:t>
            </w:r>
          </w:p>
        </w:tc>
        <w:tc>
          <w:tcPr>
            <w:tcW w:type="dxa" w:w="1728"/>
          </w:tcPr>
          <w:p>
            <w:r>
              <w:t>11645</w:t>
            </w:r>
          </w:p>
        </w:tc>
        <w:tc>
          <w:tcPr>
            <w:tcW w:type="dxa" w:w="1728"/>
          </w:tcPr>
          <w:p>
            <w:r>
              <w:t>27152773 FCFA</w:t>
            </w:r>
          </w:p>
        </w:tc>
        <w:tc>
          <w:tcPr>
            <w:tcW w:type="dxa" w:w="1728"/>
          </w:tcPr>
          <w:p>
            <w:r>
              <w:t>30.75%</w:t>
            </w:r>
          </w:p>
        </w:tc>
        <w:tc>
          <w:tcPr>
            <w:tcW w:type="dxa" w:w="1728"/>
          </w:tcPr>
          <w:p>
            <w:r>
              <w:t>ACHAT</w:t>
            </w:r>
          </w:p>
        </w:tc>
      </w:tr>
      <w:tr>
        <w:tc>
          <w:tcPr>
            <w:tcW w:type="dxa" w:w="1728"/>
          </w:tcPr>
          <w:p>
            <w:r>
              <w:t>SCRC (SCRC - SUCRIVOIRE)</w:t>
            </w:r>
          </w:p>
        </w:tc>
        <w:tc>
          <w:tcPr>
            <w:tcW w:type="dxa" w:w="1728"/>
          </w:tcPr>
          <w:p>
            <w:r>
              <w:t>11634</w:t>
            </w:r>
          </w:p>
        </w:tc>
        <w:tc>
          <w:tcPr>
            <w:tcW w:type="dxa" w:w="1728"/>
          </w:tcPr>
          <w:p>
            <w:r>
              <w:t>35778025 FCFA</w:t>
            </w:r>
          </w:p>
        </w:tc>
        <w:tc>
          <w:tcPr>
            <w:tcW w:type="dxa" w:w="1728"/>
          </w:tcPr>
          <w:p>
            <w:r>
              <w:t>30.68%</w:t>
            </w:r>
          </w:p>
        </w:tc>
        <w:tc>
          <w:tcPr>
            <w:tcW w:type="dxa" w:w="1728"/>
          </w:tcPr>
          <w:p>
            <w:r>
              <w:t>ACHAT</w:t>
            </w:r>
          </w:p>
        </w:tc>
      </w:tr>
      <w:tr>
        <w:tc>
          <w:tcPr>
            <w:tcW w:type="dxa" w:w="1728"/>
          </w:tcPr>
          <w:p>
            <w:r>
              <w:t>BICB (BIIC BN - Banque internationale pour le commerce du benin)</w:t>
            </w:r>
          </w:p>
        </w:tc>
        <w:tc>
          <w:tcPr>
            <w:tcW w:type="dxa" w:w="1728"/>
          </w:tcPr>
          <w:p>
            <w:r>
              <w:t>11471</w:t>
            </w:r>
          </w:p>
        </w:tc>
        <w:tc>
          <w:tcPr>
            <w:tcW w:type="dxa" w:w="1728"/>
          </w:tcPr>
          <w:p>
            <w:r>
              <w:t>111026059 FCFA</w:t>
            </w:r>
          </w:p>
        </w:tc>
        <w:tc>
          <w:tcPr>
            <w:tcW w:type="dxa" w:w="1728"/>
          </w:tcPr>
          <w:p>
            <w:r>
              <w:t>68.42%</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ORGT (ORGT - ORAGROUP TOGO)</w:t>
            </w:r>
          </w:p>
        </w:tc>
        <w:tc>
          <w:tcPr>
            <w:tcW w:type="dxa" w:w="1728"/>
          </w:tcPr>
          <w:p>
            <w:r>
              <w:t>3872</w:t>
            </w:r>
          </w:p>
        </w:tc>
        <w:tc>
          <w:tcPr>
            <w:tcW w:type="dxa" w:w="1728"/>
          </w:tcPr>
          <w:p>
            <w:r>
              <w:t>12214794 FCFA</w:t>
            </w:r>
          </w:p>
        </w:tc>
        <w:tc>
          <w:tcPr>
            <w:tcW w:type="dxa" w:w="1728"/>
          </w:tcPr>
          <w:p>
            <w:r>
              <w:t>17.65%</w:t>
            </w:r>
          </w:p>
        </w:tc>
        <w:tc>
          <w:tcPr>
            <w:tcW w:type="dxa" w:w="1728"/>
          </w:tcPr>
          <w:p>
            <w:r>
              <w:t>ACHAT</w:t>
            </w:r>
          </w:p>
        </w:tc>
      </w:tr>
      <w:tr>
        <w:tc>
          <w:tcPr>
            <w:tcW w:type="dxa" w:w="1728"/>
          </w:tcPr>
          <w:p>
            <w:r>
              <w:t>ABJC (ABJC - SERVAIR ABIDJAN CI)</w:t>
            </w:r>
          </w:p>
        </w:tc>
        <w:tc>
          <w:tcPr>
            <w:tcW w:type="dxa" w:w="1728"/>
          </w:tcPr>
          <w:p>
            <w:r>
              <w:t>3546</w:t>
            </w:r>
          </w:p>
        </w:tc>
        <w:tc>
          <w:tcPr>
            <w:tcW w:type="dxa" w:w="1728"/>
          </w:tcPr>
          <w:p>
            <w:r>
              <w:t>13853104 FCFA</w:t>
            </w:r>
          </w:p>
        </w:tc>
        <w:tc>
          <w:tcPr>
            <w:tcW w:type="dxa" w:w="1728"/>
          </w:tcPr>
          <w:p>
            <w:r>
              <w:t>13.28%</w:t>
            </w:r>
          </w:p>
        </w:tc>
        <w:tc>
          <w:tcPr>
            <w:tcW w:type="dxa" w:w="1728"/>
          </w:tcPr>
          <w:p>
            <w:r>
              <w:t>ACHAT</w:t>
            </w:r>
          </w:p>
        </w:tc>
      </w:tr>
      <w:tr>
        <w:tc>
          <w:tcPr>
            <w:tcW w:type="dxa" w:w="1728"/>
          </w:tcPr>
          <w:p>
            <w:r>
              <w:t>ECOC (ECOC - ECOBANK COTE D'IVOIRE)</w:t>
            </w:r>
          </w:p>
        </w:tc>
        <w:tc>
          <w:tcPr>
            <w:tcW w:type="dxa" w:w="1728"/>
          </w:tcPr>
          <w:p>
            <w:r>
              <w:t>3384</w:t>
            </w:r>
          </w:p>
        </w:tc>
        <w:tc>
          <w:tcPr>
            <w:tcW w:type="dxa" w:w="1728"/>
          </w:tcPr>
          <w:p>
            <w:r>
              <w:t>57736448 FCFA</w:t>
            </w:r>
          </w:p>
        </w:tc>
        <w:tc>
          <w:tcPr>
            <w:tcW w:type="dxa" w:w="1728"/>
          </w:tcPr>
          <w:p>
            <w:r>
              <w:t>-0.03%</w:t>
            </w:r>
          </w:p>
        </w:tc>
        <w:tc>
          <w:tcPr>
            <w:tcW w:type="dxa" w:w="1728"/>
          </w:tcPr>
          <w:p>
            <w:r>
              <w:t>ACHAT</w:t>
            </w:r>
          </w:p>
        </w:tc>
      </w:tr>
      <w:tr>
        <w:tc>
          <w:tcPr>
            <w:tcW w:type="dxa" w:w="1728"/>
          </w:tcPr>
          <w:p>
            <w:r>
              <w:t>SOGC (SOGC - Société des caoutchoucs de Grand-Béréby)</w:t>
            </w:r>
          </w:p>
        </w:tc>
        <w:tc>
          <w:tcPr>
            <w:tcW w:type="dxa" w:w="1728"/>
          </w:tcPr>
          <w:p>
            <w:r>
              <w:t>3032</w:t>
            </w:r>
          </w:p>
        </w:tc>
        <w:tc>
          <w:tcPr>
            <w:tcW w:type="dxa" w:w="1728"/>
          </w:tcPr>
          <w:p>
            <w:r>
              <w:t>23803705 FCFA</w:t>
            </w:r>
          </w:p>
        </w:tc>
        <w:tc>
          <w:tcPr>
            <w:tcW w:type="dxa" w:w="1728"/>
          </w:tcPr>
          <w:p>
            <w:r>
              <w:t>7.44%</w:t>
            </w:r>
          </w:p>
        </w:tc>
        <w:tc>
          <w:tcPr>
            <w:tcW w:type="dxa" w:w="1728"/>
          </w:tcPr>
          <w:p>
            <w:r>
              <w:t>ACHAT</w:t>
            </w:r>
          </w:p>
        </w:tc>
      </w:tr>
      <w:tr>
        <w:tc>
          <w:tcPr>
            <w:tcW w:type="dxa" w:w="1728"/>
          </w:tcPr>
          <w:p>
            <w:r>
              <w:t>STBC (STBC - SITAB COTE D'IVOIRE)</w:t>
            </w:r>
          </w:p>
        </w:tc>
        <w:tc>
          <w:tcPr>
            <w:tcW w:type="dxa" w:w="1728"/>
          </w:tcPr>
          <w:p>
            <w:r>
              <w:t>2885</w:t>
            </w:r>
          </w:p>
        </w:tc>
        <w:tc>
          <w:tcPr>
            <w:tcW w:type="dxa" w:w="1728"/>
          </w:tcPr>
          <w:p>
            <w:r>
              <w:t>62678111 FCFA</w:t>
            </w:r>
          </w:p>
        </w:tc>
        <w:tc>
          <w:tcPr>
            <w:tcW w:type="dxa" w:w="1728"/>
          </w:tcPr>
          <w:p>
            <w:r>
              <w:t>2.19%</w:t>
            </w:r>
          </w:p>
        </w:tc>
        <w:tc>
          <w:tcPr>
            <w:tcW w:type="dxa" w:w="1728"/>
          </w:tcPr>
          <w:p>
            <w:r>
              <w:t>ACHAT</w:t>
            </w:r>
          </w:p>
        </w:tc>
      </w:tr>
      <w:tr>
        <w:tc>
          <w:tcPr>
            <w:tcW w:type="dxa" w:w="1728"/>
          </w:tcPr>
          <w:p>
            <w:r>
              <w:t>FTSC (FTSC - FILTISAC COTE D'IVOIRE)</w:t>
            </w:r>
          </w:p>
        </w:tc>
        <w:tc>
          <w:tcPr>
            <w:tcW w:type="dxa" w:w="1728"/>
          </w:tcPr>
          <w:p>
            <w:r>
              <w:t>2827</w:t>
            </w:r>
          </w:p>
        </w:tc>
        <w:tc>
          <w:tcPr>
            <w:tcW w:type="dxa" w:w="1728"/>
          </w:tcPr>
          <w:p>
            <w:r>
              <w:t>5819826 FCFA</w:t>
            </w:r>
          </w:p>
        </w:tc>
        <w:tc>
          <w:tcPr>
            <w:tcW w:type="dxa" w:w="1728"/>
          </w:tcPr>
          <w:p>
            <w:r>
              <w:t>-10.14%</w:t>
            </w:r>
          </w:p>
        </w:tc>
        <w:tc>
          <w:tcPr>
            <w:tcW w:type="dxa" w:w="1728"/>
          </w:tcPr>
          <w:p>
            <w:r>
              <w:t>ACHAT</w:t>
            </w:r>
          </w:p>
        </w:tc>
      </w:tr>
      <w:tr>
        <w:tc>
          <w:tcPr>
            <w:tcW w:type="dxa" w:w="1728"/>
          </w:tcPr>
          <w:p>
            <w:r>
              <w:t>CFAC (CFAC - CFAO MOTORS CI)</w:t>
            </w:r>
          </w:p>
        </w:tc>
        <w:tc>
          <w:tcPr>
            <w:tcW w:type="dxa" w:w="1728"/>
          </w:tcPr>
          <w:p>
            <w:r>
              <w:t>2745</w:t>
            </w:r>
          </w:p>
        </w:tc>
        <w:tc>
          <w:tcPr>
            <w:tcW w:type="dxa" w:w="1728"/>
          </w:tcPr>
          <w:p>
            <w:r>
              <w:t>4539469 FCFA</w:t>
            </w:r>
          </w:p>
        </w:tc>
        <w:tc>
          <w:tcPr>
            <w:tcW w:type="dxa" w:w="1728"/>
          </w:tcPr>
          <w:p>
            <w:r>
              <w:t>9.75%</w:t>
            </w:r>
          </w:p>
        </w:tc>
        <w:tc>
          <w:tcPr>
            <w:tcW w:type="dxa" w:w="1728"/>
          </w:tcPr>
          <w:p>
            <w:r>
              <w:t>ACHAT</w:t>
            </w:r>
          </w:p>
        </w:tc>
      </w:tr>
      <w:tr>
        <w:tc>
          <w:tcPr>
            <w:tcW w:type="dxa" w:w="1728"/>
          </w:tcPr>
          <w:p>
            <w:r>
              <w:t>NEIC (NEIC - NEI-CEDA CI)</w:t>
            </w:r>
          </w:p>
        </w:tc>
        <w:tc>
          <w:tcPr>
            <w:tcW w:type="dxa" w:w="1728"/>
          </w:tcPr>
          <w:p>
            <w:r>
              <w:t>2741</w:t>
            </w:r>
          </w:p>
        </w:tc>
        <w:tc>
          <w:tcPr>
            <w:tcW w:type="dxa" w:w="1728"/>
          </w:tcPr>
          <w:p>
            <w:r>
              <w:t>6768783 FCFA</w:t>
            </w:r>
          </w:p>
        </w:tc>
        <w:tc>
          <w:tcPr>
            <w:tcW w:type="dxa" w:w="1728"/>
          </w:tcPr>
          <w:p>
            <w:r>
              <w:t>28.65%</w:t>
            </w:r>
          </w:p>
        </w:tc>
        <w:tc>
          <w:tcPr>
            <w:tcW w:type="dxa" w:w="1728"/>
          </w:tcPr>
          <w:p>
            <w:r>
              <w:t>ACHAT</w:t>
            </w:r>
          </w:p>
        </w:tc>
      </w:tr>
      <w:tr>
        <w:tc>
          <w:tcPr>
            <w:tcW w:type="dxa" w:w="1728"/>
          </w:tcPr>
          <w:p>
            <w:r>
              <w:t>BNBC (BNBC - BERNABE CI)</w:t>
            </w:r>
          </w:p>
        </w:tc>
        <w:tc>
          <w:tcPr>
            <w:tcW w:type="dxa" w:w="1728"/>
          </w:tcPr>
          <w:p>
            <w:r>
              <w:t>2573</w:t>
            </w:r>
          </w:p>
        </w:tc>
        <w:tc>
          <w:tcPr>
            <w:tcW w:type="dxa" w:w="1728"/>
          </w:tcPr>
          <w:p>
            <w:r>
              <w:t>5219186 FCFA</w:t>
            </w:r>
          </w:p>
        </w:tc>
        <w:tc>
          <w:tcPr>
            <w:tcW w:type="dxa" w:w="1728"/>
          </w:tcPr>
          <w:p>
            <w:r>
              <w:t>46.15%</w:t>
            </w:r>
          </w:p>
        </w:tc>
        <w:tc>
          <w:tcPr>
            <w:tcW w:type="dxa" w:w="1728"/>
          </w:tcPr>
          <w:p>
            <w:r>
              <w:t>ACHAT</w:t>
            </w:r>
          </w:p>
        </w:tc>
      </w:tr>
      <w:tr>
        <w:tc>
          <w:tcPr>
            <w:tcW w:type="dxa" w:w="1728"/>
          </w:tcPr>
          <w:p>
            <w:r>
              <w:t>SDCC (SDCC - Société de Distribution d'Eau de Côte d'Ivoire)</w:t>
            </w:r>
          </w:p>
        </w:tc>
        <w:tc>
          <w:tcPr>
            <w:tcW w:type="dxa" w:w="1728"/>
          </w:tcPr>
          <w:p>
            <w:r>
              <w:t>2302</w:t>
            </w:r>
          </w:p>
        </w:tc>
        <w:tc>
          <w:tcPr>
            <w:tcW w:type="dxa" w:w="1728"/>
          </w:tcPr>
          <w:p>
            <w:r>
              <w:t>30041229 FCFA</w:t>
            </w:r>
          </w:p>
        </w:tc>
        <w:tc>
          <w:tcPr>
            <w:tcW w:type="dxa" w:w="1728"/>
          </w:tcPr>
          <w:p>
            <w:r>
              <w:t>42.28%</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BOAC - BANK OF AFRICA COTE D'IVOIRE</w:t>
      </w:r>
    </w:p>
    <w:p>
      <w:r>
        <w:rPr>
          <w:b/>
        </w:rPr>
        <w:t xml:space="preserve">Score de divergence: </w:t>
      </w:r>
      <w:r>
        <w:t>5/8</w:t>
        <w:br/>
      </w:r>
      <w:r>
        <w:rPr>
          <w:b/>
        </w:rPr>
        <w:t xml:space="preserve">Description: </w:t>
      </w:r>
      <w:r>
        <w:t>Signaux de vente: MM, MACD | Recommandation finale: ACHAT</w:t>
        <w:br/>
      </w:r>
    </w:p>
    <w:p/>
    <w:p>
      <w:pPr>
        <w:pStyle w:val="Heading3"/>
      </w:pPr>
      <w:r>
        <w:t>2. FTSC - FTSC - FILTISAC COTE D'IVOIRE</w:t>
      </w:r>
    </w:p>
    <w:p>
      <w:r>
        <w:rPr>
          <w:b/>
        </w:rPr>
        <w:t xml:space="preserve">Score de divergence: </w:t>
      </w:r>
      <w:r>
        <w:t>5/8</w:t>
        <w:br/>
      </w:r>
      <w:r>
        <w:rPr>
          <w:b/>
        </w:rPr>
        <w:t xml:space="preserve">Description: </w:t>
      </w:r>
      <w:r>
        <w:t>Signaux de vente: MM, MACD | Recommandation finale: ACHAT</w:t>
        <w:br/>
      </w:r>
    </w:p>
    <w:p/>
    <w:p>
      <w:pPr>
        <w:pStyle w:val="Heading3"/>
      </w:pPr>
      <w:r>
        <w:t>3. LNBB - LNBB - LOTERIE NATIONALE DU BENIN</w:t>
      </w:r>
    </w:p>
    <w:p>
      <w:r>
        <w:rPr>
          <w:b/>
        </w:rPr>
        <w:t xml:space="preserve">Score de divergence: </w:t>
      </w:r>
      <w:r>
        <w:t>5/8</w:t>
        <w:br/>
      </w:r>
      <w:r>
        <w:rPr>
          <w:b/>
        </w:rPr>
        <w:t xml:space="preserve">Description: </w:t>
      </w:r>
      <w:r>
        <w:t>Signaux de vente: MM, MACD | Recommandation finale: ACHAT</w:t>
        <w:br/>
      </w:r>
    </w:p>
    <w:p/>
    <w:p>
      <w:pPr>
        <w:pStyle w:val="Heading3"/>
      </w:pPr>
      <w:r>
        <w:t>4. SAFC - SAFCA CI</w:t>
      </w:r>
    </w:p>
    <w:p>
      <w:r>
        <w:rPr>
          <w:b/>
        </w:rPr>
        <w:t xml:space="preserve">Score de divergence: </w:t>
      </w:r>
      <w:r>
        <w:t>5/8</w:t>
        <w:br/>
      </w:r>
      <w:r>
        <w:rPr>
          <w:b/>
        </w:rPr>
        <w:t xml:space="preserve">Description: </w:t>
      </w:r>
      <w:r>
        <w:t>Signaux de vente: MM, MACD | Recommandation finale: ACHAT</w:t>
        <w:br/>
      </w:r>
    </w:p>
    <w:p/>
    <w:p>
      <w:pPr>
        <w:pStyle w:val="Heading3"/>
      </w:pPr>
      <w:r>
        <w:t>5. SPHC - SPHC - Société Africaine de Plantation d'Hévéas de Côte d'Ivoire</w:t>
      </w:r>
    </w:p>
    <w:p>
      <w:r>
        <w:rPr>
          <w:b/>
        </w:rPr>
        <w:t xml:space="preserve">Score de divergence: </w:t>
      </w:r>
      <w:r>
        <w:t>5/8</w:t>
        <w:br/>
      </w:r>
      <w:r>
        <w:rPr>
          <w:b/>
        </w:rPr>
        <w:t xml:space="preserve">Description: </w:t>
      </w:r>
      <w:r>
        <w:t>Signaux de vente: MM, MACD | Recommandation finale: ACHAT</w:t>
        <w:br/>
      </w:r>
    </w:p>
    <w:p/>
    <w:p>
      <w:pPr>
        <w:pStyle w:val="Heading3"/>
      </w:pPr>
      <w:r>
        <w:t>6. UNLC - UNLC - UNILEVER COTE D'IVOIRE</w:t>
      </w:r>
    </w:p>
    <w:p>
      <w:r>
        <w:rPr>
          <w:b/>
        </w:rPr>
        <w:t xml:space="preserve">Score de divergence: </w:t>
      </w:r>
      <w:r>
        <w:t>5/8</w:t>
        <w:br/>
      </w:r>
      <w:r>
        <w:rPr>
          <w:b/>
        </w:rPr>
        <w:t xml:space="preserve">Description: </w:t>
      </w:r>
      <w:r>
        <w:t>Signaux de vente: MM, MACD | Recommandation finale: ACHAT</w:t>
        <w:br/>
      </w:r>
    </w:p>
    <w:p/>
    <w:p>
      <w:pPr>
        <w:pStyle w:val="Heading3"/>
      </w:pPr>
      <w:r>
        <w:t>7. CFAC - CFAC - CFAO MOTORS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8.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STBC - STBC - SITAB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ABJC - ABJC - SERVAIR ABIDJAN CI</w:t>
      </w:r>
    </w:p>
    <w:p>
      <w:r>
        <w:rPr>
          <w:b/>
        </w:rPr>
        <w:t xml:space="preserve">Score de divergence: </w:t>
      </w:r>
      <w:r>
        <w:t>3/8</w:t>
        <w:br/>
      </w:r>
      <w:r>
        <w:rPr>
          <w:b/>
        </w:rPr>
        <w:t xml:space="preserve">Description: </w:t>
      </w:r>
      <w:r>
        <w:t>Signaux d'achat: MM, Bollinger, RSI, Stochastique | Signaux de vente: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30</w:t>
            </w:r>
          </w:p>
        </w:tc>
        <w:tc>
          <w:tcPr>
            <w:tcW w:type="dxa" w:w="2160"/>
          </w:tcPr>
          <w:p>
            <w:r>
              <w:t>0</w:t>
            </w:r>
          </w:p>
        </w:tc>
      </w:tr>
      <w:tr>
        <w:tc>
          <w:tcPr>
            <w:tcW w:type="dxa" w:w="2160"/>
          </w:tcPr>
          <w:p>
            <w:r>
              <w:t>Risque Moyen</w:t>
            </w:r>
          </w:p>
        </w:tc>
        <w:tc>
          <w:tcPr>
            <w:tcW w:type="dxa" w:w="2160"/>
          </w:tcPr>
          <w:p>
            <w:r>
              <w:t>0</w:t>
            </w:r>
          </w:p>
        </w:tc>
        <w:tc>
          <w:tcPr>
            <w:tcW w:type="dxa" w:w="2160"/>
          </w:tcPr>
          <w:p>
            <w:r>
              <w:t>18</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BBGC (BRIDGE BANK GROUP COTE D'IVOIRE)</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PALC (PALC - PALM COTE D'IVOIRE)</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STAC (STAC - SETAO COTE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NSBC (NSBC - NSIA BANQUE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SIVC (SIVC - ERIUM CI (Ex AIR LIQUIDECI))</w:t>
      </w:r>
    </w:p>
    <w:p>
      <w:pPr>
        <w:pStyle w:val="ListBullet"/>
      </w:pPr>
      <w:r>
        <w:t>• SNTS (SNTS - SONATEL SN)</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008000"/>
          <w:sz w:val="18"/>
        </w:rPr>
        <w:t>**Flambée des matières premières** (pétrole, cuivre, blé) — Coface signale une hausse significative alimentée par des tensions d'approvisionnement (Sentiment négatif).</w:t>
      </w:r>
    </w:p>
    <w:p>
      <w:pPr>
        <w:pStyle w:val="ListBullet"/>
        <w:spacing w:before="20" w:after="20"/>
        <w:ind w:left="360"/>
      </w:pPr>
      <w:r>
        <w:rPr>
          <w:sz w:val="18"/>
        </w:rPr>
        <w:t>**France isolée face aux marchés** ; BCE et Allemagne silencieuses (Atlantico, 05/10) — incertitude sur la trajectoire monétaire européenne.</w:t>
      </w:r>
    </w:p>
    <w:p>
      <w:pPr>
        <w:pStyle w:val="ListBullet"/>
        <w:spacing w:before="20" w:after="20"/>
        <w:ind w:left="360"/>
      </w:pPr>
      <w:r>
        <w:rPr>
          <w:sz w:val="18"/>
        </w:rPr>
        <w:t>**EUR/XOF** : analyse technique neutre, perspectives de change stables (DailyForex, 05/10).</w:t>
      </w:r>
    </w:p>
    <w:p>
      <w:pPr>
        <w:pStyle w:val="Heading3"/>
      </w:pPr>
      <w:r>
        <w:rPr>
          <w:color w:val="500050"/>
        </w:rPr>
        <w:t>⚡ Impact estimé sur la BRVM</w:t>
      </w:r>
    </w:p>
    <w:p>
      <w:pPr>
        <w:spacing w:before="20" w:after="40"/>
        <w:ind w:left="280"/>
      </w:pPr>
      <w:r>
        <w:rPr>
          <w:i/>
          <w:sz w:val="18"/>
        </w:rPr>
        <w:t>La hausse du pétrole renchérit les coûts pour **TTLC** et **TTLS** (énergie) et pèse sur les marges des industriels. Le blé et le cuivre en hausse affectent **SLBC** et **NTLC** (agro-alimentaire) via les intrants. La stabilité EUR/XOF neutralise le risque de change pour les investisseurs européens.</w:t>
      </w:r>
    </w:p>
    <w:p>
      <w:pPr>
        <w:pStyle w:val="Heading2"/>
      </w:pPr>
      <w:r>
        <w:rPr>
          <w:color w:val="006E32"/>
        </w:rPr>
        <w:t>🌍 Plan Africain</w:t>
      </w:r>
    </w:p>
    <w:p>
      <w:pPr>
        <w:pStyle w:val="ListBullet"/>
        <w:spacing w:before="20" w:after="20"/>
        <w:ind w:left="360"/>
      </w:pPr>
      <w:r>
        <w:rPr>
          <w:color w:val="008000"/>
          <w:sz w:val="18"/>
        </w:rPr>
        <w:t>**Croissance solide mais défi d'investissement** (Africanews, 01/10) — sentiment positif.</w:t>
      </w:r>
    </w:p>
    <w:p>
      <w:pPr>
        <w:pStyle w:val="ListBullet"/>
        <w:spacing w:before="20" w:after="20"/>
        <w:ind w:left="360"/>
      </w:pPr>
      <w:r>
        <w:rPr>
          <w:color w:val="C00000"/>
          <w:sz w:val="18"/>
        </w:rPr>
        <w:t>**Dépendance au dollar persistante** malgré l'offensive chinoise en yuan (Les Echos, 23/09) — risque de refinancement.</w:t>
      </w:r>
    </w:p>
    <w:p>
      <w:pPr>
        <w:pStyle w:val="ListBullet"/>
        <w:spacing w:before="20" w:after="20"/>
        <w:ind w:left="360"/>
      </w:pPr>
      <w:r>
        <w:rPr>
          <w:sz w:val="18"/>
        </w:rPr>
        <w:t>**Plaidoyer d'Amara pour la transformation économique** du continent (lav, 26/09).</w:t>
      </w:r>
    </w:p>
    <w:p>
      <w:pPr>
        <w:pStyle w:val="Heading3"/>
      </w:pPr>
      <w:r>
        <w:rPr>
          <w:color w:val="500050"/>
        </w:rPr>
        <w:t>⚡ Impact estimé sur la BRVM</w:t>
      </w:r>
    </w:p>
    <w:p>
      <w:pPr>
        <w:spacing w:before="20" w:after="40"/>
        <w:ind w:left="280"/>
      </w:pPr>
      <w:r>
        <w:rPr>
          <w:i/>
          <w:sz w:val="18"/>
        </w:rPr>
        <w:t>La croissance africaine soutient les volumes d'affaires des sociétés panafricaines comme **SNTS** (télécoms) et **SGBC** (banque). La dépendance au dollar reste un risque pour les émetteurs ayant des dettes en devises, mais impact limité sur les sociétés BRVM majoritairement domestiques.</w:t>
      </w:r>
    </w:p>
    <w:p>
      <w:pPr>
        <w:pStyle w:val="Heading2"/>
      </w:pPr>
      <w:r>
        <w:rPr>
          <w:color w:val="145A28"/>
        </w:rPr>
        <w:t>🌍 Plan Afrique de l'Ouest</w:t>
      </w:r>
    </w:p>
    <w:p>
      <w:pPr>
        <w:pStyle w:val="ListBullet"/>
        <w:spacing w:before="20" w:after="20"/>
        <w:ind w:left="360"/>
      </w:pPr>
      <w:r>
        <w:rPr>
          <w:color w:val="008000"/>
          <w:sz w:val="18"/>
        </w:rPr>
        <w:t>**Forum d'investissement CEDEAO 2027** lancé, mobilisant investisseurs et partenaires (01/10) — positif.</w:t>
      </w:r>
    </w:p>
    <w:p>
      <w:pPr>
        <w:pStyle w:val="ListBullet"/>
        <w:spacing w:before="20" w:after="20"/>
        <w:ind w:left="360"/>
      </w:pPr>
      <w:r>
        <w:rPr>
          <w:sz w:val="18"/>
        </w:rPr>
        <w:t>**Guinée-Bissau** : crise politique avec Embalo bloqué par les militaires (04/10) — négatif.</w:t>
      </w:r>
    </w:p>
    <w:p>
      <w:pPr>
        <w:pStyle w:val="ListBullet"/>
        <w:spacing w:before="20" w:after="20"/>
        <w:ind w:left="360"/>
      </w:pPr>
      <w:r>
        <w:rPr>
          <w:sz w:val="18"/>
        </w:rPr>
        <w:t>**Diomaye Faye en Égypte** pour harmoniser la voix CEDEAO (02/10) — neutre.</w:t>
      </w:r>
    </w:p>
    <w:p>
      <w:pPr>
        <w:pStyle w:val="Heading3"/>
      </w:pPr>
      <w:r>
        <w:rPr>
          <w:color w:val="500050"/>
        </w:rPr>
        <w:t>⚡ Impact estimé sur la BRVM</w:t>
      </w:r>
    </w:p>
    <w:p>
      <w:pPr>
        <w:spacing w:before="20" w:after="40"/>
        <w:ind w:left="280"/>
      </w:pPr>
      <w:r>
        <w:rPr>
          <w:i/>
          <w:sz w:val="18"/>
        </w:rPr>
        <w:t>Le forum CEDEAO 2027 pourrait catalyser des flux vers les valeurs régionales. La crise bissau-guinéenne reste périphérique pour la BRVM (peu de sociétés exposées). La coordination diplomatique renforce la stabilité sous-régionale, favorable aux banques comme **BICB** et **SIBC**.</w:t>
      </w:r>
    </w:p>
    <w:p>
      <w:pPr>
        <w:pStyle w:val="Heading2"/>
      </w:pPr>
      <w:r>
        <w:rPr>
          <w:color w:val="8C4600"/>
        </w:rPr>
        <w:t>🏦 Plan UEMOA / Zone Franc</w:t>
      </w:r>
    </w:p>
    <w:p>
      <w:pPr>
        <w:pStyle w:val="ListBullet"/>
        <w:spacing w:before="20" w:after="20"/>
        <w:ind w:left="360"/>
      </w:pPr>
      <w:r>
        <w:rPr>
          <w:sz w:val="18"/>
        </w:rPr>
        <w:t>**Sonelgaz (Algérie)** poursuit son expansion en Afrique de l'Ouest après Mali, Niger, Cameroun (03/10) — concurrence énergétique.</w:t>
      </w:r>
    </w:p>
    <w:p>
      <w:pPr>
        <w:pStyle w:val="ListBullet"/>
        <w:spacing w:before="20" w:after="20"/>
        <w:ind w:left="360"/>
      </w:pPr>
      <w:r>
        <w:rPr>
          <w:color w:val="008000"/>
          <w:sz w:val="18"/>
        </w:rPr>
        <w:t>**Apaisement politique en Côte d'Ivoire** (Séraphin Prao, 02/10) — positif.</w:t>
      </w:r>
    </w:p>
    <w:p>
      <w:pPr>
        <w:pStyle w:val="ListBullet"/>
        <w:spacing w:before="20" w:after="20"/>
        <w:ind w:left="360"/>
      </w:pPr>
      <w:r>
        <w:rPr>
          <w:color w:val="C00000"/>
          <w:sz w:val="18"/>
        </w:rPr>
        <w:t>**EUR/XOF stable** — pas de pression sur le FCFA.</w:t>
      </w:r>
    </w:p>
    <w:p>
      <w:pPr>
        <w:pStyle w:val="Heading3"/>
      </w:pPr>
      <w:r>
        <w:rPr>
          <w:color w:val="500050"/>
        </w:rPr>
        <w:t>⚡ Impact estimé sur la BRVM</w:t>
      </w:r>
    </w:p>
    <w:p>
      <w:pPr>
        <w:spacing w:before="20" w:after="40"/>
        <w:ind w:left="280"/>
      </w:pPr>
      <w:r>
        <w:rPr>
          <w:i/>
          <w:sz w:val="18"/>
        </w:rPr>
        <w:t>L'arrivée de Sonelgaz accroît la concurrence pour **TTLC/TTLS** (énergie) mais peut aussi stimuler les partenariats. L'apaisement ivoirien soutient l'ensemble du marché (place d'Abidjan). Stabilité FCFA = environnement favorable aux banques **SGBC, BICB, SIBC** et à la distribution **BNBC, PRSC**.</w:t>
      </w:r>
    </w:p>
    <w:p>
      <w:pPr>
        <w:pStyle w:val="Heading2"/>
      </w:pPr>
      <w:r>
        <w:rPr>
          <w:color w:val="003366"/>
        </w:rPr>
        <w:t>📈 Plan BRVM</w:t>
      </w:r>
    </w:p>
    <w:p>
      <w:pPr>
        <w:pStyle w:val="ListBullet"/>
        <w:spacing w:before="20" w:after="20"/>
        <w:ind w:left="360"/>
      </w:pPr>
      <w:r>
        <w:rPr>
          <w:color w:val="008000"/>
          <w:sz w:val="18"/>
        </w:rPr>
        <w:t>**Résultats encourageants des sociétés cotées ivoiriennes** (La Tribune, 09/06) — positif.</w:t>
      </w:r>
    </w:p>
    <w:p>
      <w:pPr>
        <w:pStyle w:val="ListBullet"/>
        <w:spacing w:before="20" w:after="20"/>
        <w:ind w:left="360"/>
      </w:pPr>
      <w:r>
        <w:rPr>
          <w:sz w:val="18"/>
        </w:rPr>
        <w:t>Indice BRVM Composite à **549.02** — niveau à surveiller.</w:t>
      </w:r>
    </w:p>
    <w:p>
      <w:pPr>
        <w:pStyle w:val="ListBullet"/>
        <w:spacing w:before="20" w:after="20"/>
        <w:ind w:left="360"/>
      </w:pPr>
      <w:r>
        <w:rPr>
          <w:sz w:val="18"/>
        </w:rPr>
        <w:t>Données de volumes et mouvements spécifiques : **Données insuffisantes.**</w:t>
      </w:r>
    </w:p>
    <w:p>
      <w:pPr>
        <w:pStyle w:val="Heading3"/>
      </w:pPr>
      <w:r>
        <w:rPr>
          <w:color w:val="500050"/>
        </w:rPr>
        <w:t>⚡ Impact estimé sur la BRVM</w:t>
      </w:r>
    </w:p>
    <w:p>
      <w:pPr>
        <w:spacing w:before="20" w:after="40"/>
        <w:ind w:left="280"/>
      </w:pPr>
      <w:r>
        <w:rPr>
          <w:i/>
          <w:sz w:val="18"/>
        </w:rPr>
        <w:t>Recommandations : **SGBC/BICB** (secteur financier porteur, stabilité politique) → conserver ; **SNTS/ONTBF** (télécoms défensifs) → accumuler ; **TTLC/TTLS** (pression coûts énergie) → prudence ; **SLBC/NTLC** (intrants chers) → surveiller marges ; **BNBC/PRSC** (consommation discrétionnaire) → opportunité si apaisement confirmé.</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**France isolée** face aux marchés, BCE muette (05/10) — incertitude zone euro.</w:t>
      </w:r>
    </w:p>
    <w:p>
      <w:pPr>
        <w:pStyle w:val="ListBullet"/>
        <w:spacing w:before="20" w:after="20"/>
        <w:ind w:left="360"/>
      </w:pPr>
      <w:r>
        <w:rPr>
          <w:sz w:val="18"/>
        </w:rPr>
        <w:t>**Flambée matières premières** liée à tensions géopolitiques (Coface, 02/10).</w:t>
      </w:r>
    </w:p>
    <w:p>
      <w:pPr>
        <w:pStyle w:val="Heading3"/>
      </w:pPr>
      <w:r>
        <w:rPr>
          <w:color w:val="500050"/>
        </w:rPr>
        <w:t>⚡ Impact estimé sur la BRVM</w:t>
      </w:r>
    </w:p>
    <w:p>
      <w:pPr>
        <w:spacing w:before="20" w:after="40"/>
        <w:ind w:left="280"/>
      </w:pPr>
      <w:r>
        <w:rPr>
          <w:i/>
          <w:sz w:val="18"/>
        </w:rPr>
        <w:t>L'incertitude européenne peut détourner certains capitaux vers les marchés frontières africains, dont la BRVM, mais accroît aussi l'aversion au risque. Les investisseurs institutionnels européens pourraient réduire leur exposition aux actifs risqués.</w:t>
      </w:r>
    </w:p>
    <w:p>
      <w:pPr>
        <w:pStyle w:val="Heading2"/>
      </w:pPr>
      <w:r>
        <w:rPr>
          <w:color w:val="006E32"/>
        </w:rPr>
        <w:t>🌍 Plan Africain</w:t>
      </w:r>
    </w:p>
    <w:p>
      <w:pPr>
        <w:pStyle w:val="ListBullet"/>
        <w:spacing w:before="20" w:after="20"/>
        <w:ind w:left="360"/>
      </w:pPr>
      <w:r>
        <w:rPr>
          <w:sz w:val="18"/>
        </w:rPr>
        <w:t>**Guinée-Bissau** : crise institutionnelle (04/10) — négatif.</w:t>
      </w:r>
    </w:p>
    <w:p>
      <w:pPr>
        <w:pStyle w:val="ListBullet"/>
        <w:spacing w:before="20" w:after="20"/>
        <w:ind w:left="360"/>
      </w:pPr>
      <w:r>
        <w:rPr>
          <w:sz w:val="18"/>
        </w:rPr>
        <w:t>**Dette en dollar** : vulnérabilité persistante (23/09).</w:t>
      </w:r>
    </w:p>
    <w:p>
      <w:pPr>
        <w:pStyle w:val="Heading3"/>
      </w:pPr>
      <w:r>
        <w:rPr>
          <w:color w:val="500050"/>
        </w:rPr>
        <w:t>⚡ Impact estimé sur la BRVM</w:t>
      </w:r>
    </w:p>
    <w:p>
      <w:pPr>
        <w:spacing w:before="20" w:after="40"/>
        <w:ind w:left="280"/>
      </w:pPr>
      <w:r>
        <w:rPr>
          <w:i/>
          <w:sz w:val="18"/>
        </w:rPr>
        <w:t>Flux de capitaux vers l'Afrique de l'Ouest stables mais prudents. La confiance des investisseurs reste soutenue par la stabilité relative de la Côte d'Ivoire et du Sénégal.</w:t>
      </w:r>
    </w:p>
    <w:p>
      <w:pPr>
        <w:pStyle w:val="Heading2"/>
      </w:pPr>
      <w:r>
        <w:rPr>
          <w:color w:val="145A28"/>
        </w:rPr>
        <w:t>🌍 Plan Afrique de l'Ouest</w:t>
      </w:r>
    </w:p>
    <w:p>
      <w:pPr>
        <w:pStyle w:val="ListBullet"/>
        <w:spacing w:before="20" w:after="20"/>
        <w:ind w:left="360"/>
      </w:pPr>
      <w:r>
        <w:rPr>
          <w:sz w:val="18"/>
        </w:rPr>
        <w:t>**CEDEAO** : mobilisation pour le forum 2027 (01/10).</w:t>
      </w:r>
    </w:p>
    <w:p>
      <w:pPr>
        <w:pStyle w:val="ListBullet"/>
        <w:spacing w:before="20" w:after="20"/>
        <w:ind w:left="360"/>
      </w:pPr>
      <w:r>
        <w:rPr>
          <w:sz w:val="18"/>
        </w:rPr>
        <w:t>**Guinée-Bissau** : tension politique majeure (04/10).</w:t>
      </w:r>
    </w:p>
    <w:p>
      <w:pPr>
        <w:pStyle w:val="ListBullet"/>
        <w:spacing w:before="20" w:after="20"/>
        <w:ind w:left="360"/>
      </w:pPr>
      <w:r>
        <w:rPr>
          <w:sz w:val="18"/>
        </w:rPr>
        <w:t>**Sénégal-Égypte** : coordination diplomatique (02/10).</w:t>
      </w:r>
    </w:p>
    <w:p>
      <w:pPr>
        <w:pStyle w:val="Heading3"/>
      </w:pPr>
      <w:r>
        <w:rPr>
          <w:color w:val="500050"/>
        </w:rPr>
        <w:t>⚡ Impact estimé sur la BRVM</w:t>
      </w:r>
    </w:p>
    <w:p>
      <w:pPr>
        <w:spacing w:before="20" w:after="40"/>
        <w:ind w:left="280"/>
      </w:pPr>
      <w:r>
        <w:rPr>
          <w:i/>
          <w:sz w:val="18"/>
        </w:rPr>
        <w:t>Risque spécifique limité pour les sociétés cotées (faible exposition à la Guinée-Bissau). La stabilité sénégalaise et ivoirienne reste le socle de la BRVM.</w:t>
      </w:r>
    </w:p>
    <w:p>
      <w:pPr>
        <w:pStyle w:val="Heading2"/>
      </w:pPr>
      <w:r>
        <w:rPr>
          <w:color w:val="8C4600"/>
        </w:rPr>
        <w:t>🏦 Plan UEMOA / Zone Franc</w:t>
      </w:r>
    </w:p>
    <w:p>
      <w:pPr>
        <w:pStyle w:val="ListBullet"/>
        <w:spacing w:before="20" w:after="20"/>
        <w:ind w:left="360"/>
      </w:pPr>
      <w:r>
        <w:rPr>
          <w:color w:val="008000"/>
          <w:sz w:val="18"/>
        </w:rPr>
        <w:t>**Côte d'Ivoire** : appel à l'apaisement politique (02/10) — positif.</w:t>
      </w:r>
    </w:p>
    <w:p>
      <w:pPr>
        <w:pStyle w:val="ListBullet"/>
        <w:spacing w:before="20" w:after="20"/>
        <w:ind w:left="360"/>
      </w:pPr>
      <w:r>
        <w:rPr>
          <w:color w:val="008000"/>
          <w:sz w:val="18"/>
        </w:rPr>
        <w:t>**Sénégal** : victoire sportive (05/10) — sentiment positif indirect.</w:t>
      </w:r>
    </w:p>
    <w:p>
      <w:pPr>
        <w:pStyle w:val="Heading3"/>
      </w:pPr>
      <w:r>
        <w:rPr>
          <w:color w:val="500050"/>
        </w:rPr>
        <w:t>⚡ Impact estimé sur la BRVM</w:t>
      </w:r>
    </w:p>
    <w:p>
      <w:pPr>
        <w:spacing w:before="20" w:after="40"/>
        <w:ind w:left="280"/>
      </w:pPr>
      <w:r>
        <w:rPr>
          <w:i/>
          <w:sz w:val="18"/>
        </w:rPr>
        <w:t>Environnement politique UEMOA globalement stable, favorable aux valeurs bancaires **SGBC, BICB, SIBC** et à la consommation **BNBC, PRSC, SLBC**.</w:t>
      </w:r>
    </w:p>
    <w:p>
      <w:pPr>
        <w:pStyle w:val="Heading2"/>
      </w:pPr>
      <w:r>
        <w:rPr>
          <w:color w:val="003366"/>
        </w:rPr>
        <w:t>📈 Plan BRVM</w:t>
      </w:r>
    </w:p>
    <w:p>
      <w:pPr>
        <w:pStyle w:val="ListBullet"/>
        <w:spacing w:before="20" w:after="20"/>
        <w:ind w:left="360"/>
      </w:pPr>
      <w:r>
        <w:rPr>
          <w:sz w:val="18"/>
        </w:rPr>
        <w:t>**Réglementation CREPMF, nouvelles cotations** : Données insuffisantes.</w:t>
      </w:r>
    </w:p>
    <w:p>
      <w:pPr>
        <w:pStyle w:val="ListBullet"/>
        <w:spacing w:before="20" w:after="20"/>
        <w:ind w:left="360"/>
      </w:pPr>
      <w:r>
        <w:rPr>
          <w:sz w:val="18"/>
        </w:rPr>
        <w:t>**Gouvernance** : Données insuffisantes.</w:t>
      </w:r>
    </w:p>
    <w:p>
      <w:pPr>
        <w:pStyle w:val="Heading3"/>
      </w:pPr>
      <w:r>
        <w:rPr>
          <w:color w:val="500050"/>
        </w:rPr>
        <w:t>⚡ Impact estimé sur la BRVM</w:t>
      </w:r>
    </w:p>
    <w:p>
      <w:pPr>
        <w:spacing w:before="20" w:after="40"/>
        <w:ind w:left="280"/>
      </w:pPr>
      <w:r>
        <w:rPr>
          <w:i/>
          <w:sz w:val="18"/>
        </w:rPr>
        <w:t>Données insuffisantes pour évaluer les évolutions réglementaires récentes.</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sz w:val="18"/>
        </w:rPr>
        <w:t>**EUR/XOF** : perspectives neutres (05/10).</w:t>
      </w:r>
    </w:p>
    <w:p>
      <w:pPr>
        <w:pStyle w:val="ListBullet"/>
        <w:spacing w:before="20" w:after="20"/>
        <w:ind w:left="360"/>
      </w:pPr>
      <w:r>
        <w:rPr>
          <w:sz w:val="18"/>
        </w:rPr>
        <w:t>**France/BCE** : silence monétaire, incertitude (05/10).</w:t>
      </w:r>
    </w:p>
    <w:p>
      <w:pPr>
        <w:pStyle w:val="ListBullet"/>
        <w:spacing w:before="20" w:after="20"/>
        <w:ind w:left="360"/>
      </w:pPr>
      <w:r>
        <w:rPr>
          <w:sz w:val="18"/>
        </w:rPr>
        <w:t>**Matières premières** : flambée (02/10).</w:t>
      </w:r>
    </w:p>
    <w:p>
      <w:pPr>
        <w:pStyle w:val="Heading3"/>
      </w:pPr>
      <w:r>
        <w:rPr>
          <w:color w:val="500050"/>
        </w:rPr>
        <w:t>⚡ Impact estimé sur la BRVM</w:t>
      </w:r>
    </w:p>
    <w:p>
      <w:pPr>
        <w:spacing w:before="20" w:after="40"/>
        <w:ind w:left="280"/>
      </w:pPr>
      <w:r>
        <w:rPr>
          <w:i/>
          <w:sz w:val="18"/>
        </w:rPr>
        <w:t>Corrélation limitée avec Wall Street, mais sensibilité aux flux émergents. Un dollar fort (dette africaine) et des matières premières chères pèsent sur les importateurs BRVM.</w:t>
      </w:r>
    </w:p>
    <w:p>
      <w:pPr>
        <w:pStyle w:val="Heading2"/>
      </w:pPr>
      <w:r>
        <w:rPr>
          <w:color w:val="006E32"/>
        </w:rPr>
        <w:t>🌍 Plan Africain</w:t>
      </w:r>
    </w:p>
    <w:p>
      <w:pPr>
        <w:pStyle w:val="ListBullet"/>
        <w:spacing w:before="20" w:after="20"/>
        <w:ind w:left="360"/>
      </w:pPr>
      <w:r>
        <w:rPr>
          <w:sz w:val="18"/>
        </w:rPr>
        <w:t>**Eurobonds, notations souveraines** : Données insuffisantes.</w:t>
      </w:r>
    </w:p>
    <w:p>
      <w:pPr>
        <w:pStyle w:val="ListBullet"/>
        <w:spacing w:before="20" w:after="20"/>
        <w:ind w:left="360"/>
      </w:pPr>
      <w:r>
        <w:rPr>
          <w:color w:val="C00000"/>
          <w:sz w:val="18"/>
        </w:rPr>
        <w:t>**Dépendance dollar** : risque de refinancement (23/09).</w:t>
      </w:r>
    </w:p>
    <w:p>
      <w:pPr>
        <w:pStyle w:val="Heading3"/>
      </w:pPr>
      <w:r>
        <w:rPr>
          <w:color w:val="500050"/>
        </w:rPr>
        <w:t>⚡ Impact estimé sur la BRVM</w:t>
      </w:r>
    </w:p>
    <w:p>
      <w:pPr>
        <w:spacing w:before="20" w:after="40"/>
        <w:ind w:left="280"/>
      </w:pPr>
      <w:r>
        <w:rPr>
          <w:i/>
          <w:sz w:val="18"/>
        </w:rPr>
        <w:t>Concurrence limitée des autres marchés africains pour les capitaux, la BRVM restant une place de niche. Risque souverain régional contenu.</w:t>
      </w:r>
    </w:p>
    <w:p>
      <w:pPr>
        <w:pStyle w:val="Heading2"/>
      </w:pPr>
      <w:r>
        <w:rPr>
          <w:color w:val="145A28"/>
        </w:rPr>
        <w:t>🌍 Plan Afrique de l'Ouest</w:t>
      </w:r>
    </w:p>
    <w:p>
      <w:pPr>
        <w:pStyle w:val="ListBullet"/>
        <w:spacing w:before="20" w:after="20"/>
        <w:ind w:left="360"/>
      </w:pPr>
      <w:r>
        <w:rPr>
          <w:sz w:val="18"/>
        </w:rPr>
        <w:t>**Bourses concurrentes** : Données insuffisantes.</w:t>
      </w:r>
    </w:p>
    <w:p>
      <w:pPr>
        <w:pStyle w:val="ListBullet"/>
        <w:spacing w:before="20" w:after="20"/>
        <w:ind w:left="360"/>
      </w:pPr>
      <w:r>
        <w:rPr>
          <w:sz w:val="18"/>
        </w:rPr>
        <w:t>**Flux sous-régionaux** : portés par le forum CEDEAO 2027.</w:t>
      </w:r>
    </w:p>
    <w:p>
      <w:pPr>
        <w:pStyle w:val="Heading3"/>
      </w:pPr>
      <w:r>
        <w:rPr>
          <w:color w:val="500050"/>
        </w:rPr>
        <w:t>⚡ Impact estimé sur la BRVM</w:t>
      </w:r>
    </w:p>
    <w:p>
      <w:pPr>
        <w:spacing w:before="20" w:after="40"/>
        <w:ind w:left="280"/>
      </w:pPr>
      <w:r>
        <w:rPr>
          <w:i/>
          <w:sz w:val="18"/>
        </w:rPr>
        <w:t>La BRVM reste la principale place de la sous-région ; le forum 2027 pourrait accroître sa visibilité.</w:t>
      </w:r>
    </w:p>
    <w:p>
      <w:pPr>
        <w:pStyle w:val="Heading2"/>
      </w:pPr>
      <w:r>
        <w:rPr>
          <w:color w:val="8C4600"/>
        </w:rPr>
        <w:t>🏦 Plan UEMOA / Zone Franc</w:t>
      </w:r>
    </w:p>
    <w:p>
      <w:pPr>
        <w:pStyle w:val="ListBullet"/>
        <w:spacing w:before="20" w:after="20"/>
        <w:ind w:left="360"/>
      </w:pPr>
      <w:r>
        <w:rPr>
          <w:sz w:val="18"/>
        </w:rPr>
        <w:t>**Marché des titres publics, taux interbancaire** : Données insuffisantes.</w:t>
      </w:r>
    </w:p>
    <w:p>
      <w:pPr>
        <w:pStyle w:val="ListBullet"/>
        <w:spacing w:before="20" w:after="20"/>
        <w:ind w:left="360"/>
      </w:pPr>
      <w:r>
        <w:rPr>
          <w:sz w:val="18"/>
        </w:rPr>
        <w:t>**Liquidité bancaire** : Données insuffisantes.</w:t>
      </w:r>
    </w:p>
    <w:p>
      <w:pPr>
        <w:pStyle w:val="Heading3"/>
      </w:pPr>
      <w:r>
        <w:rPr>
          <w:color w:val="500050"/>
        </w:rPr>
        <w:t>⚡ Impact estimé sur la BRVM</w:t>
      </w:r>
    </w:p>
    <w:p>
      <w:pPr>
        <w:spacing w:before="20" w:after="40"/>
        <w:ind w:left="280"/>
      </w:pPr>
      <w:r>
        <w:rPr>
          <w:i/>
          <w:sz w:val="18"/>
        </w:rPr>
        <w:t>Arbitrage titres publics/actions : Données insuffisantes pour trancher.</w:t>
      </w:r>
    </w:p>
    <w:p>
      <w:pPr>
        <w:pStyle w:val="Heading2"/>
      </w:pPr>
      <w:r>
        <w:rPr>
          <w:color w:val="003366"/>
        </w:rPr>
        <w:t>📈 Plan BRVM</w:t>
      </w:r>
    </w:p>
    <w:p>
      <w:pPr>
        <w:pStyle w:val="ListBullet"/>
        <w:spacing w:before="20" w:after="20"/>
        <w:ind w:left="360"/>
      </w:pPr>
      <w:r>
        <w:rPr>
          <w:sz w:val="18"/>
        </w:rPr>
        <w:t>**Indice composite : 549.02**.</w:t>
      </w:r>
    </w:p>
    <w:p>
      <w:pPr>
        <w:pStyle w:val="ListBullet"/>
        <w:spacing w:before="20" w:after="20"/>
        <w:ind w:left="360"/>
      </w:pPr>
      <w:r>
        <w:rPr>
          <w:sz w:val="18"/>
        </w:rPr>
        <w:t>**Résultats ivoiriens encourageants** (09/06).</w:t>
      </w:r>
    </w:p>
    <w:p>
      <w:pPr>
        <w:pStyle w:val="ListBullet"/>
        <w:spacing w:before="20" w:after="20"/>
        <w:ind w:left="360"/>
      </w:pPr>
      <w:r>
        <w:rPr>
          <w:sz w:val="18"/>
        </w:rPr>
        <w:t>**Top/flop, volumes** : Données insuffisantes.</w:t>
      </w:r>
    </w:p>
    <w:p>
      <w:pPr>
        <w:pStyle w:val="Heading3"/>
      </w:pPr>
      <w:r>
        <w:rPr>
          <w:color w:val="500050"/>
        </w:rPr>
        <w:t>⚡ Impact estimé sur la BRVM</w:t>
      </w:r>
    </w:p>
    <w:p>
      <w:pPr>
        <w:pStyle w:val="ListBullet"/>
        <w:spacing w:before="20" w:after="20"/>
        <w:ind w:left="560"/>
      </w:pPr>
      <w:r>
        <w:rPr>
          <w:color w:val="500050"/>
          <w:sz w:val="18"/>
        </w:rPr>
        <w:t>**SGBC, BICB, SIBC** : conserver (stabilité + résultats).</w:t>
      </w:r>
    </w:p>
    <w:p>
      <w:pPr>
        <w:pStyle w:val="ListBullet"/>
        <w:spacing w:before="20" w:after="20"/>
        <w:ind w:left="560"/>
      </w:pPr>
      <w:r>
        <w:rPr>
          <w:color w:val="500050"/>
          <w:sz w:val="18"/>
        </w:rPr>
        <w:t>**SNTS, ONTBF** : accumuler (défensif).</w:t>
      </w:r>
    </w:p>
    <w:p>
      <w:pPr>
        <w:pStyle w:val="ListBullet"/>
        <w:spacing w:before="20" w:after="20"/>
        <w:ind w:left="560"/>
      </w:pPr>
      <w:r>
        <w:rPr>
          <w:color w:val="500050"/>
          <w:sz w:val="18"/>
        </w:rPr>
        <w:t>**TTLC, TTLS** : alléger (coûts énergie).</w:t>
      </w:r>
    </w:p>
    <w:p>
      <w:pPr>
        <w:pStyle w:val="ListBullet"/>
        <w:spacing w:before="20" w:after="20"/>
        <w:ind w:left="560"/>
      </w:pPr>
      <w:r>
        <w:rPr>
          <w:color w:val="500050"/>
          <w:sz w:val="18"/>
        </w:rPr>
        <w:t>**SLBC, NTLC** : surveiller (intrants).</w:t>
      </w:r>
    </w:p>
    <w:p>
      <w:pPr>
        <w:pStyle w:val="ListBullet"/>
        <w:spacing w:before="20" w:after="20"/>
        <w:ind w:left="560"/>
      </w:pPr>
      <w:r>
        <w:rPr>
          <w:color w:val="500050"/>
          <w:sz w:val="18"/>
        </w:rPr>
        <w:t>**BNBC, PRSC** : opportunité tactique.</w:t>
      </w:r>
    </w:p>
    <w:p>
      <w:pPr>
        <w:pStyle w:val="ListBullet"/>
        <w:spacing w:before="20" w:after="20"/>
        <w:ind w:left="560"/>
      </w:pPr>
      <w:r>
        <w:rPr>
          <w:color w:val="500050"/>
          <w:sz w:val="18"/>
        </w:rPr>
        <w:t>**ABJC, NEIC** : neutre.</w:t>
      </w:r>
    </w:p>
    <w:p>
      <w:pPr>
        <w:pStyle w:val="Heading1"/>
      </w:pPr>
      <w:r>
        <w:rPr>
          <w:color w:val="003366"/>
        </w:rPr>
        <w:t>🎯 SYNTHÈSE &amp; RECOMMANDATION FINALE</w:t>
      </w:r>
    </w:p>
    <w:p>
      <w:pPr>
        <w:spacing w:before="120"/>
      </w:pPr>
      <w:r>
        <w:rPr>
          <w:b/>
          <w:color w:val="C85000"/>
          <w:sz w:val="22"/>
        </w:rPr>
        <w:t>**Niveau d'alerte global : ORANGE**</w:t>
      </w:r>
    </w:p>
    <w:p>
      <w:pPr>
        <w:spacing w:before="20" w:after="40"/>
        <w:ind w:left="0"/>
      </w:pPr>
      <w:r>
        <w:rPr>
          <w:sz w:val="18"/>
        </w:rPr>
        <w:t>L'environnement mondial est marqué par une flambée des matières premières et une incertitude européenne, ce qui pèse sur les coûts des sociétés BRVM exposées à l'énergie (**TTLC, TTLS**) et à l'agro-alimentaire (**SLBC, NTLC**). Toutefois, la stabilité politique ivoirienne et sénégalaise, les résultats encourageants des sociétés cotées et le dynamisme du forum CEDEAO 2027 soutiennent les secteurs bancaire (**SGBC, BICB, SIBC**) et télécoms (**SNTS, ONTBF**). Recommandation : privilégier les valeurs défensives et bancaires, alléger l'énergie, surveiller les marges agro-industrielles.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Analyse de l’EUR/XOF aujourd'hui 05/10: perspectives et niveaux clés (</w:t>
            </w:r>
          </w:p>
        </w:tc>
        <w:tc>
          <w:tcPr>
            <w:tcW w:type="dxa" w:w="1728"/>
          </w:tcPr>
          <w:p>
            <w:r>
              <w:rPr>
                <w:sz w:val="14"/>
              </w:rPr>
              <w:t>Neutre</w:t>
            </w:r>
          </w:p>
        </w:tc>
        <w:tc>
          <w:tcPr>
            <w:tcW w:type="dxa" w:w="1728"/>
          </w:tcPr>
          <w:p>
            <w:r>
              <w:rPr>
                <w:sz w:val="14"/>
              </w:rPr>
              <w:t>Neutre</w:t>
            </w:r>
          </w:p>
        </w:tc>
        <w:tc>
          <w:tcPr>
            <w:tcW w:type="dxa" w:w="1728"/>
          </w:tcPr>
          <w:p>
            <w:r>
              <w:rPr>
                <w:sz w:val="14"/>
              </w:rPr>
              <w:t>Google News — dollar euro chan</w:t>
            </w:r>
          </w:p>
        </w:tc>
      </w:tr>
      <w:tr>
        <w:tc>
          <w:tcPr>
            <w:tcW w:type="dxa" w:w="1728"/>
          </w:tcPr>
          <w:p>
            <w:r>
              <w:rPr>
                <w:sz w:val="14"/>
              </w:rPr>
              <w:t>2026-10-02</w:t>
            </w:r>
          </w:p>
        </w:tc>
        <w:tc>
          <w:tcPr>
            <w:tcW w:type="dxa" w:w="1728"/>
          </w:tcPr>
          <w:p>
            <w:r>
              <w:rPr>
                <w:sz w:val="14"/>
              </w:rPr>
              <w:t>Pétrole, cuivre, blé : la flambée des matières premières - coface.fr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2026-10-05</w:t>
            </w:r>
          </w:p>
        </w:tc>
        <w:tc>
          <w:tcPr>
            <w:tcW w:type="dxa" w:w="1728"/>
          </w:tcPr>
          <w:p>
            <w:r>
              <w:rPr>
                <w:sz w:val="14"/>
              </w:rPr>
              <w:t>France isolée face aux marchés, la BCE et l'Allemagne resteront muette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2026-10-03</w:t>
            </w:r>
          </w:p>
        </w:tc>
        <w:tc>
          <w:tcPr>
            <w:tcW w:type="dxa" w:w="1728"/>
          </w:tcPr>
          <w:p>
            <w:r>
              <w:rPr>
                <w:sz w:val="14"/>
              </w:rPr>
              <w:t>Pétrole, phosphates, importations : au Maghreb, le choc des matières p</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2026-10-03</w:t>
            </w:r>
          </w:p>
        </w:tc>
        <w:tc>
          <w:tcPr>
            <w:tcW w:type="dxa" w:w="1728"/>
          </w:tcPr>
          <w:p>
            <w:r>
              <w:rPr>
                <w:sz w:val="14"/>
              </w:rPr>
              <w:t>Contrôler les prix des matières premières en fin d'année.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2026-10-01</w:t>
            </w:r>
          </w:p>
        </w:tc>
        <w:tc>
          <w:tcPr>
            <w:tcW w:type="dxa" w:w="1728"/>
          </w:tcPr>
          <w:p>
            <w:r>
              <w:rPr>
                <w:sz w:val="14"/>
              </w:rPr>
              <w:t>Le lancement du forum d’investissement de la CEDEAO 2027 mobilise inve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2026-10-04</w:t>
            </w:r>
          </w:p>
        </w:tc>
        <w:tc>
          <w:tcPr>
            <w:tcW w:type="dxa" w:w="1728"/>
          </w:tcPr>
          <w:p>
            <w:r>
              <w:rPr>
                <w:sz w:val="14"/>
              </w:rPr>
              <w:t>Guinée-Bissau : Embalo dénonce le refus des militaires de le laisser 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2026-10-02</w:t>
            </w:r>
          </w:p>
        </w:tc>
        <w:tc>
          <w:tcPr>
            <w:tcW w:type="dxa" w:w="1728"/>
          </w:tcPr>
          <w:p>
            <w:r>
              <w:rPr>
                <w:sz w:val="14"/>
              </w:rPr>
              <w:t>DIOMAYE EN EGYPTE : La Cedeao en quête d’une voix commune dans le syst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2026-09-30</w:t>
            </w:r>
          </w:p>
        </w:tc>
        <w:tc>
          <w:tcPr>
            <w:tcW w:type="dxa" w:w="1728"/>
          </w:tcPr>
          <w:p>
            <w:r>
              <w:rPr>
                <w:sz w:val="14"/>
              </w:rPr>
              <w:t>Coopération régionale : le chef d'état-major de l'armée nigériane plai</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2026-09-28</w:t>
            </w:r>
          </w:p>
        </w:tc>
        <w:tc>
          <w:tcPr>
            <w:tcW w:type="dxa" w:w="1728"/>
          </w:tcPr>
          <w:p>
            <w:r>
              <w:rPr>
                <w:sz w:val="14"/>
              </w:rPr>
              <w:t>La CEA mobilise les entreprises ouest-africaines pour dynamiser la cha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La BIDC lance les activités de la deuxième édition du Forum d’investis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VIDÉO. Sénégal - Comores: Lliman Ndiaye offre la victoire aux Lions de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Côte d’Ivoire : Séraphin Prao appelle à l’apaisement du climat politiq</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2026-10-03</w:t>
            </w:r>
          </w:p>
        </w:tc>
        <w:tc>
          <w:tcPr>
            <w:tcW w:type="dxa" w:w="1728"/>
          </w:tcPr>
          <w:p>
            <w:r>
              <w:rPr>
                <w:sz w:val="14"/>
              </w:rPr>
              <w:t>Expansion énergétique : Après le Mali, le Niger et le Cameroun, le gro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2026-10-03</w:t>
            </w:r>
          </w:p>
        </w:tc>
        <w:tc>
          <w:tcPr>
            <w:tcW w:type="dxa" w:w="1728"/>
          </w:tcPr>
          <w:p>
            <w:r>
              <w:rPr>
                <w:sz w:val="14"/>
              </w:rPr>
              <w:t xml:space="preserve">Burkina Faso - Banque mondiale : un nouveau partenariat pour l'emploi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2026-10-03</w:t>
            </w:r>
          </w:p>
        </w:tc>
        <w:tc>
          <w:tcPr>
            <w:tcW w:type="dxa" w:w="1728"/>
          </w:tcPr>
          <w:p>
            <w:r>
              <w:rPr>
                <w:sz w:val="14"/>
              </w:rPr>
              <w:t>Togo-Russie: les attentes des uns et des autres du partenariat naissan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2026-10-03</w:t>
            </w:r>
          </w:p>
        </w:tc>
        <w:tc>
          <w:tcPr>
            <w:tcW w:type="dxa" w:w="1728"/>
          </w:tcPr>
          <w:p>
            <w:r>
              <w:rPr>
                <w:sz w:val="14"/>
              </w:rPr>
              <w:t>Sénégal : Diomaye Faye face à l’Assemblée, les options du chef de l’Ét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Analyse de l’EUR/XOF aujourd'hui 05/10: perspectives et niveaux clés (</w:t>
            </w:r>
          </w:p>
        </w:tc>
        <w:tc>
          <w:tcPr>
            <w:tcW w:type="dxa" w:w="1728"/>
          </w:tcPr>
          <w:p>
            <w:r>
              <w:rPr>
                <w:sz w:val="14"/>
              </w:rPr>
              <w:t>Neutre</w:t>
            </w:r>
          </w:p>
        </w:tc>
        <w:tc>
          <w:tcPr>
            <w:tcW w:type="dxa" w:w="1728"/>
          </w:tcPr>
          <w:p>
            <w:r>
              <w:rPr>
                <w:sz w:val="14"/>
              </w:rPr>
              <w:t>Neutre</w:t>
            </w:r>
          </w:p>
        </w:tc>
        <w:tc>
          <w:tcPr>
            <w:tcW w:type="dxa" w:w="1728"/>
          </w:tcPr>
          <w:p>
            <w:r>
              <w:rPr>
                <w:sz w:val="14"/>
              </w:rPr>
              <w:t>Google News — dollar euro chan</w:t>
            </w:r>
          </w:p>
        </w:tc>
      </w:tr>
      <w:tr>
        <w:tc>
          <w:tcPr>
            <w:tcW w:type="dxa" w:w="1728"/>
          </w:tcPr>
          <w:p>
            <w:r>
              <w:rPr>
                <w:sz w:val="14"/>
              </w:rPr>
              <w:t>2026-10-02</w:t>
            </w:r>
          </w:p>
        </w:tc>
        <w:tc>
          <w:tcPr>
            <w:tcW w:type="dxa" w:w="1728"/>
          </w:tcPr>
          <w:p>
            <w:r>
              <w:rPr>
                <w:sz w:val="14"/>
              </w:rPr>
              <w:t>Pétrole, cuivre, blé : la flambée des matières premières - coface.fr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2026-10-05</w:t>
            </w:r>
          </w:p>
        </w:tc>
        <w:tc>
          <w:tcPr>
            <w:tcW w:type="dxa" w:w="1728"/>
          </w:tcPr>
          <w:p>
            <w:r>
              <w:rPr>
                <w:sz w:val="14"/>
              </w:rPr>
              <w:t>France isolée face aux marchés, la BCE et l'Allemagne resteront muette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2026-10-04</w:t>
            </w:r>
          </w:p>
        </w:tc>
        <w:tc>
          <w:tcPr>
            <w:tcW w:type="dxa" w:w="1728"/>
          </w:tcPr>
          <w:p>
            <w:r>
              <w:rPr>
                <w:sz w:val="14"/>
              </w:rPr>
              <w:t>Guinée-Bissau : Embalo dénonce le refus des militaires de le laisser 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2026-10-02</w:t>
            </w:r>
          </w:p>
        </w:tc>
        <w:tc>
          <w:tcPr>
            <w:tcW w:type="dxa" w:w="1728"/>
          </w:tcPr>
          <w:p>
            <w:r>
              <w:rPr>
                <w:sz w:val="14"/>
              </w:rPr>
              <w:t>Côte d’Ivoire : Séraphin Prao appelle à l’apaisement du climat politiq</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Pétrole, cuivre, blé : la flambée des matières premières - coface.fr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2026-10-01</w:t>
            </w:r>
          </w:p>
        </w:tc>
        <w:tc>
          <w:tcPr>
            <w:tcW w:type="dxa" w:w="1728"/>
          </w:tcPr>
          <w:p>
            <w:r>
              <w:rPr>
                <w:sz w:val="14"/>
              </w:rPr>
              <w:t>Le lancement du forum d’investissement de la CEDEAO 2027 mobilise inve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2026-10-04</w:t>
            </w:r>
          </w:p>
        </w:tc>
        <w:tc>
          <w:tcPr>
            <w:tcW w:type="dxa" w:w="1728"/>
          </w:tcPr>
          <w:p>
            <w:r>
              <w:rPr>
                <w:sz w:val="14"/>
              </w:rPr>
              <w:t>Guinée-Bissau : Embalo dénonce le refus des militaires de le laisser 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2026-10-02</w:t>
            </w:r>
          </w:p>
        </w:tc>
        <w:tc>
          <w:tcPr>
            <w:tcW w:type="dxa" w:w="1728"/>
          </w:tcPr>
          <w:p>
            <w:r>
              <w:rPr>
                <w:sz w:val="14"/>
              </w:rPr>
              <w:t>Côte d’Ivoire : Séraphin Prao appelle à l’apaisement du climat politiq</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2026-10-03</w:t>
            </w:r>
          </w:p>
        </w:tc>
        <w:tc>
          <w:tcPr>
            <w:tcW w:type="dxa" w:w="1728"/>
          </w:tcPr>
          <w:p>
            <w:r>
              <w:rPr>
                <w:sz w:val="14"/>
              </w:rPr>
              <w:t>Pétrole, phosphates, importations : au Maghreb, le choc des matières p</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Pétrole, cuivre, blé : la flambée des matières premières - coface.fr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2026-10-01</w:t>
            </w:r>
          </w:p>
        </w:tc>
        <w:tc>
          <w:tcPr>
            <w:tcW w:type="dxa" w:w="1728"/>
          </w:tcPr>
          <w:p>
            <w:r>
              <w:rPr>
                <w:sz w:val="14"/>
              </w:rPr>
              <w:t>Le lancement du forum d’investissement de la CEDEAO 2027 mobilise inve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2026-10-04</w:t>
            </w:r>
          </w:p>
        </w:tc>
        <w:tc>
          <w:tcPr>
            <w:tcW w:type="dxa" w:w="1728"/>
          </w:tcPr>
          <w:p>
            <w:r>
              <w:rPr>
                <w:sz w:val="14"/>
              </w:rPr>
              <w:t>Guinée-Bissau : Embalo dénonce le refus des militaires de le laisser 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2026-10-02</w:t>
            </w:r>
          </w:p>
        </w:tc>
        <w:tc>
          <w:tcPr>
            <w:tcW w:type="dxa" w:w="1728"/>
          </w:tcPr>
          <w:p>
            <w:r>
              <w:rPr>
                <w:sz w:val="14"/>
              </w:rPr>
              <w:t>Côte d’Ivoire : Séraphin Prao appelle à l’apaisement du climat politiq</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2026-10-03</w:t>
            </w:r>
          </w:p>
        </w:tc>
        <w:tc>
          <w:tcPr>
            <w:tcW w:type="dxa" w:w="1728"/>
          </w:tcPr>
          <w:p>
            <w:r>
              <w:rPr>
                <w:sz w:val="14"/>
              </w:rPr>
              <w:t>Pétrole, phosphates, importations : au Maghreb, le choc des matières p</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Analyse de l’EUR/XOF aujourd'hui 05/10: perspectives et niveaux clés (</w:t>
            </w:r>
          </w:p>
        </w:tc>
        <w:tc>
          <w:tcPr>
            <w:tcW w:type="dxa" w:w="1728"/>
          </w:tcPr>
          <w:p>
            <w:r>
              <w:rPr>
                <w:sz w:val="14"/>
              </w:rPr>
              <w:t>Neutre</w:t>
            </w:r>
          </w:p>
        </w:tc>
        <w:tc>
          <w:tcPr>
            <w:tcW w:type="dxa" w:w="1728"/>
          </w:tcPr>
          <w:p>
            <w:r>
              <w:rPr>
                <w:sz w:val="14"/>
              </w:rPr>
              <w:t>Neutre</w:t>
            </w:r>
          </w:p>
        </w:tc>
        <w:tc>
          <w:tcPr>
            <w:tcW w:type="dxa" w:w="1728"/>
          </w:tcPr>
          <w:p>
            <w:r>
              <w:rPr>
                <w:sz w:val="14"/>
              </w:rPr>
              <w:t>Google News — dollar euro chan</w:t>
            </w:r>
          </w:p>
        </w:tc>
      </w:tr>
      <w:tr>
        <w:tc>
          <w:tcPr>
            <w:tcW w:type="dxa" w:w="1728"/>
          </w:tcPr>
          <w:p>
            <w:r>
              <w:rPr>
                <w:sz w:val="14"/>
              </w:rPr>
              <w:t>2026-10-02</w:t>
            </w:r>
          </w:p>
        </w:tc>
        <w:tc>
          <w:tcPr>
            <w:tcW w:type="dxa" w:w="1728"/>
          </w:tcPr>
          <w:p>
            <w:r>
              <w:rPr>
                <w:sz w:val="14"/>
              </w:rPr>
              <w:t>Pétrole, cuivre, blé : la flambée des matières premières - coface.fr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2026-10-01</w:t>
            </w:r>
          </w:p>
        </w:tc>
        <w:tc>
          <w:tcPr>
            <w:tcW w:type="dxa" w:w="1728"/>
          </w:tcPr>
          <w:p>
            <w:r>
              <w:rPr>
                <w:sz w:val="14"/>
              </w:rPr>
              <w:t>Le lancement du forum d’investissement de la CEDEAO 2027 mobilise inve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2026-10-04</w:t>
            </w:r>
          </w:p>
        </w:tc>
        <w:tc>
          <w:tcPr>
            <w:tcW w:type="dxa" w:w="1728"/>
          </w:tcPr>
          <w:p>
            <w:r>
              <w:rPr>
                <w:sz w:val="14"/>
              </w:rPr>
              <w:t>Guinée-Bissau : Embalo dénonce le refus des militaires de le laisser 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2026-10-05</w:t>
            </w:r>
          </w:p>
        </w:tc>
        <w:tc>
          <w:tcPr>
            <w:tcW w:type="dxa" w:w="1728"/>
          </w:tcPr>
          <w:p>
            <w:r>
              <w:rPr>
                <w:sz w:val="14"/>
              </w:rPr>
              <w:t>VIDÉO. Sénégal - Comores: Lliman Ndiaye offre la victoire aux Lions de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Analyse de l’EUR/XOF aujourd'hui 05/10: perspectives et niveaux clés (</w:t>
            </w:r>
          </w:p>
        </w:tc>
        <w:tc>
          <w:tcPr>
            <w:tcW w:type="dxa" w:w="1728"/>
          </w:tcPr>
          <w:p>
            <w:r>
              <w:rPr>
                <w:sz w:val="14"/>
              </w:rPr>
              <w:t>Neutre</w:t>
            </w:r>
          </w:p>
        </w:tc>
        <w:tc>
          <w:tcPr>
            <w:tcW w:type="dxa" w:w="1728"/>
          </w:tcPr>
          <w:p>
            <w:r>
              <w:rPr>
                <w:sz w:val="14"/>
              </w:rPr>
              <w:t>Neutre</w:t>
            </w:r>
          </w:p>
        </w:tc>
        <w:tc>
          <w:tcPr>
            <w:tcW w:type="dxa" w:w="1728"/>
          </w:tcPr>
          <w:p>
            <w:r>
              <w:rPr>
                <w:sz w:val="14"/>
              </w:rPr>
              <w:t>Google News — dollar euro chan</w:t>
            </w:r>
          </w:p>
        </w:tc>
      </w:tr>
      <w:tr>
        <w:tc>
          <w:tcPr>
            <w:tcW w:type="dxa" w:w="1728"/>
          </w:tcPr>
          <w:p>
            <w:r>
              <w:rPr>
                <w:sz w:val="14"/>
              </w:rPr>
              <w:t>2026-10-02</w:t>
            </w:r>
          </w:p>
        </w:tc>
        <w:tc>
          <w:tcPr>
            <w:tcW w:type="dxa" w:w="1728"/>
          </w:tcPr>
          <w:p>
            <w:r>
              <w:rPr>
                <w:sz w:val="14"/>
              </w:rPr>
              <w:t>Pétrole, cuivre, blé : la flambée des matières premières - coface.fr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2026-10-01</w:t>
            </w:r>
          </w:p>
        </w:tc>
        <w:tc>
          <w:tcPr>
            <w:tcW w:type="dxa" w:w="1728"/>
          </w:tcPr>
          <w:p>
            <w:r>
              <w:rPr>
                <w:sz w:val="14"/>
              </w:rPr>
              <w:t>Le lancement du forum d’investissement de la CEDEAO 2027 mobilise inve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2026-10-04</w:t>
            </w:r>
          </w:p>
        </w:tc>
        <w:tc>
          <w:tcPr>
            <w:tcW w:type="dxa" w:w="1728"/>
          </w:tcPr>
          <w:p>
            <w:r>
              <w:rPr>
                <w:sz w:val="14"/>
              </w:rPr>
              <w:t>Guinée-Bissau : Embalo dénonce le refus des militaires de le laisser 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2026-10-02</w:t>
            </w:r>
          </w:p>
        </w:tc>
        <w:tc>
          <w:tcPr>
            <w:tcW w:type="dxa" w:w="1728"/>
          </w:tcPr>
          <w:p>
            <w:r>
              <w:rPr>
                <w:sz w:val="14"/>
              </w:rPr>
              <w:t>Côte d’Ivoire : Séraphin Prao appelle à l’apaisement du climat politiq</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Analyse de l’EUR/XOF aujourd'hui 05/10: perspectives et niveaux clés (</w:t>
            </w:r>
          </w:p>
        </w:tc>
        <w:tc>
          <w:tcPr>
            <w:tcW w:type="dxa" w:w="1728"/>
          </w:tcPr>
          <w:p>
            <w:r>
              <w:rPr>
                <w:sz w:val="14"/>
              </w:rPr>
              <w:t>Neutre</w:t>
            </w:r>
          </w:p>
        </w:tc>
        <w:tc>
          <w:tcPr>
            <w:tcW w:type="dxa" w:w="1728"/>
          </w:tcPr>
          <w:p>
            <w:r>
              <w:rPr>
                <w:sz w:val="14"/>
              </w:rPr>
              <w:t>Neutre</w:t>
            </w:r>
          </w:p>
        </w:tc>
        <w:tc>
          <w:tcPr>
            <w:tcW w:type="dxa" w:w="1728"/>
          </w:tcPr>
          <w:p>
            <w:r>
              <w:rPr>
                <w:sz w:val="14"/>
              </w:rPr>
              <w:t>Google News — dollar euro chan</w:t>
            </w:r>
          </w:p>
        </w:tc>
      </w:tr>
      <w:tr>
        <w:tc>
          <w:tcPr>
            <w:tcW w:type="dxa" w:w="1728"/>
          </w:tcPr>
          <w:p>
            <w:r>
              <w:rPr>
                <w:sz w:val="14"/>
              </w:rPr>
              <w:t>2026-10-02</w:t>
            </w:r>
          </w:p>
        </w:tc>
        <w:tc>
          <w:tcPr>
            <w:tcW w:type="dxa" w:w="1728"/>
          </w:tcPr>
          <w:p>
            <w:r>
              <w:rPr>
                <w:sz w:val="14"/>
              </w:rPr>
              <w:t>Pétrole, cuivre, blé : la flambée des matières premières - coface.fr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2026-10-05</w:t>
            </w:r>
          </w:p>
        </w:tc>
        <w:tc>
          <w:tcPr>
            <w:tcW w:type="dxa" w:w="1728"/>
          </w:tcPr>
          <w:p>
            <w:r>
              <w:rPr>
                <w:sz w:val="14"/>
              </w:rPr>
              <w:t>France isolée face aux marchés, la BCE et l'Allemagne resteront muette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2026-10-01</w:t>
            </w:r>
          </w:p>
        </w:tc>
        <w:tc>
          <w:tcPr>
            <w:tcW w:type="dxa" w:w="1728"/>
          </w:tcPr>
          <w:p>
            <w:r>
              <w:rPr>
                <w:sz w:val="14"/>
              </w:rPr>
              <w:t>Le lancement du forum d’investissement de la CEDEAO 2027 mobilise inve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2026-10-03</w:t>
            </w:r>
          </w:p>
        </w:tc>
        <w:tc>
          <w:tcPr>
            <w:tcW w:type="dxa" w:w="1728"/>
          </w:tcPr>
          <w:p>
            <w:r>
              <w:rPr>
                <w:sz w:val="14"/>
              </w:rPr>
              <w:t>Pétrole, phosphates, importations : au Maghreb, le choc des matières p</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Analyse de l’EUR/XOF aujourd'hui 05/10: perspectives et niveaux clés (</w:t>
            </w:r>
          </w:p>
        </w:tc>
        <w:tc>
          <w:tcPr>
            <w:tcW w:type="dxa" w:w="1728"/>
          </w:tcPr>
          <w:p>
            <w:r>
              <w:rPr>
                <w:sz w:val="14"/>
              </w:rPr>
              <w:t>Neutre</w:t>
            </w:r>
          </w:p>
        </w:tc>
        <w:tc>
          <w:tcPr>
            <w:tcW w:type="dxa" w:w="1728"/>
          </w:tcPr>
          <w:p>
            <w:r>
              <w:rPr>
                <w:sz w:val="14"/>
              </w:rPr>
              <w:t>Neutre</w:t>
            </w:r>
          </w:p>
        </w:tc>
        <w:tc>
          <w:tcPr>
            <w:tcW w:type="dxa" w:w="1728"/>
          </w:tcPr>
          <w:p>
            <w:r>
              <w:rPr>
                <w:sz w:val="14"/>
              </w:rPr>
              <w:t>Google News — dollar euro chan</w:t>
            </w:r>
          </w:p>
        </w:tc>
      </w:tr>
      <w:tr>
        <w:tc>
          <w:tcPr>
            <w:tcW w:type="dxa" w:w="1728"/>
          </w:tcPr>
          <w:p>
            <w:r>
              <w:rPr>
                <w:sz w:val="14"/>
              </w:rPr>
              <w:t>2026-10-05</w:t>
            </w:r>
          </w:p>
        </w:tc>
        <w:tc>
          <w:tcPr>
            <w:tcW w:type="dxa" w:w="1728"/>
          </w:tcPr>
          <w:p>
            <w:r>
              <w:rPr>
                <w:sz w:val="14"/>
              </w:rPr>
              <w:t>France isolée face aux marchés, la BCE et l'Allemagne resteront muette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2026-10-01</w:t>
            </w:r>
          </w:p>
        </w:tc>
        <w:tc>
          <w:tcPr>
            <w:tcW w:type="dxa" w:w="1728"/>
          </w:tcPr>
          <w:p>
            <w:r>
              <w:rPr>
                <w:sz w:val="14"/>
              </w:rPr>
              <w:t>Le lancement du forum d’investissement de la CEDEAO 2027 mobilise inve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2026-10-04</w:t>
            </w:r>
          </w:p>
        </w:tc>
        <w:tc>
          <w:tcPr>
            <w:tcW w:type="dxa" w:w="1728"/>
          </w:tcPr>
          <w:p>
            <w:r>
              <w:rPr>
                <w:sz w:val="14"/>
              </w:rPr>
              <w:t>Guinée-Bissau : Embalo dénonce le refus des militaires de le laisser 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2026-10-03</w:t>
            </w:r>
          </w:p>
        </w:tc>
        <w:tc>
          <w:tcPr>
            <w:tcW w:type="dxa" w:w="1728"/>
          </w:tcPr>
          <w:p>
            <w:r>
              <w:rPr>
                <w:sz w:val="14"/>
              </w:rPr>
              <w:t>Pétrole, phosphates, importations : au Maghreb, le choc des matières p</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Analyse de l’EUR/XOF aujourd'hui 05/10: perspectives et niveaux clés (</w:t>
            </w:r>
          </w:p>
        </w:tc>
        <w:tc>
          <w:tcPr>
            <w:tcW w:type="dxa" w:w="1728"/>
          </w:tcPr>
          <w:p>
            <w:r>
              <w:rPr>
                <w:sz w:val="14"/>
              </w:rPr>
              <w:t>Neutre</w:t>
            </w:r>
          </w:p>
        </w:tc>
        <w:tc>
          <w:tcPr>
            <w:tcW w:type="dxa" w:w="1728"/>
          </w:tcPr>
          <w:p>
            <w:r>
              <w:rPr>
                <w:sz w:val="14"/>
              </w:rPr>
              <w:t>Neutre</w:t>
            </w:r>
          </w:p>
        </w:tc>
        <w:tc>
          <w:tcPr>
            <w:tcW w:type="dxa" w:w="1728"/>
          </w:tcPr>
          <w:p>
            <w:r>
              <w:rPr>
                <w:sz w:val="14"/>
              </w:rPr>
              <w:t>Google News — dollar euro chan</w:t>
            </w:r>
          </w:p>
        </w:tc>
      </w:tr>
      <w:tr>
        <w:tc>
          <w:tcPr>
            <w:tcW w:type="dxa" w:w="1728"/>
          </w:tcPr>
          <w:p>
            <w:r>
              <w:rPr>
                <w:sz w:val="14"/>
              </w:rPr>
              <w:t>2026-10-05</w:t>
            </w:r>
          </w:p>
        </w:tc>
        <w:tc>
          <w:tcPr>
            <w:tcW w:type="dxa" w:w="1728"/>
          </w:tcPr>
          <w:p>
            <w:r>
              <w:rPr>
                <w:sz w:val="14"/>
              </w:rPr>
              <w:t>France isolée face aux marchés, la BCE et l'Allemagne resteront muette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2026-10-01</w:t>
            </w:r>
          </w:p>
        </w:tc>
        <w:tc>
          <w:tcPr>
            <w:tcW w:type="dxa" w:w="1728"/>
          </w:tcPr>
          <w:p>
            <w:r>
              <w:rPr>
                <w:sz w:val="14"/>
              </w:rPr>
              <w:t>Le lancement du forum d’investissement de la CEDEAO 2027 mobilise inve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2026-10-03</w:t>
            </w:r>
          </w:p>
        </w:tc>
        <w:tc>
          <w:tcPr>
            <w:tcW w:type="dxa" w:w="1728"/>
          </w:tcPr>
          <w:p>
            <w:r>
              <w:rPr>
                <w:sz w:val="14"/>
              </w:rPr>
              <w:t>Pétrole, phosphates, importations : au Maghreb, le choc des matières p</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2026-10-03</w:t>
            </w:r>
          </w:p>
        </w:tc>
        <w:tc>
          <w:tcPr>
            <w:tcW w:type="dxa" w:w="1728"/>
          </w:tcPr>
          <w:p>
            <w:r>
              <w:rPr>
                <w:sz w:val="14"/>
              </w:rPr>
              <w:t>Contrôler les prix des matières premières en fin d'année.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Analyse de l’EUR/XOF aujourd'hui 05/10: perspectives et niveaux clés (</w:t>
            </w:r>
          </w:p>
        </w:tc>
        <w:tc>
          <w:tcPr>
            <w:tcW w:type="dxa" w:w="1728"/>
          </w:tcPr>
          <w:p>
            <w:r>
              <w:rPr>
                <w:sz w:val="14"/>
              </w:rPr>
              <w:t>Neutre</w:t>
            </w:r>
          </w:p>
        </w:tc>
        <w:tc>
          <w:tcPr>
            <w:tcW w:type="dxa" w:w="1728"/>
          </w:tcPr>
          <w:p>
            <w:r>
              <w:rPr>
                <w:sz w:val="14"/>
              </w:rPr>
              <w:t>Neutre</w:t>
            </w:r>
          </w:p>
        </w:tc>
        <w:tc>
          <w:tcPr>
            <w:tcW w:type="dxa" w:w="1728"/>
          </w:tcPr>
          <w:p>
            <w:r>
              <w:rPr>
                <w:sz w:val="14"/>
              </w:rPr>
              <w:t>Google News — dollar euro chan</w:t>
            </w:r>
          </w:p>
        </w:tc>
      </w:tr>
      <w:tr>
        <w:tc>
          <w:tcPr>
            <w:tcW w:type="dxa" w:w="1728"/>
          </w:tcPr>
          <w:p>
            <w:r>
              <w:rPr>
                <w:sz w:val="14"/>
              </w:rPr>
              <w:t>2026-10-05</w:t>
            </w:r>
          </w:p>
        </w:tc>
        <w:tc>
          <w:tcPr>
            <w:tcW w:type="dxa" w:w="1728"/>
          </w:tcPr>
          <w:p>
            <w:r>
              <w:rPr>
                <w:sz w:val="14"/>
              </w:rPr>
              <w:t>France isolée face aux marchés, la BCE et l'Allemagne resteront muette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2026-10-01</w:t>
            </w:r>
          </w:p>
        </w:tc>
        <w:tc>
          <w:tcPr>
            <w:tcW w:type="dxa" w:w="1728"/>
          </w:tcPr>
          <w:p>
            <w:r>
              <w:rPr>
                <w:sz w:val="14"/>
              </w:rPr>
              <w:t>Le lancement du forum d’investissement de la CEDEAO 2027 mobilise inve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2026-10-05</w:t>
            </w:r>
          </w:p>
        </w:tc>
        <w:tc>
          <w:tcPr>
            <w:tcW w:type="dxa" w:w="1728"/>
          </w:tcPr>
          <w:p>
            <w:r>
              <w:rPr>
                <w:sz w:val="14"/>
              </w:rPr>
              <w:t>VIDÉO. Sénégal - Comores: Lliman Ndiaye offre la victoire aux Lions de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Côte d’Ivoire : Séraphin Prao appelle à l’apaisement du climat politiq</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2026-10-05</w:t>
            </w:r>
          </w:p>
        </w:tc>
        <w:tc>
          <w:tcPr>
            <w:tcW w:type="dxa" w:w="1728"/>
          </w:tcPr>
          <w:p>
            <w:r>
              <w:rPr>
                <w:sz w:val="14"/>
              </w:rPr>
              <w:t>Analyse de l’EUR/XOF aujourd'hui 05/10: perspectives et niveaux clés (</w:t>
            </w:r>
          </w:p>
        </w:tc>
        <w:tc>
          <w:tcPr>
            <w:tcW w:type="dxa" w:w="1728"/>
          </w:tcPr>
          <w:p>
            <w:r>
              <w:rPr>
                <w:sz w:val="14"/>
              </w:rPr>
              <w:t>Neutre</w:t>
            </w:r>
          </w:p>
        </w:tc>
        <w:tc>
          <w:tcPr>
            <w:tcW w:type="dxa" w:w="1728"/>
          </w:tcPr>
          <w:p>
            <w:r>
              <w:rPr>
                <w:sz w:val="14"/>
              </w:rPr>
              <w:t>Neutre</w:t>
            </w:r>
          </w:p>
        </w:tc>
        <w:tc>
          <w:tcPr>
            <w:tcW w:type="dxa" w:w="1728"/>
          </w:tcPr>
          <w:p>
            <w:r>
              <w:rPr>
                <w:sz w:val="14"/>
              </w:rPr>
              <w:t>Google News — dollar euro chan</w:t>
            </w:r>
          </w:p>
        </w:tc>
      </w:tr>
      <w:tr>
        <w:tc>
          <w:tcPr>
            <w:tcW w:type="dxa" w:w="1728"/>
          </w:tcPr>
          <w:p>
            <w:r>
              <w:rPr>
                <w:sz w:val="14"/>
              </w:rPr>
              <w:t>2026-10-05</w:t>
            </w:r>
          </w:p>
        </w:tc>
        <w:tc>
          <w:tcPr>
            <w:tcW w:type="dxa" w:w="1728"/>
          </w:tcPr>
          <w:p>
            <w:r>
              <w:rPr>
                <w:sz w:val="14"/>
              </w:rPr>
              <w:t>France isolée face aux marchés, la BCE et l'Allemagne resteront muette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2026-10-01</w:t>
            </w:r>
          </w:p>
        </w:tc>
        <w:tc>
          <w:tcPr>
            <w:tcW w:type="dxa" w:w="1728"/>
          </w:tcPr>
          <w:p>
            <w:r>
              <w:rPr>
                <w:sz w:val="14"/>
              </w:rPr>
              <w:t>Le lancement du forum d’investissement de la CEDEAO 2027 mobilise inve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2026-10-03</w:t>
            </w:r>
          </w:p>
        </w:tc>
        <w:tc>
          <w:tcPr>
            <w:tcW w:type="dxa" w:w="1728"/>
          </w:tcPr>
          <w:p>
            <w:r>
              <w:rPr>
                <w:sz w:val="14"/>
              </w:rPr>
              <w:t>Pétrole, phosphates, importations : au Maghreb, le choc des matières p</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2026-10-03</w:t>
            </w:r>
          </w:p>
        </w:tc>
        <w:tc>
          <w:tcPr>
            <w:tcW w:type="dxa" w:w="1728"/>
          </w:tcPr>
          <w:p>
            <w:r>
              <w:rPr>
                <w:sz w:val="14"/>
              </w:rPr>
              <w:t>Contrôler les prix des matières premières en fin d'année.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politique_monetaire  (5 alerte(s))</w:t>
      </w:r>
    </w:p>
    <w:p>
      <w:pPr>
        <w:spacing w:before="40" w:after="40"/>
        <w:ind w:left="360"/>
      </w:pPr>
      <w:r>
        <w:rPr>
          <w:color w:val="646464"/>
          <w:sz w:val="17"/>
        </w:rPr>
        <w:t xml:space="preserve">[05/10/2026] 🔴  </w:t>
      </w:r>
      <w:r>
        <w:rPr>
          <w:b/>
          <w:color w:val="C00000"/>
          <w:sz w:val="18"/>
        </w:rPr>
        <w:t>France isolée face aux marchés, la BCE et l'Allemagne resteront muettes - Atlantico</w:t>
      </w:r>
      <w:r>
        <w:rPr>
          <w:color w:val="787878"/>
          <w:sz w:val="15"/>
        </w:rPr>
        <w:t xml:space="preserve">  [politique_monetaire]</w:t>
      </w:r>
      <w:r>
        <w:rPr>
          <w:color w:val="B47800"/>
          <w:sz w:val="16"/>
        </w:rPr>
        <w:t xml:space="preserve">  ★ 50/10</w:t>
      </w:r>
    </w:p>
    <w:p>
      <w:pPr>
        <w:spacing w:before="0" w:after="20"/>
        <w:ind w:left="600"/>
      </w:pPr>
      <w:r>
        <w:rPr>
          <w:color w:val="323232"/>
          <w:sz w:val="17"/>
        </w:rPr>
        <w:t>La France se retrouve isolée face aux marchés financiers alors que la Banque centrale européenne (BCE) et l'Allemagne ont choisi de rester silencieuses. Cette situation crée une incertitude accrue pour les investisseurs, qui ne peuvent compter sur aucun soutien institutionnel majeur. L'absence de communication de la BCE et de l'Allemagne pourrait e</w:t>
      </w:r>
    </w:p>
    <w:p>
      <w:pPr>
        <w:spacing w:before="0" w:after="40"/>
        <w:ind w:left="600"/>
      </w:pPr>
      <w:r>
        <w:rPr>
          <w:color w:val="00643C"/>
          <w:sz w:val="16"/>
        </w:rPr>
        <w:t>Points clés : La France est isolée face aux marchés, sans soutien apparent de la BCE ni de l'Allemagne.  •  La BCE et l'Allemagne gardent le silence, alimentant l'incertitude.  •  Risque de volatilité accrue sur les marchés européens.  •  Impact potentiel sur la confiance des investisseurs et la stabilité financière.</w:t>
      </w:r>
    </w:p>
    <w:p>
      <w:pPr>
        <w:spacing w:before="0" w:after="60"/>
        <w:ind w:left="600"/>
      </w:pPr>
      <w:r>
        <w:rPr>
          <w:color w:val="0064B4"/>
          <w:sz w:val="15"/>
        </w:rPr>
        <w:t>Source : https://news.google.com/rss/articles/CBMi0gFBVV95cUxNM2N6ZGZycndXZWotMG1LbzR3TjB</w:t>
      </w:r>
    </w:p>
    <w:p>
      <w:pPr>
        <w:spacing w:before="40" w:after="40"/>
        <w:ind w:left="360"/>
      </w:pPr>
      <w:r>
        <w:rPr>
          <w:color w:val="646464"/>
          <w:sz w:val="17"/>
        </w:rPr>
        <w:t xml:space="preserve">[04/10/2026] 🔴  </w:t>
      </w:r>
      <w:r>
        <w:rPr>
          <w:b/>
          <w:color w:val="C00000"/>
          <w:sz w:val="18"/>
        </w:rPr>
        <w:t>Quel est l’impact des décisions de la BCE sur les ménages modestes ? - The Conversation</w:t>
      </w:r>
      <w:r>
        <w:rPr>
          <w:color w:val="787878"/>
          <w:sz w:val="15"/>
        </w:rPr>
        <w:t xml:space="preserve">  [politique_monetaire]</w:t>
      </w:r>
      <w:r>
        <w:rPr>
          <w:color w:val="B47800"/>
          <w:sz w:val="16"/>
        </w:rPr>
        <w:t xml:space="preserve">  ★ 50/10</w:t>
      </w:r>
    </w:p>
    <w:p>
      <w:pPr>
        <w:spacing w:before="0" w:after="20"/>
        <w:ind w:left="600"/>
      </w:pPr>
      <w:r>
        <w:rPr>
          <w:color w:val="323232"/>
          <w:sz w:val="17"/>
        </w:rPr>
        <w:t>L'article de The Conversation examine comment les décisions de politique monétaire de la Banque centrale européenne (BCE) affectent les ménages modestes. Il souligne que les hausses de taux d'intérêt, bien que visant à maîtriser l'inflation, alourdissent les charges d'emprunt et réduisent le pouvoir d'achat des ménages les plus vulnérables. Les eff</w:t>
      </w:r>
    </w:p>
    <w:p>
      <w:pPr>
        <w:spacing w:before="0" w:after="40"/>
        <w:ind w:left="600"/>
      </w:pPr>
      <w:r>
        <w:rPr>
          <w:color w:val="00643C"/>
          <w:sz w:val="16"/>
        </w:rPr>
        <w:t>Points clés : Les hausses de taux de la BCE renchérissent le crédit immobilier et à la consommation, pénalisant les ménages modestes endettés.  •  L'inflation persistante érode le pouvoir d'achat des ménages à faibles revenus, dont la consommation est majoritairement composée de biens essentiels.  •  Les ménages modestes sont moins susceptibles de bénéficier de la rémunération de l'épargne, car ils détiennent peu de placements financiers.</w:t>
      </w:r>
    </w:p>
    <w:p>
      <w:pPr>
        <w:spacing w:before="0" w:after="60"/>
        <w:ind w:left="600"/>
      </w:pPr>
      <w:r>
        <w:rPr>
          <w:color w:val="0064B4"/>
          <w:sz w:val="15"/>
        </w:rPr>
        <w:t>Source : https://news.google.com/rss/articles/CBMiogFBVV95cUxNWmJDaVN6X0Y5WmZPaEk1d2lieDd</w:t>
      </w:r>
    </w:p>
    <w:p>
      <w:pPr>
        <w:spacing w:before="40" w:after="40"/>
        <w:ind w:left="360"/>
      </w:pPr>
      <w:r>
        <w:rPr>
          <w:color w:val="646464"/>
          <w:sz w:val="17"/>
        </w:rPr>
        <w:t xml:space="preserve">[03/10/2026] ⚪  </w:t>
      </w:r>
      <w:r>
        <w:rPr>
          <w:b/>
          <w:color w:val="505050"/>
          <w:sz w:val="18"/>
        </w:rPr>
        <w:t>La remontée des taux des comptes d'épargne se confirme - L'Echo</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Les taux d'intérêt servis sur les comptes d'épargne poursuivent leur remontée, confirmant une tendance amorcée ces derniers mois. Cette évolution reflète le resserrement monétaire opéré par les banques centrales pour contenir l'inflation. Pour les épargnants, cette hausse améliore la rémunération de l'épargne, mais elle renchérit le coût du crédit </w:t>
      </w:r>
    </w:p>
    <w:p>
      <w:pPr>
        <w:spacing w:before="0" w:after="40"/>
        <w:ind w:left="600"/>
      </w:pPr>
      <w:r>
        <w:rPr>
          <w:color w:val="00643C"/>
          <w:sz w:val="16"/>
        </w:rPr>
        <w:t>Points clés : Confirmation de la tendance haussière des taux des comptes d'épargne  •  Contexte de resserrement monétaire face à l'inflation  •  Impact contrasté : meilleure rémunération de l'épargne mais crédit plus cher</w:t>
      </w:r>
    </w:p>
    <w:p>
      <w:pPr>
        <w:spacing w:before="0" w:after="60"/>
        <w:ind w:left="600"/>
      </w:pPr>
      <w:r>
        <w:rPr>
          <w:color w:val="0064B4"/>
          <w:sz w:val="15"/>
        </w:rPr>
        <w:t>Source : https://news.google.com/rss/articles/CBMivgFBVV95cUxOVkdUNXVGbkNNZ0dfRGJsRWVIX3l</w:t>
      </w:r>
    </w:p>
    <w:p>
      <w:pPr>
        <w:spacing w:before="40" w:after="40"/>
        <w:ind w:left="360"/>
      </w:pPr>
      <w:r>
        <w:rPr>
          <w:color w:val="646464"/>
          <w:sz w:val="17"/>
        </w:rPr>
        <w:t xml:space="preserve">[02/10/2026] ⚪  </w:t>
      </w:r>
      <w:r>
        <w:rPr>
          <w:b/>
          <w:color w:val="505050"/>
          <w:sz w:val="18"/>
        </w:rPr>
        <w:t>Standard Chartered rejoint les grandes banques qui tablent sur une hausse des taux de la Banque centrale européenne (BCE</w:t>
      </w:r>
      <w:r>
        <w:rPr>
          <w:color w:val="787878"/>
          <w:sz w:val="15"/>
        </w:rPr>
        <w:t xml:space="preserve">  [politique_monetaire]</w:t>
      </w:r>
      <w:r>
        <w:rPr>
          <w:color w:val="B47800"/>
          <w:sz w:val="16"/>
        </w:rPr>
        <w:t xml:space="preserve">  ★ 50/10</w:t>
      </w:r>
    </w:p>
    <w:p>
      <w:pPr>
        <w:spacing w:before="0" w:after="20"/>
        <w:ind w:left="600"/>
      </w:pPr>
      <w:r>
        <w:rPr>
          <w:color w:val="323232"/>
          <w:sz w:val="17"/>
        </w:rPr>
        <w:t>Standard Chartered rejoint un nombre croissant de grandes banques qui anticipent une hausse des taux directeurs de la Banque centrale européenne (BCE) dès décembre. Ce revirement de consensus reflète les pressions inflationnistes persistantes dans la zone euro et une communication plus restrictive de la BCE. Une telle hausse des taux européens pour</w:t>
      </w:r>
    </w:p>
    <w:p>
      <w:pPr>
        <w:spacing w:before="0" w:after="40"/>
        <w:ind w:left="600"/>
      </w:pPr>
      <w:r>
        <w:rPr>
          <w:color w:val="00643C"/>
          <w:sz w:val="16"/>
        </w:rPr>
        <w:t>Points clés : Standard Chartered prévoit une hausse des taux de la BCE en décembre  •  D'autres grandes banques internationales partagent ce scénario  •  Contexte de persistance de l'inflation en zone euro  •  Risque de contagion aux politiques monétaires africaines via la BCEAO</w:t>
      </w:r>
    </w:p>
    <w:p>
      <w:pPr>
        <w:spacing w:before="0" w:after="60"/>
        <w:ind w:left="600"/>
      </w:pPr>
      <w:r>
        <w:rPr>
          <w:color w:val="0064B4"/>
          <w:sz w:val="15"/>
        </w:rPr>
        <w:t>Source : https://news.google.com/rss/articles/CBMi8gFBVV95cUxPaHBQRzVRRVozZ1JQYlZ3R3VmTGd</w:t>
      </w:r>
    </w:p>
    <w:p>
      <w:pPr>
        <w:spacing w:before="40" w:after="40"/>
        <w:ind w:left="360"/>
      </w:pPr>
      <w:r>
        <w:rPr>
          <w:color w:val="646464"/>
          <w:sz w:val="17"/>
        </w:rPr>
        <w:t xml:space="preserve">[02/10/2026] ⚪  </w:t>
      </w:r>
      <w:r>
        <w:rPr>
          <w:b/>
          <w:color w:val="505050"/>
          <w:sz w:val="18"/>
        </w:rPr>
        <w:t>Standard Chartered rejoint les grandes banques qui tablent sur une hausse des taux de la Banque centrale européenne (BCE</w:t>
      </w:r>
      <w:r>
        <w:rPr>
          <w:color w:val="787878"/>
          <w:sz w:val="15"/>
        </w:rPr>
        <w:t xml:space="preserve">  [politique_monetaire]</w:t>
      </w:r>
      <w:r>
        <w:rPr>
          <w:color w:val="B47800"/>
          <w:sz w:val="16"/>
        </w:rPr>
        <w:t xml:space="preserve">  ★ 50/10</w:t>
      </w:r>
    </w:p>
    <w:p>
      <w:pPr>
        <w:spacing w:before="0" w:after="20"/>
        <w:ind w:left="600"/>
      </w:pPr>
      <w:r>
        <w:rPr>
          <w:color w:val="323232"/>
          <w:sz w:val="17"/>
        </w:rPr>
        <w:t>Standard Chartered rejoint un nombre croissant de grandes banques qui anticipent une hausse des taux directeurs de la Banque centrale européenne (BCE) lors de sa réunion de décembre. Cette prévision reflète les attentes d'un resserrement monétaire face à une inflation persistante dans la zone euro. Une telle décision aurait des répercussions sur le</w:t>
      </w:r>
    </w:p>
    <w:p>
      <w:pPr>
        <w:spacing w:before="0" w:after="40"/>
        <w:ind w:left="600"/>
      </w:pPr>
      <w:r>
        <w:rPr>
          <w:color w:val="00643C"/>
          <w:sz w:val="16"/>
        </w:rPr>
        <w:t>Points clés : Standard Chartered prévoit une hausse des taux de la BCE en décembre  •  D'autres grandes banques partagent cette anticipation  •  Contexte d'inflation persistante dans la zone euro  •  Impact potentiel sur les marchés obligataires et de change</w:t>
      </w:r>
    </w:p>
    <w:p>
      <w:pPr>
        <w:spacing w:before="0" w:after="60"/>
        <w:ind w:left="600"/>
      </w:pPr>
      <w:r>
        <w:rPr>
          <w:color w:val="0064B4"/>
          <w:sz w:val="15"/>
        </w:rPr>
        <w:t>Source : https://news.google.com/rss/articles/CBMi8wFBVV95cUxQUHM1bmpYdHVtSk1RYmRPNWt4RTJ</w:t>
      </w:r>
    </w:p>
    <w:p>
      <w:pPr>
        <w:spacing w:before="120" w:after="40"/>
      </w:pPr>
      <w:r>
        <w:rPr>
          <w:b/>
          <w:color w:val="00467F"/>
          <w:sz w:val="20"/>
        </w:rPr>
        <w:t>🔑 marche_financier  (2 alerte(s))</w:t>
      </w:r>
    </w:p>
    <w:p>
      <w:pPr>
        <w:spacing w:before="40" w:after="40"/>
        <w:ind w:left="360"/>
      </w:pPr>
      <w:r>
        <w:rPr>
          <w:color w:val="646464"/>
          <w:sz w:val="17"/>
        </w:rPr>
        <w:t xml:space="preserve">[05/10/2026] ⚪  </w:t>
      </w:r>
      <w:r>
        <w:rPr>
          <w:b/>
          <w:color w:val="505050"/>
          <w:sz w:val="18"/>
        </w:rPr>
        <w:t>Analyse de l’EUR/XOF aujourd'hui 05/10: perspectives et niveaux clés (graphique) - DailyForex</w:t>
      </w:r>
      <w:r>
        <w:rPr>
          <w:color w:val="787878"/>
          <w:sz w:val="15"/>
        </w:rPr>
        <w:t xml:space="preserve">  [marche_financier]</w:t>
      </w:r>
      <w:r>
        <w:rPr>
          <w:color w:val="B47800"/>
          <w:sz w:val="16"/>
        </w:rPr>
        <w:t xml:space="preserve">  ★ 50/10</w:t>
      </w:r>
    </w:p>
    <w:p>
      <w:pPr>
        <w:spacing w:before="0" w:after="20"/>
        <w:ind w:left="600"/>
      </w:pPr>
      <w:r>
        <w:rPr>
          <w:color w:val="323232"/>
          <w:sz w:val="17"/>
        </w:rPr>
        <w:t>L'article de DailyForex présente une analyse technique de la paire EUR/XOF en date du 5 octobre, mettant en évidence les perspectives de change et les niveaux clés à surveiller sur le graphique. Il s'agit d'une analyse de suivi des tendances du taux de change entre l'euro et le franc CFA, devise utilisée par plusieurs pays de l'UEMOA dont la Côte d</w:t>
      </w:r>
    </w:p>
    <w:p>
      <w:pPr>
        <w:spacing w:before="0" w:after="40"/>
        <w:ind w:left="600"/>
      </w:pPr>
      <w:r>
        <w:rPr>
          <w:color w:val="00643C"/>
          <w:sz w:val="16"/>
        </w:rPr>
        <w:t>Points clés : Analyse technique de l'EUR/XOF avec identification de niveaux clés de support et résistance  •  Perspectives de change euro / franc CFA à court terme  •  Pertinence indirecte pour les investisseurs BRVM exposés au risque de change  •  Absence d'information spécifique sur les sociétés cotées à la BRVM</w:t>
      </w:r>
    </w:p>
    <w:p>
      <w:pPr>
        <w:spacing w:before="0" w:after="60"/>
        <w:ind w:left="600"/>
      </w:pPr>
      <w:r>
        <w:rPr>
          <w:color w:val="0064B4"/>
          <w:sz w:val="15"/>
        </w:rPr>
        <w:t>Source : https://news.google.com/rss/articles/CBMikAFBVV95cUxPN25WNnZDUDRzaVFENTNqY1RQcVd</w:t>
      </w:r>
    </w:p>
    <w:p>
      <w:pPr>
        <w:spacing w:before="40" w:after="40"/>
        <w:ind w:left="360"/>
      </w:pPr>
      <w:r>
        <w:rPr>
          <w:color w:val="646464"/>
          <w:sz w:val="17"/>
        </w:rPr>
        <w:t xml:space="preserve">[02/10/2026] 🟢  </w:t>
      </w:r>
      <w:r>
        <w:rPr>
          <w:b/>
          <w:color w:val="008000"/>
          <w:sz w:val="18"/>
        </w:rPr>
        <w:t>BRVM : Plus de 200 millions FCFA engagés sur la SIB - Sika Finance</w:t>
      </w:r>
      <w:r>
        <w:rPr>
          <w:color w:val="787878"/>
          <w:sz w:val="15"/>
        </w:rPr>
        <w:t xml:space="preserve">  [marche_financier]</w:t>
      </w:r>
      <w:r>
        <w:rPr>
          <w:color w:val="B47800"/>
          <w:sz w:val="16"/>
        </w:rPr>
        <w:t xml:space="preserve">  ★ 50/10</w:t>
      </w:r>
    </w:p>
    <w:p>
      <w:pPr>
        <w:spacing w:before="0" w:after="20"/>
        <w:ind w:left="600"/>
      </w:pPr>
      <w:r>
        <w:rPr>
          <w:color w:val="323232"/>
          <w:sz w:val="17"/>
        </w:rPr>
        <w:t>Plus de 200 millions FCFA ont été échangés sur le titre SIB à la BRVM, selon Sika Finance. Cette activité témoigne d'un intérêt marqué des investisseurs pour la Société Ivoirienne de Banque. Le volume engagé suggère une dynamique positive sur cette valeur bancaire.</w:t>
      </w:r>
    </w:p>
    <w:p>
      <w:pPr>
        <w:spacing w:before="0" w:after="40"/>
        <w:ind w:left="600"/>
      </w:pPr>
      <w:r>
        <w:rPr>
          <w:color w:val="00643C"/>
          <w:sz w:val="16"/>
        </w:rPr>
        <w:t>Points clés : Plus de 200 millions FCFA échangés sur le titre SIB  •  Titre bancaire ivoirien au centre de l'attention  •  Volume significatif signalant un intérêt des investisseurs</w:t>
      </w:r>
    </w:p>
    <w:p>
      <w:pPr>
        <w:spacing w:before="0" w:after="60"/>
        <w:ind w:left="600"/>
      </w:pPr>
      <w:r>
        <w:rPr>
          <w:color w:val="0064B4"/>
          <w:sz w:val="15"/>
        </w:rPr>
        <w:t>Source : https://news.google.com/rss/articles/CBMilgFBVV95cUxPV20zZjBCdmI0SldqdldCaTIzckh</w:t>
      </w:r>
    </w:p>
    <w:p>
      <w:pPr>
        <w:spacing w:before="120" w:after="40"/>
      </w:pPr>
      <w:r>
        <w:rPr>
          <w:b/>
          <w:color w:val="00467F"/>
          <w:sz w:val="20"/>
        </w:rPr>
        <w:t>🔑 politique  (8 alerte(s))</w:t>
      </w:r>
    </w:p>
    <w:p>
      <w:pPr>
        <w:spacing w:before="40" w:after="40"/>
        <w:ind w:left="360"/>
      </w:pPr>
      <w:r>
        <w:rPr>
          <w:color w:val="646464"/>
          <w:sz w:val="17"/>
        </w:rPr>
        <w:t xml:space="preserve">[05/10/2026] 🟢  </w:t>
      </w:r>
      <w:r>
        <w:rPr>
          <w:b/>
          <w:color w:val="008000"/>
          <w:sz w:val="18"/>
        </w:rPr>
        <w:t>VIDÉO. Sénégal - Comores: Lliman Ndiaye offre la victoire aux Lions de la Teranga - tv5monde</w:t>
      </w:r>
      <w:r>
        <w:rPr>
          <w:color w:val="787878"/>
          <w:sz w:val="15"/>
        </w:rPr>
        <w:t xml:space="preserve">  [politique]</w:t>
      </w:r>
      <w:r>
        <w:rPr>
          <w:color w:val="B47800"/>
          <w:sz w:val="16"/>
        </w:rPr>
        <w:t xml:space="preserve">  ★ 50/10</w:t>
      </w:r>
    </w:p>
    <w:p>
      <w:pPr>
        <w:spacing w:before="0" w:after="20"/>
        <w:ind w:left="600"/>
      </w:pPr>
      <w:r>
        <w:rPr>
          <w:color w:val="323232"/>
          <w:sz w:val="17"/>
        </w:rPr>
        <w:t>L'article rapporte la victoire du Sénégal face aux Comores grâce à un but de Lliman Ndiaye, offrant ainsi la victoire aux Lions de la Teranga. Il s'agit d'un événement sportif sans lien direct avec l'économie ou les marchés financiers. Aucune information financière ou boursière n'est mentionnée.</w:t>
      </w:r>
    </w:p>
    <w:p>
      <w:pPr>
        <w:spacing w:before="0" w:after="40"/>
        <w:ind w:left="600"/>
      </w:pPr>
      <w:r>
        <w:rPr>
          <w:color w:val="00643C"/>
          <w:sz w:val="16"/>
        </w:rPr>
        <w:t>Points clés : Victoire du Sénégal contre les Comores  •  But décisif de Lliman Ndiaye  •  Événement purement sportif</w:t>
      </w:r>
    </w:p>
    <w:p>
      <w:pPr>
        <w:spacing w:before="0" w:after="60"/>
        <w:ind w:left="600"/>
      </w:pPr>
      <w:r>
        <w:rPr>
          <w:color w:val="0064B4"/>
          <w:sz w:val="15"/>
        </w:rPr>
        <w:t>Source : https://news.google.com/rss/articles/CBMixAFBVV95cUxPMGY5dGFaSjVwbHFTRG8taEJiMW5</w:t>
      </w:r>
    </w:p>
    <w:p>
      <w:pPr>
        <w:spacing w:before="40" w:after="40"/>
        <w:ind w:left="360"/>
      </w:pPr>
      <w:r>
        <w:rPr>
          <w:color w:val="646464"/>
          <w:sz w:val="17"/>
        </w:rPr>
        <w:t xml:space="preserve">[03/10/2026] ⚪  </w:t>
      </w:r>
      <w:r>
        <w:rPr>
          <w:b/>
          <w:color w:val="505050"/>
          <w:sz w:val="18"/>
        </w:rPr>
        <w:t>Sénégal : Diomaye Faye face à l’Assemblée, les options du chef de l’État - Africtelegraph</w:t>
      </w:r>
      <w:r>
        <w:rPr>
          <w:color w:val="787878"/>
          <w:sz w:val="15"/>
        </w:rPr>
        <w:t xml:space="preserve">  [politique]</w:t>
      </w:r>
      <w:r>
        <w:rPr>
          <w:color w:val="B47800"/>
          <w:sz w:val="16"/>
        </w:rPr>
        <w:t xml:space="preserve">  ★ 50/10</w:t>
      </w:r>
    </w:p>
    <w:p>
      <w:pPr>
        <w:spacing w:before="0" w:after="20"/>
        <w:ind w:left="600"/>
      </w:pPr>
      <w:r>
        <w:rPr>
          <w:color w:val="323232"/>
          <w:sz w:val="17"/>
        </w:rPr>
        <w:t>L'article traite de la situation politique au Sénégal où le président Diomaye Faye fait face à l'Assemblée nationale. Il examine les options stratégiques du chef de l'État dans ce contexte institutionnel. L'issue de cette confrontation pourrait influencer la gouvernance et la stabilité politique du pays. Cependant, le contenu fourni est très limité</w:t>
      </w:r>
    </w:p>
    <w:p>
      <w:pPr>
        <w:spacing w:before="0" w:after="40"/>
        <w:ind w:left="600"/>
      </w:pPr>
      <w:r>
        <w:rPr>
          <w:color w:val="00643C"/>
          <w:sz w:val="16"/>
        </w:rPr>
        <w:t>Points clés : Diomaye Faye est confronté à l'Assemblée nationale  •  Les options stratégiques du président sont analysées  •  Enjeu de gouvernance et de stabilité politique au Sénégal</w:t>
      </w:r>
    </w:p>
    <w:p>
      <w:pPr>
        <w:spacing w:before="0" w:after="60"/>
        <w:ind w:left="600"/>
      </w:pPr>
      <w:r>
        <w:rPr>
          <w:color w:val="0064B4"/>
          <w:sz w:val="15"/>
        </w:rPr>
        <w:t>Source : https://news.google.com/rss/articles/CBMiogFBVV95cUxNZmNFS1BaVms5X2JIUGVwSzQ4SjN</w:t>
      </w:r>
    </w:p>
    <w:p>
      <w:pPr>
        <w:spacing w:before="40" w:after="40"/>
        <w:ind w:left="360"/>
      </w:pPr>
      <w:r>
        <w:rPr>
          <w:color w:val="646464"/>
          <w:sz w:val="17"/>
        </w:rPr>
        <w:t xml:space="preserve">[03/10/2026] 🟢  </w:t>
      </w:r>
      <w:r>
        <w:rPr>
          <w:b/>
          <w:color w:val="008000"/>
          <w:sz w:val="18"/>
        </w:rPr>
        <w:t>Expansion énergétique : Après le Mali, le Niger et le Cameroun, le groupe Sonelgaz part à l'assaut du Sénégal - Just-Inf</w:t>
      </w:r>
      <w:r>
        <w:rPr>
          <w:color w:val="787878"/>
          <w:sz w:val="15"/>
        </w:rPr>
        <w:t xml:space="preserve">  [politique]</w:t>
      </w:r>
      <w:r>
        <w:rPr>
          <w:color w:val="B47800"/>
          <w:sz w:val="16"/>
        </w:rPr>
        <w:t xml:space="preserve">  ★ 50/10</w:t>
      </w:r>
    </w:p>
    <w:p>
      <w:pPr>
        <w:spacing w:before="0" w:after="20"/>
        <w:ind w:left="600"/>
      </w:pPr>
      <w:r>
        <w:rPr>
          <w:color w:val="323232"/>
          <w:sz w:val="17"/>
        </w:rPr>
        <w:t xml:space="preserve">Le groupe énergétique algérien Sonelgaz poursuit son expansion en Afrique de l'Ouest après le Mali, le Niger et le Cameroun, en ciblant désormais le Sénégal. Cette annonce s'inscrit dans une stratégie de croissance régionale du groupe public algérien dans le secteur de l'énergie. L'arrivée de Sonelgaz au Sénégal pourrait intensifier la concurrence </w:t>
      </w:r>
    </w:p>
    <w:p>
      <w:pPr>
        <w:spacing w:before="0" w:after="40"/>
        <w:ind w:left="600"/>
      </w:pPr>
      <w:r>
        <w:rPr>
          <w:color w:val="00643C"/>
          <w:sz w:val="16"/>
        </w:rPr>
        <w:t>Points clés : Sonelgaz étend ses activités au Sénégal après le Mali, le Niger et le Cameroun  •  Stratégie d'expansion régionale du groupe énergétique algérien en Afrique de l'Ouest  •  Impact potentiel sur le secteur énergétique sénégalais et la concurrence locale</w:t>
      </w:r>
    </w:p>
    <w:p>
      <w:pPr>
        <w:spacing w:before="0" w:after="60"/>
        <w:ind w:left="600"/>
      </w:pPr>
      <w:r>
        <w:rPr>
          <w:color w:val="0064B4"/>
          <w:sz w:val="15"/>
        </w:rPr>
        <w:t>Source : https://news.google.com/rss/articles/CBMia0FVX3lxTE4tVFVVc1M1RHU4ay1LM3NVQVJnTXl</w:t>
      </w:r>
    </w:p>
    <w:p>
      <w:pPr>
        <w:spacing w:before="40" w:after="40"/>
        <w:ind w:left="360"/>
      </w:pPr>
      <w:r>
        <w:rPr>
          <w:color w:val="646464"/>
          <w:sz w:val="17"/>
        </w:rPr>
        <w:t xml:space="preserve">[03/10/2026] ⚪  </w:t>
      </w:r>
      <w:r>
        <w:rPr>
          <w:b/>
          <w:color w:val="505050"/>
          <w:sz w:val="18"/>
        </w:rPr>
        <w:t>Burkina Faso : la révolution progressiste populaire célébrée - Africa24 TV</w:t>
      </w:r>
      <w:r>
        <w:rPr>
          <w:color w:val="787878"/>
          <w:sz w:val="15"/>
        </w:rPr>
        <w:t xml:space="preserve">  [politique]</w:t>
      </w:r>
      <w:r>
        <w:rPr>
          <w:color w:val="B47800"/>
          <w:sz w:val="16"/>
        </w:rPr>
        <w:t xml:space="preserve">  ★ 50/10</w:t>
      </w:r>
    </w:p>
    <w:p>
      <w:pPr>
        <w:spacing w:before="0" w:after="20"/>
        <w:ind w:left="600"/>
      </w:pPr>
      <w:r>
        <w:rPr>
          <w:color w:val="323232"/>
          <w:sz w:val="17"/>
        </w:rPr>
        <w:t>Le Burkina Faso a célébré la révolution progressiste populaire, un événement politique marquant dans le pays. Cette commémoration intervient dans un contexte de transition politique et de tensions régionales au Sahel. L'événement met en avant la souveraineté nationale et les orientations panafricanistes du régime actuel. Aucune annonce économique o</w:t>
      </w:r>
    </w:p>
    <w:p>
      <w:pPr>
        <w:spacing w:before="0" w:after="40"/>
        <w:ind w:left="600"/>
      </w:pPr>
      <w:r>
        <w:rPr>
          <w:color w:val="00643C"/>
          <w:sz w:val="16"/>
        </w:rPr>
        <w:t>Points clés : Célébration de la révolution progressiste populaire au Burkina Faso  •  Contexte politique marqué par la transition et les tensions au Sahel  •  Absence d'annonces économiques ou financières majeures  •  Événement à caractère symbolique et politique</w:t>
      </w:r>
    </w:p>
    <w:p>
      <w:pPr>
        <w:spacing w:before="0" w:after="60"/>
        <w:ind w:left="600"/>
      </w:pPr>
      <w:r>
        <w:rPr>
          <w:color w:val="0064B4"/>
          <w:sz w:val="15"/>
        </w:rPr>
        <w:t>Source : https://news.google.com/rss/articles/CBMiigFBVV95cUxQTklvdDhrYVhYR2psZTBDTVlyTXN</w:t>
      </w:r>
    </w:p>
    <w:p>
      <w:pPr>
        <w:spacing w:before="40" w:after="40"/>
        <w:ind w:left="360"/>
      </w:pPr>
      <w:r>
        <w:rPr>
          <w:color w:val="646464"/>
          <w:sz w:val="17"/>
        </w:rPr>
        <w:t xml:space="preserve">[03/10/2026] 🟢  </w:t>
      </w:r>
      <w:r>
        <w:rPr>
          <w:b/>
          <w:color w:val="008000"/>
          <w:sz w:val="18"/>
        </w:rPr>
        <w:t>Burkina Faso - Banque mondiale : un nouveau partenariat pour l'emploi - koaci.com</w:t>
      </w:r>
      <w:r>
        <w:rPr>
          <w:color w:val="787878"/>
          <w:sz w:val="15"/>
        </w:rPr>
        <w:t xml:space="preserve">  [politique]</w:t>
      </w:r>
      <w:r>
        <w:rPr>
          <w:color w:val="B47800"/>
          <w:sz w:val="16"/>
        </w:rPr>
        <w:t xml:space="preserve">  ★ 50/10</w:t>
      </w:r>
    </w:p>
    <w:p>
      <w:pPr>
        <w:spacing w:before="0" w:after="20"/>
        <w:ind w:left="600"/>
      </w:pPr>
      <w:r>
        <w:rPr>
          <w:color w:val="323232"/>
          <w:sz w:val="17"/>
        </w:rPr>
        <w:t xml:space="preserve">Le Burkina Faso et la Banque mondiale ont conclu un nouveau partenariat axé sur l'emploi. Cet accord vise à soutenir la création d'emplois et à renforcer les capacités économiques du pays. Il s'inscrit dans le cadre des efforts de développement et de stabilisation économique de la région. Les détails précis du partenariat n'ont pas été communiqués </w:t>
      </w:r>
    </w:p>
    <w:p>
      <w:pPr>
        <w:spacing w:before="0" w:after="40"/>
        <w:ind w:left="600"/>
      </w:pPr>
      <w:r>
        <w:rPr>
          <w:color w:val="00643C"/>
          <w:sz w:val="16"/>
        </w:rPr>
        <w:t>Points clés : Nouveau partenariat entre le Burkina Faso et la Banque mondiale  •  Objectif principal : promotion de l'emploi  •  Initiative s'inscrivant dans le développement économique régional</w:t>
      </w:r>
    </w:p>
    <w:p>
      <w:pPr>
        <w:spacing w:before="0" w:after="60"/>
        <w:ind w:left="600"/>
      </w:pPr>
      <w:r>
        <w:rPr>
          <w:color w:val="0064B4"/>
          <w:sz w:val="15"/>
        </w:rPr>
        <w:t>Source : https://news.google.com/rss/articles/CBMi1wFBVV95cUxOaG9wYWEzVEFwOHNDc1g1UFdnRjJ</w:t>
      </w:r>
    </w:p>
    <w:p>
      <w:pPr>
        <w:spacing w:before="120" w:after="40"/>
      </w:pPr>
      <w:r>
        <w:rPr>
          <w:b/>
          <w:color w:val="00467F"/>
          <w:sz w:val="20"/>
        </w:rPr>
        <w:t>🔑 économique  (3 alerte(s))</w:t>
      </w:r>
    </w:p>
    <w:p>
      <w:pPr>
        <w:spacing w:before="40" w:after="40"/>
        <w:ind w:left="360"/>
      </w:pPr>
      <w:r>
        <w:rPr>
          <w:color w:val="646464"/>
          <w:sz w:val="17"/>
        </w:rPr>
        <w:t xml:space="preserve">[04/10/2026] 🔴  </w:t>
      </w:r>
      <w:r>
        <w:rPr>
          <w:b/>
          <w:color w:val="C00000"/>
          <w:sz w:val="18"/>
        </w:rPr>
        <w:t>Guinée-Bissau : Embalo dénonce le refus des militaires de le laisser rentrer - Africtelegraph</w:t>
      </w:r>
      <w:r>
        <w:rPr>
          <w:color w:val="787878"/>
          <w:sz w:val="15"/>
        </w:rPr>
        <w:t xml:space="preserve">  [économique]</w:t>
      </w:r>
      <w:r>
        <w:rPr>
          <w:color w:val="B47800"/>
          <w:sz w:val="16"/>
        </w:rPr>
        <w:t xml:space="preserve">  ★ 50/10</w:t>
      </w:r>
    </w:p>
    <w:p>
      <w:pPr>
        <w:spacing w:before="0" w:after="20"/>
        <w:ind w:left="600"/>
      </w:pPr>
      <w:r>
        <w:rPr>
          <w:color w:val="323232"/>
          <w:sz w:val="17"/>
        </w:rPr>
        <w:t>Le président de la Guinée-Bissau, Umaro Sissoco Embalo, dénonce le refus des militaires de le laisser rentrer dans le pays. Cette situation révèle une crise politique et institutionnelle majeure dans un pays déjà fragile. Les tensions entre le pouvoir civil et l'armée pourraient déstabiliser davantage la région ouest-africaine. Aucune issue immédia</w:t>
      </w:r>
    </w:p>
    <w:p>
      <w:pPr>
        <w:spacing w:before="0" w:after="40"/>
        <w:ind w:left="600"/>
      </w:pPr>
      <w:r>
        <w:rPr>
          <w:color w:val="00643C"/>
          <w:sz w:val="16"/>
        </w:rPr>
        <w:t>Points clés : Le président Embalo se voit refuser l'entrée sur le territoire par les militaires  •  Crise politique et institutionnelle en Guinée-Bissau  •  Risque de déstabilisation régionale en Afrique de l'Ouest</w:t>
      </w:r>
    </w:p>
    <w:p>
      <w:pPr>
        <w:spacing w:before="0" w:after="60"/>
        <w:ind w:left="600"/>
      </w:pPr>
      <w:r>
        <w:rPr>
          <w:color w:val="0064B4"/>
          <w:sz w:val="15"/>
        </w:rPr>
        <w:t>Source : https://news.google.com/rss/articles/CBMiqwFBVV95cUxOZVRfMzRMcWd3S1F2VGdpU2k4Qzl</w:t>
      </w:r>
    </w:p>
    <w:p>
      <w:pPr>
        <w:spacing w:before="40" w:after="40"/>
        <w:ind w:left="360"/>
      </w:pPr>
      <w:r>
        <w:rPr>
          <w:color w:val="646464"/>
          <w:sz w:val="17"/>
        </w:rPr>
        <w:t xml:space="preserve">[03/10/2026] 🟢  </w:t>
      </w:r>
      <w:r>
        <w:rPr>
          <w:b/>
          <w:color w:val="008000"/>
          <w:sz w:val="18"/>
        </w:rPr>
        <w:t>UEMOA : la BCEAO table sur une croissance de 6,1 % en 2026 - Africa News Agency</w:t>
      </w:r>
      <w:r>
        <w:rPr>
          <w:color w:val="787878"/>
          <w:sz w:val="15"/>
        </w:rPr>
        <w:t xml:space="preserve">  [économique]</w:t>
      </w:r>
      <w:r>
        <w:rPr>
          <w:color w:val="B47800"/>
          <w:sz w:val="16"/>
        </w:rPr>
        <w:t xml:space="preserve">  ★ 50/10</w:t>
      </w:r>
    </w:p>
    <w:p>
      <w:pPr>
        <w:spacing w:before="0" w:after="20"/>
        <w:ind w:left="600"/>
      </w:pPr>
      <w:r>
        <w:rPr>
          <w:color w:val="323232"/>
          <w:sz w:val="17"/>
        </w:rPr>
        <w:t xml:space="preserve">La BCEAO prévoit une croissance économique de 6,1 % pour la zone UEMOA en 2026. Cette projection témoigne d'une dynamique économique soutenue dans les huit pays membres de l'union monétaire. Elle s'appuie sur la résilience des économies et pourrait favoriser un environnement propice aux investissements. Cette prévision reste toutefois conditionnée </w:t>
      </w:r>
    </w:p>
    <w:p>
      <w:pPr>
        <w:spacing w:before="0" w:after="40"/>
        <w:ind w:left="600"/>
      </w:pPr>
      <w:r>
        <w:rPr>
          <w:color w:val="00643C"/>
          <w:sz w:val="16"/>
        </w:rPr>
        <w:t>Points clés : Croissance projetée de 6,1 % en 2026 pour l'UEMOA  •  Prévision émise par la BCEAO  •  Signal de dynamisme économique pour la zone</w:t>
      </w:r>
    </w:p>
    <w:p>
      <w:pPr>
        <w:spacing w:before="0" w:after="60"/>
        <w:ind w:left="600"/>
      </w:pPr>
      <w:r>
        <w:rPr>
          <w:color w:val="0064B4"/>
          <w:sz w:val="15"/>
        </w:rPr>
        <w:t>Source : https://news.google.com/rss/articles/CBMijgFBVV95cUxOaDI2V2xLdXR0dEZ1MzRVMjY3Skd</w:t>
      </w:r>
    </w:p>
    <w:p>
      <w:pPr>
        <w:spacing w:before="40" w:after="40"/>
        <w:ind w:left="360"/>
      </w:pPr>
      <w:r>
        <w:rPr>
          <w:color w:val="646464"/>
          <w:sz w:val="17"/>
        </w:rPr>
        <w:t xml:space="preserve">[02/10/2026] ⚪  </w:t>
      </w:r>
      <w:r>
        <w:rPr>
          <w:b/>
          <w:color w:val="505050"/>
          <w:sz w:val="18"/>
        </w:rPr>
        <w:t>DIOMAYE EN EGYPTE : La Cedeao en quête d’une voix commune dans le système UA–CER - EnquetePlus.com</w:t>
      </w:r>
      <w:r>
        <w:rPr>
          <w:color w:val="787878"/>
          <w:sz w:val="15"/>
        </w:rPr>
        <w:t xml:space="preserve">  [économique]</w:t>
      </w:r>
      <w:r>
        <w:rPr>
          <w:color w:val="B47800"/>
          <w:sz w:val="16"/>
        </w:rPr>
        <w:t xml:space="preserve">  ★ 50/10</w:t>
      </w:r>
    </w:p>
    <w:p>
      <w:pPr>
        <w:spacing w:before="0" w:after="20"/>
        <w:ind w:left="600"/>
      </w:pPr>
      <w:r>
        <w:rPr>
          <w:color w:val="323232"/>
          <w:sz w:val="17"/>
        </w:rPr>
        <w:t>Le président sénégalais Bassirou Diomaye Faye s'est rendu en Égypte pour participer à une réunion de la Cedeao visant à harmoniser la position des États membres sur le système de l'Union africaine et des Communautés économiques régionales (UA-CER). Cette rencontre s'inscrit dans un contexte de réforme institutionnelle où l'Afrique de l'Ouest cherch</w:t>
      </w:r>
    </w:p>
    <w:p>
      <w:pPr>
        <w:spacing w:before="0" w:after="40"/>
        <w:ind w:left="600"/>
      </w:pPr>
      <w:r>
        <w:rPr>
          <w:color w:val="00643C"/>
          <w:sz w:val="16"/>
        </w:rPr>
        <w:t>Points clés : Déplacement du président sénégalais en Égypte pour une réunion de la Cedeao  •  Recherche d'une position commune sur le système UA-CER  •  Enjeu de renforcement de l'intégration régionale ouest-africaine</w:t>
      </w:r>
    </w:p>
    <w:p>
      <w:pPr>
        <w:spacing w:before="0" w:after="60"/>
        <w:ind w:left="600"/>
      </w:pPr>
      <w:r>
        <w:rPr>
          <w:color w:val="0064B4"/>
          <w:sz w:val="15"/>
        </w:rPr>
        <w:t>Source : https://news.google.com/rss/articles/CBMi1wFBVV95cUxQbnBKWWNGQ3JfRVQzYmpaQzJIdVR</w:t>
      </w:r>
    </w:p>
    <w:p>
      <w:pPr>
        <w:spacing w:before="120" w:after="40"/>
      </w:pPr>
      <w:r>
        <w:rPr>
          <w:b/>
          <w:color w:val="00467F"/>
          <w:sz w:val="20"/>
        </w:rPr>
        <w:t>🔑 matieres_premieres  (2 alerte(s))</w:t>
      </w:r>
    </w:p>
    <w:p>
      <w:pPr>
        <w:spacing w:before="40" w:after="40"/>
        <w:ind w:left="360"/>
      </w:pPr>
      <w:r>
        <w:rPr>
          <w:color w:val="646464"/>
          <w:sz w:val="17"/>
        </w:rPr>
        <w:t xml:space="preserve">[03/10/2026] ⚪  </w:t>
      </w:r>
      <w:r>
        <w:rPr>
          <w:b/>
          <w:color w:val="505050"/>
          <w:sz w:val="18"/>
        </w:rPr>
        <w:t>Contrôler les prix des matières premières en fin d'année. - Vietnam.vn</w:t>
      </w:r>
      <w:r>
        <w:rPr>
          <w:color w:val="787878"/>
          <w:sz w:val="15"/>
        </w:rPr>
        <w:t xml:space="preserve">  [matieres_premieres]</w:t>
      </w:r>
      <w:r>
        <w:rPr>
          <w:color w:val="B47800"/>
          <w:sz w:val="16"/>
        </w:rPr>
        <w:t xml:space="preserve">  ★ 50/10</w:t>
      </w:r>
    </w:p>
    <w:p>
      <w:pPr>
        <w:spacing w:before="0" w:after="20"/>
        <w:ind w:left="600"/>
      </w:pPr>
      <w:r>
        <w:rPr>
          <w:color w:val="323232"/>
          <w:sz w:val="17"/>
        </w:rPr>
        <w:t>Le gouvernement vietnamien annonce des mesures pour contrôler les prix des matières premières en fin d'année. Cette initiative vise à stabiliser les marchés intérieurs face aux fluctuations saisonnières. Elle pourrait influencer les échanges régionaux et les prix de certaines matières premières importées. L'impact direct sur les marchés africains r</w:t>
      </w:r>
    </w:p>
    <w:p>
      <w:pPr>
        <w:spacing w:before="0" w:after="40"/>
        <w:ind w:left="600"/>
      </w:pPr>
      <w:r>
        <w:rPr>
          <w:color w:val="00643C"/>
          <w:sz w:val="16"/>
        </w:rPr>
        <w:t>Points clés : Contrôle des prix des matières premières au Vietnam en fin d'année  •  Mesures de stabilisation des marchés intérieurs  •  Impact potentiel sur les échanges régionaux asiatiques</w:t>
      </w:r>
    </w:p>
    <w:p>
      <w:pPr>
        <w:spacing w:before="0" w:after="60"/>
        <w:ind w:left="600"/>
      </w:pPr>
      <w:r>
        <w:rPr>
          <w:color w:val="0064B4"/>
          <w:sz w:val="15"/>
        </w:rPr>
        <w:t>Source : https://news.google.com/rss/articles/CBMiaEFVX3lxTE84RmpIOTE4elN4VURlUzU1TXNOUnF</w:t>
      </w:r>
    </w:p>
    <w:p>
      <w:pPr>
        <w:spacing w:before="40" w:after="40"/>
        <w:ind w:left="360"/>
      </w:pPr>
      <w:r>
        <w:rPr>
          <w:color w:val="646464"/>
          <w:sz w:val="17"/>
        </w:rPr>
        <w:t xml:space="preserve">[03/10/2026] ⚪  </w:t>
      </w:r>
      <w:r>
        <w:rPr>
          <w:b/>
          <w:color w:val="505050"/>
          <w:sz w:val="18"/>
        </w:rPr>
        <w:t>Pétrole, phosphates, importations : au Maghreb, le choc des matières premières creuse les écarts - Afrik</w:t>
      </w:r>
      <w:r>
        <w:rPr>
          <w:color w:val="787878"/>
          <w:sz w:val="15"/>
        </w:rPr>
        <w:t xml:space="preserve">  [matieres_premieres]</w:t>
      </w:r>
      <w:r>
        <w:rPr>
          <w:color w:val="B47800"/>
          <w:sz w:val="16"/>
        </w:rPr>
        <w:t xml:space="preserve">  ★ 50/10</w:t>
      </w:r>
    </w:p>
    <w:p>
      <w:pPr>
        <w:spacing w:before="0" w:after="20"/>
        <w:ind w:left="600"/>
      </w:pPr>
      <w:r>
        <w:rPr>
          <w:color w:val="323232"/>
          <w:sz w:val="17"/>
        </w:rPr>
        <w:t>Le choc des matières premières au Maghreb creuse les écarts entre pays exportateurs et importateurs. Les pays riches en pétrole et phosphates, comme l'Algérie et le Maroc, bénéficient de la hausse des prix, tandis que les pays dépendants des importations, comme la Tunisie, subissent une pression sur leurs balances commerciales. Cette divergence aff</w:t>
      </w:r>
    </w:p>
    <w:p>
      <w:pPr>
        <w:spacing w:before="0" w:after="40"/>
        <w:ind w:left="600"/>
      </w:pPr>
      <w:r>
        <w:rPr>
          <w:color w:val="00643C"/>
          <w:sz w:val="16"/>
        </w:rPr>
        <w:t>Points clés : Les exportateurs de pétrole et phosphates profitent de la hausse des prix.  •  Les importateurs nets font face à un creusement des déficits commerciaux.  •  Les écarts de croissance et de stabilité macroéconomique s'accentuent au Maghreb.</w:t>
      </w:r>
    </w:p>
    <w:p>
      <w:pPr>
        <w:spacing w:before="0" w:after="60"/>
        <w:ind w:left="600"/>
      </w:pPr>
      <w:r>
        <w:rPr>
          <w:color w:val="0064B4"/>
          <w:sz w:val="15"/>
        </w:rPr>
        <w:t>Source : https://news.google.com/rss/articles/CBMiswFBVV95cUxNbS1Fd2VYWElKQmFqYnhhVGVydzF</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3,370</w:t>
            </w:r>
          </w:p>
        </w:tc>
        <w:tc>
          <w:tcPr>
            <w:tcW w:type="dxa" w:w="1080"/>
            <w:shd w:fill="C6EFCE" w:val="clear"/>
          </w:tcPr>
          <w:p>
            <w:r>
              <w:rPr>
                <w:b/>
                <w:sz w:val="16"/>
              </w:rPr>
              <w:t>85/100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37,000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2,245</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9,160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45,000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8,800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2,935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2,790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3,010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3,690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1,900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14,900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PRSC</w:t>
            </w:r>
          </w:p>
        </w:tc>
        <w:tc>
          <w:tcPr>
            <w:tcW w:type="dxa" w:w="1080"/>
            <w:shd w:fill="C6EFCE" w:val="clear"/>
          </w:tcPr>
          <w:p>
            <w:r>
              <w:rPr>
                <w:sz w:val="16"/>
              </w:rPr>
              <w:t>CONSOMMATION DISCR</w:t>
            </w:r>
          </w:p>
        </w:tc>
        <w:tc>
          <w:tcPr>
            <w:tcW w:type="dxa" w:w="1080"/>
            <w:shd w:fill="C6EFCE" w:val="clear"/>
          </w:tcPr>
          <w:p>
            <w:r>
              <w:rPr>
                <w:sz w:val="16"/>
              </w:rPr>
              <w:t>3,905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2,300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2,150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8,175</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SEMC</w:t>
            </w:r>
          </w:p>
        </w:tc>
        <w:tc>
          <w:tcPr>
            <w:tcW w:type="dxa" w:w="1080"/>
            <w:shd w:fill="C6EFCE" w:val="clear"/>
          </w:tcPr>
          <w:p>
            <w:r>
              <w:rPr>
                <w:sz w:val="16"/>
              </w:rPr>
              <w:t>INDUSTRIELS</w:t>
            </w:r>
          </w:p>
        </w:tc>
        <w:tc>
          <w:tcPr>
            <w:tcW w:type="dxa" w:w="1080"/>
            <w:shd w:fill="C6EFCE" w:val="clear"/>
          </w:tcPr>
          <w:p>
            <w:r>
              <w:rPr>
                <w:sz w:val="16"/>
              </w:rPr>
              <w:t>1,495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EBF5FB" w:val="clear"/>
          </w:tcPr>
          <w:p>
            <w:r>
              <w:rPr>
                <w:sz w:val="16"/>
              </w:rPr>
              <w:t>20</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16,795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2,915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2,360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33,800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9,385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3,395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8,300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12,940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16,410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7,940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21,970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6,090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1,520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67</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22,000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21,800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8,000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8,800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11,490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5,000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30,300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6,500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3,890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1,995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7,890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4,450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48</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51,000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3,370</w:t>
            </w:r>
          </w:p>
        </w:tc>
        <w:tc>
          <w:tcPr>
            <w:tcW w:type="dxa" w:w="1728"/>
            <w:shd w:fill="DEEAF1" w:val="clear"/>
          </w:tcPr>
          <w:p>
            <w:r>
              <w:rPr>
                <w:sz w:val="17"/>
              </w:rPr>
              <w:t>85/100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37,000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NEIC</w:t>
            </w:r>
          </w:p>
        </w:tc>
        <w:tc>
          <w:tcPr>
            <w:tcW w:type="dxa" w:w="1728"/>
            <w:shd w:fill="DEEAF1" w:val="clear"/>
          </w:tcPr>
          <w:p>
            <w:r>
              <w:rPr>
                <w:sz w:val="17"/>
              </w:rPr>
              <w:t>NEIC - NEI-CEDA CI</w:t>
            </w:r>
          </w:p>
        </w:tc>
        <w:tc>
          <w:tcPr>
            <w:tcW w:type="dxa" w:w="1728"/>
            <w:shd w:fill="DEEAF1" w:val="clear"/>
          </w:tcPr>
          <w:p>
            <w:r>
              <w:rPr>
                <w:sz w:val="17"/>
              </w:rPr>
              <w:t>2,245</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9,160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2,935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3,010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TTLS</w:t>
            </w:r>
          </w:p>
        </w:tc>
        <w:tc>
          <w:tcPr>
            <w:tcW w:type="dxa" w:w="1728"/>
            <w:shd w:fill="DEEAF1" w:val="clear"/>
          </w:tcPr>
          <w:p>
            <w:r>
              <w:rPr>
                <w:sz w:val="17"/>
              </w:rPr>
              <w:t>TTLS - TOTAL ENERGIES MARKET</w:t>
            </w:r>
          </w:p>
        </w:tc>
        <w:tc>
          <w:tcPr>
            <w:tcW w:type="dxa" w:w="1728"/>
            <w:shd w:fill="DEEAF1" w:val="clear"/>
          </w:tcPr>
          <w:p>
            <w:r>
              <w:rPr>
                <w:sz w:val="17"/>
              </w:rPr>
              <w:t>3,690</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3,370</w:t>
            </w:r>
          </w:p>
        </w:tc>
        <w:tc>
          <w:tcPr>
            <w:tcW w:type="dxa" w:w="1728"/>
            <w:shd w:fill="E2EFDA" w:val="clear"/>
          </w:tcPr>
          <w:p>
            <w:r>
              <w:rPr>
                <w:sz w:val="17"/>
              </w:rPr>
              <w:t>85/100</w:t>
            </w:r>
          </w:p>
        </w:tc>
        <w:tc>
          <w:tcPr>
            <w:tcW w:type="dxa" w:w="1728"/>
            <w:shd w:fill="E2EFDA" w:val="clear"/>
          </w:tcPr>
          <w:p>
            <w:r>
              <w:rPr>
                <w:sz w:val="17"/>
              </w:rPr>
              <w:t>11.2%</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37,000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2,245</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9,160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45,000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8,800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2,935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2,790</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3,370</w:t>
            </w:r>
          </w:p>
        </w:tc>
        <w:tc>
          <w:tcPr>
            <w:tcW w:type="dxa" w:w="1728"/>
            <w:shd w:fill="FCE4D6" w:val="clear"/>
          </w:tcPr>
          <w:p>
            <w:r>
              <w:rPr>
                <w:sz w:val="17"/>
              </w:rPr>
              <w:t>85/100</w:t>
            </w:r>
          </w:p>
        </w:tc>
        <w:tc>
          <w:tcPr>
            <w:tcW w:type="dxa" w:w="1728"/>
            <w:shd w:fill="FCE4D6" w:val="clear"/>
          </w:tcPr>
          <w:p>
            <w:r>
              <w:rPr>
                <w:sz w:val="17"/>
              </w:rPr>
              <w:t>11.9%</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37,000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2,245</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9,160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45,000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8,800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2,935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2,790</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SLBC — SLBC - SOLIBRA COTE D'IVOIRE</w:t>
      </w:r>
    </w:p>
    <w:p>
      <w:pPr>
        <w:pStyle w:val="ListBullet"/>
        <w:spacing w:before="20"/>
        <w:ind w:left="400"/>
      </w:pPr>
      <w:r>
        <w:rPr>
          <w:sz w:val="18"/>
        </w:rPr>
        <w:t>🟢 RSI survente (19.7 &lt; 30) — opportunité potentielle</w:t>
      </w:r>
    </w:p>
    <w:p>
      <w:pPr>
        <w:pStyle w:val="ListBullet"/>
        <w:spacing w:before="20"/>
        <w:ind w:left="400"/>
      </w:pPr>
      <w:r>
        <w:rPr>
          <w:sz w:val="18"/>
        </w:rPr>
        <w:t>⚠️ Cours à 0.3% du plus bas 100j (36,900 FCFA)</w:t>
      </w:r>
    </w:p>
    <w:p>
      <w:pPr>
        <w:spacing w:before="120"/>
      </w:pPr>
      <w:r>
        <w:rPr>
          <w:b/>
          <w:color w:val="0050A0"/>
          <w:sz w:val="20"/>
        </w:rPr>
        <w:t>SNTS — SNTS - SONATEL SN</w:t>
      </w:r>
    </w:p>
    <w:p>
      <w:pPr>
        <w:pStyle w:val="ListBullet"/>
        <w:spacing w:before="20"/>
        <w:ind w:left="400"/>
      </w:pPr>
      <w:r>
        <w:rPr>
          <w:sz w:val="18"/>
        </w:rPr>
        <w:t>🔴 RSI surachat (81.5 &gt; 70) — risque de correction</w:t>
      </w:r>
    </w:p>
    <w:p>
      <w:pPr>
        <w:pStyle w:val="ListBullet"/>
        <w:spacing w:before="20"/>
        <w:ind w:left="400"/>
      </w:pPr>
      <w:r>
        <w:rPr>
          <w:sz w:val="18"/>
        </w:rPr>
        <w:t>⚠️ Cours à 0.0% du plus haut 100j (45,000 FCFA)</w:t>
      </w:r>
    </w:p>
    <w:p>
      <w:pPr>
        <w:spacing w:before="120"/>
      </w:pPr>
      <w:r>
        <w:rPr>
          <w:b/>
          <w:color w:val="0050A0"/>
          <w:sz w:val="20"/>
        </w:rPr>
        <w:t>ABJC — ABJC - SERVAIR ABIDJAN CI</w:t>
      </w:r>
    </w:p>
    <w:p>
      <w:pPr>
        <w:pStyle w:val="ListBullet"/>
        <w:spacing w:before="20"/>
        <w:ind w:left="400"/>
      </w:pPr>
      <w:r>
        <w:rPr>
          <w:sz w:val="18"/>
        </w:rPr>
        <w:t>🟢 RSI survente (17.2 &lt; 30) — opportunité potentielle</w:t>
      </w:r>
    </w:p>
    <w:p>
      <w:pPr>
        <w:spacing w:before="120"/>
      </w:pPr>
      <w:r>
        <w:rPr>
          <w:b/>
          <w:color w:val="0050A0"/>
          <w:sz w:val="20"/>
        </w:rPr>
        <w:t>BBGC — BRIDGE BANK GROUP COTE D'IVOIRE</w:t>
      </w:r>
    </w:p>
    <w:p>
      <w:pPr>
        <w:pStyle w:val="ListBullet"/>
        <w:spacing w:before="20"/>
        <w:ind w:left="400"/>
      </w:pPr>
      <w:r>
        <w:rPr>
          <w:sz w:val="18"/>
        </w:rPr>
        <w:t>⚠️ Cours à 2.2% du plus haut 100j (9,000 FCFA)</w:t>
      </w:r>
    </w:p>
    <w:p>
      <w:pPr>
        <w:spacing w:before="120"/>
      </w:pPr>
      <w:r>
        <w:rPr>
          <w:b/>
          <w:color w:val="0050A0"/>
          <w:sz w:val="20"/>
        </w:rPr>
        <w:t>BICB — BIIC BN - Banque internationale pour le commerce du benin</w:t>
      </w:r>
    </w:p>
    <w:p>
      <w:pPr>
        <w:pStyle w:val="ListBullet"/>
        <w:spacing w:before="20"/>
        <w:ind w:left="400"/>
      </w:pPr>
      <w:r>
        <w:rPr>
          <w:sz w:val="18"/>
        </w:rPr>
        <w:t>🟢 RSI survente (28.5 &lt; 30) — opportunité potentielle</w:t>
      </w:r>
    </w:p>
    <w:p>
      <w:pPr>
        <w:spacing w:before="120"/>
      </w:pPr>
      <w:r>
        <w:rPr>
          <w:b/>
          <w:color w:val="0050A0"/>
          <w:sz w:val="20"/>
        </w:rPr>
        <w:t>BOAC — BANK OF AFRICA COTE D'IVOIRE</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Divergence tech(VENTE) / fond(ACHAT) — recommandation ajustée à ACHAT</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(22.4 &lt; 30) — opportunité potentielle</w:t>
      </w:r>
    </w:p>
    <w:p>
      <w:pPr>
        <w:spacing w:before="120"/>
      </w:pPr>
      <w:r>
        <w:rPr>
          <w:b/>
          <w:color w:val="0050A0"/>
          <w:sz w:val="20"/>
        </w:rPr>
        <w:t>NTLC — NTLC - NESTLE COTE D'IVOIRE</w:t>
      </w:r>
    </w:p>
    <w:p>
      <w:pPr>
        <w:pStyle w:val="ListBullet"/>
        <w:spacing w:before="20"/>
        <w:ind w:left="400"/>
      </w:pPr>
      <w:r>
        <w:rPr>
          <w:sz w:val="18"/>
        </w:rPr>
        <w:t>🟢 RSI survente (23.7 &lt; 30) — opportunité potentielle</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(26.8 &lt; 30) — opportunité potentielle</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RSI survente (28.5 &lt; 30) — opportunité potentielle</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30 société(s) (62%)</w:t>
            </w:r>
          </w:p>
        </w:tc>
        <w:tc>
          <w:tcPr>
            <w:tcW w:type="dxa" w:w="1644"/>
            <w:shd w:fill="FFEB9C" w:val="clear"/>
          </w:tcPr>
          <w:p>
            <w:r>
              <w:rPr>
                <w:b/>
                <w:color w:val="825A00"/>
                <w:sz w:val="19"/>
              </w:rPr>
              <w:t>18 société(s) (38%)</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19.7/100</w:t>
            </w:r>
          </w:p>
        </w:tc>
        <w:tc>
          <w:tcPr>
            <w:tcW w:type="dxa" w:w="1644"/>
            <w:shd w:fill="DEEAF1" w:val="clear"/>
          </w:tcPr>
          <w:p>
            <w:r>
              <w:rPr>
                <w:b/>
                <w:color w:val="000000"/>
                <w:sz w:val="19"/>
              </w:rPr>
              <w:t>18.8/100</w:t>
            </w:r>
          </w:p>
        </w:tc>
      </w:tr>
    </w:tbl>
    <w:p/>
    <w:p>
      <w:r>
        <w:rPr>
          <w:i/>
          <w:color w:val="006400"/>
          <w:sz w:val="18"/>
        </w:rPr>
        <w:t>✅ Le marché BRVM présente globalement un profil de risque FAIBLE (score moyen 19.7/100).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BOAN</w:t>
            </w:r>
          </w:p>
        </w:tc>
        <w:tc>
          <w:tcPr>
            <w:tcW w:type="dxa" w:w="2268"/>
            <w:shd w:fill="FFFFFF" w:val="clear"/>
          </w:tcPr>
          <w:p>
            <w:r>
              <w:rPr>
                <w:sz w:val="16"/>
              </w:rPr>
              <w:t>BANK OF AFRICA NIGER</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31.0/100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BOAN (31.3/100 — Moyen) : </w:t>
      </w:r>
      <w:r>
        <w:rPr>
          <w:sz w:val="17"/>
        </w:rPr>
        <w:t>Volatilité=Élevée | Bêta=Agressif | Liquidité=Bonne | Divergence signaux=taux divergence=20% (Mixte ⚠️) | Stabilité=Stable</w:t>
      </w:r>
    </w:p>
    <w:p>
      <w:pPr>
        <w:pStyle w:val="ListBullet"/>
      </w:pPr>
      <w:r>
        <w:rPr>
          <w:b/>
          <w:color w:val="B40000"/>
          <w:sz w:val="18"/>
        </w:rPr>
        <w:t xml:space="preserve">#4 CBIBF (31.3/100 — Moyen) : </w:t>
      </w:r>
      <w:r>
        <w:rPr>
          <w:sz w:val="17"/>
        </w:rPr>
        <w:t>Volatilité=Élevée | Bêta=Agressif | Liquidité=Bonne | Divergence signaux=taux divergence=20% (Mixte ⚠️) | Stabilité=Stable</w:t>
      </w:r>
    </w:p>
    <w:p>
      <w:pPr>
        <w:pStyle w:val="ListBullet"/>
      </w:pPr>
      <w:r>
        <w:rPr>
          <w:b/>
          <w:color w:val="B40000"/>
          <w:sz w:val="18"/>
        </w:rPr>
        <w:t xml:space="preserve">#5 SAFC (31.0/100 — Moyen) : </w:t>
      </w:r>
      <w:r>
        <w:rPr>
          <w:sz w:val="17"/>
        </w:rPr>
        <w:t>Volatilité=Élevée | Bêta=Agressif | Liquidité=Bonne | Divergence signaux=taux divergence=0% (Convergent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31.0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23.0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Convergent ✅ / Modérée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C6EFCE" w:val="clear"/>
          </w:tcPr>
          <w:p>
            <w:r>
              <w:rPr>
                <w:b/>
                <w:color w:val="006400"/>
                <w:sz w:val="15"/>
              </w:rPr>
              <w:t>17.2</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proxy, &lt;10 obs commu</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13.5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3200"/>
                <w:sz w:val="18"/>
              </w:rPr>
              <w:t>🟡 LÉGÈREMENT BAISSIER</w:t>
            </w:r>
          </w:p>
        </w:tc>
      </w:tr>
      <w:tr>
        <w:tc>
          <w:tcPr>
            <w:tcW w:type="dxa" w:w="2835"/>
            <w:shd w:fill="DEEAF1" w:val="clear"/>
          </w:tcPr>
          <w:p>
            <w:r>
              <w:rPr>
                <w:b/>
                <w:sz w:val="18"/>
              </w:rPr>
              <w:t>Variation moyenne J+10</w:t>
            </w:r>
          </w:p>
        </w:tc>
        <w:tc>
          <w:tcPr>
            <w:tcW w:type="dxa" w:w="7370"/>
          </w:tcPr>
          <w:p>
            <w:r>
              <w:rPr>
                <w:b/>
                <w:sz w:val="18"/>
              </w:rPr>
              <w:t>-1.65%  |  Médiane : -2.31%</w:t>
            </w:r>
          </w:p>
        </w:tc>
      </w:tr>
      <w:tr>
        <w:tc>
          <w:tcPr>
            <w:tcW w:type="dxa" w:w="2835"/>
            <w:shd w:fill="DEEAF1" w:val="clear"/>
          </w:tcPr>
          <w:p>
            <w:r>
              <w:rPr>
                <w:b/>
                <w:sz w:val="18"/>
              </w:rPr>
              <w:t>Répartition</w:t>
            </w:r>
          </w:p>
        </w:tc>
        <w:tc>
          <w:tcPr>
            <w:tcW w:type="dxa" w:w="7370"/>
          </w:tcPr>
          <w:p>
            <w:r>
              <w:rPr>
                <w:b/>
                <w:sz w:val="18"/>
              </w:rPr>
              <w:t>📈 11 sociétés en hausse (&gt;+1%)   📉 30 en baisse (&lt;-1%)   ➡️ 4 neutres</w:t>
            </w:r>
          </w:p>
        </w:tc>
      </w:tr>
      <w:tr>
        <w:tc>
          <w:tcPr>
            <w:tcW w:type="dxa" w:w="2835"/>
            <w:shd w:fill="DEEAF1" w:val="clear"/>
          </w:tcPr>
          <w:p>
            <w:r>
              <w:rPr>
                <w:b/>
                <w:sz w:val="18"/>
              </w:rPr>
              <w:t>Confiance globale</w:t>
            </w:r>
          </w:p>
        </w:tc>
        <w:tc>
          <w:tcPr>
            <w:tcW w:type="dxa" w:w="7370"/>
          </w:tcPr>
          <w:p>
            <w:r>
              <w:rPr>
                <w:b/>
                <w:sz w:val="18"/>
              </w:rPr>
              <w:t>Élevée : 0 sociétés (0%)   Moyenne : 9   Faible : 36 (80%)   → Confiance dominante : Faible</w:t>
            </w:r>
          </w:p>
        </w:tc>
      </w:tr>
    </w:tbl>
    <w:p/>
    <w:p>
      <w:r>
        <w:rPr>
          <w:i/>
          <w:color w:val="282828"/>
          <w:sz w:val="18"/>
        </w:rPr>
        <w:t>📝 Analyse : Légère tendance baissière avec signal mixte : 30 sociétés en baisse vs 11 en hausse. Variation moyenne : -1.65%.</w:t>
      </w:r>
    </w:p>
    <w:p>
      <w:r>
        <w:rPr>
          <w:i/>
          <w:color w:val="282828"/>
          <w:sz w:val="18"/>
        </w:rPr>
        <w:t>🎯 Fiabilité : ⚠️ La confiance est globalement FAIBLE (80%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2,790 FCFA</w:t>
            </w:r>
          </w:p>
        </w:tc>
        <w:tc>
          <w:tcPr>
            <w:tcW w:type="dxa" w:w="1417"/>
            <w:shd w:fill="FFFFFF" w:val="clear"/>
          </w:tcPr>
          <w:p>
            <w:r>
              <w:rPr>
                <w:sz w:val="16"/>
              </w:rPr>
              <w:t>3,287 FCFA</w:t>
            </w:r>
          </w:p>
        </w:tc>
        <w:tc>
          <w:tcPr>
            <w:tcW w:type="dxa" w:w="1134"/>
            <w:shd w:fill="C6EFCE" w:val="clear"/>
          </w:tcPr>
          <w:p>
            <w:r>
              <w:rPr>
                <w:b/>
                <w:color w:val="007800"/>
                <w:sz w:val="16"/>
              </w:rPr>
              <w:t>+17.80%</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21,970 FCFA</w:t>
            </w:r>
          </w:p>
        </w:tc>
        <w:tc>
          <w:tcPr>
            <w:tcW w:type="dxa" w:w="1417"/>
            <w:shd w:fill="FFFFFF" w:val="clear"/>
          </w:tcPr>
          <w:p>
            <w:r>
              <w:rPr>
                <w:sz w:val="16"/>
              </w:rPr>
              <w:t>24,464 FCFA</w:t>
            </w:r>
          </w:p>
        </w:tc>
        <w:tc>
          <w:tcPr>
            <w:tcW w:type="dxa" w:w="1134"/>
            <w:shd w:fill="C6EFCE" w:val="clear"/>
          </w:tcPr>
          <w:p>
            <w:r>
              <w:rPr>
                <w:b/>
                <w:color w:val="007800"/>
                <w:sz w:val="16"/>
              </w:rPr>
              <w:t>+11.35%</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BOAN — BANK OF AFRICA NIGER</w:t>
            </w:r>
          </w:p>
        </w:tc>
        <w:tc>
          <w:tcPr>
            <w:tcW w:type="dxa" w:w="1701"/>
            <w:shd w:fill="FFFFFF" w:val="clear"/>
          </w:tcPr>
          <w:p>
            <w:r>
              <w:rPr>
                <w:sz w:val="16"/>
              </w:rPr>
              <w:t>SERVICES FINANCIERS</w:t>
            </w:r>
          </w:p>
        </w:tc>
        <w:tc>
          <w:tcPr>
            <w:tcW w:type="dxa" w:w="1417"/>
            <w:shd w:fill="FFFFFF" w:val="clear"/>
          </w:tcPr>
          <w:p>
            <w:r>
              <w:rPr>
                <w:sz w:val="16"/>
              </w:rPr>
              <w:t>5,000 FCFA</w:t>
            </w:r>
          </w:p>
        </w:tc>
        <w:tc>
          <w:tcPr>
            <w:tcW w:type="dxa" w:w="1417"/>
            <w:shd w:fill="FFFFFF" w:val="clear"/>
          </w:tcPr>
          <w:p>
            <w:r>
              <w:rPr>
                <w:sz w:val="16"/>
              </w:rPr>
              <w:t>5,330 FCFA</w:t>
            </w:r>
          </w:p>
        </w:tc>
        <w:tc>
          <w:tcPr>
            <w:tcW w:type="dxa" w:w="1134"/>
            <w:shd w:fill="C6EFCE" w:val="clear"/>
          </w:tcPr>
          <w:p>
            <w:r>
              <w:rPr>
                <w:b/>
                <w:color w:val="007800"/>
                <w:sz w:val="16"/>
              </w:rPr>
              <w:t>+6.60%</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8,800 FCFA</w:t>
            </w:r>
          </w:p>
        </w:tc>
        <w:tc>
          <w:tcPr>
            <w:tcW w:type="dxa" w:w="1417"/>
            <w:shd w:fill="FFFFFF" w:val="clear"/>
          </w:tcPr>
          <w:p>
            <w:r>
              <w:rPr>
                <w:sz w:val="16"/>
              </w:rPr>
              <w:t>9,364 FCFA</w:t>
            </w:r>
          </w:p>
        </w:tc>
        <w:tc>
          <w:tcPr>
            <w:tcW w:type="dxa" w:w="1134"/>
            <w:shd w:fill="C6EFCE" w:val="clear"/>
          </w:tcPr>
          <w:p>
            <w:r>
              <w:rPr>
                <w:b/>
                <w:color w:val="007800"/>
                <w:sz w:val="16"/>
              </w:rPr>
              <w:t>+6.41%</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37,000 FCFA</w:t>
            </w:r>
          </w:p>
        </w:tc>
        <w:tc>
          <w:tcPr>
            <w:tcW w:type="dxa" w:w="1417"/>
            <w:shd w:fill="FFFFFF" w:val="clear"/>
          </w:tcPr>
          <w:p>
            <w:r>
              <w:rPr>
                <w:sz w:val="16"/>
              </w:rPr>
              <w:t>38,922 FCFA</w:t>
            </w:r>
          </w:p>
        </w:tc>
        <w:tc>
          <w:tcPr>
            <w:tcW w:type="dxa" w:w="1134"/>
            <w:shd w:fill="C6EFCE" w:val="clear"/>
          </w:tcPr>
          <w:p>
            <w:r>
              <w:rPr>
                <w:b/>
                <w:color w:val="007800"/>
                <w:sz w:val="16"/>
              </w:rPr>
              <w:t>+5.19%</w:t>
            </w:r>
          </w:p>
        </w:tc>
        <w:tc>
          <w:tcPr>
            <w:tcW w:type="dxa" w:w="1020"/>
            <w:shd w:fill="FFEB9C" w:val="clear"/>
          </w:tcPr>
          <w:p>
            <w:r>
              <w:rPr>
                <w:sz w:val="16"/>
              </w:rPr>
              <w:t>Moyenne</w:t>
            </w:r>
          </w:p>
        </w:tc>
      </w:tr>
    </w:tbl>
    <w:p/>
    <w:p>
      <w:pPr>
        <w:pStyle w:val="ListBullet"/>
      </w:pPr>
      <w:r>
        <w:rPr>
          <w:b/>
          <w:color w:val="006400"/>
          <w:sz w:val="18"/>
        </w:rPr>
        <w:t xml:space="preserve">#1 SCRC </w:t>
      </w:r>
      <w:r>
        <w:rPr>
          <w:sz w:val="17"/>
        </w:rPr>
        <w:t>(SCRC - SUCRIVOIRE) — hausse significative (+17.8%) — potentiel de revalorisation notable. Trajectoire : 📈 Hausse continue. Cours actuel : 2,790 FCFA → prédit J+10 : 3,287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(+11.4%) — potentiel de revalorisation notable. Trajectoire : 📈 Hausse continue. Cours actuel : 21,970 FCFA → prédit J+10 : 24,464 FCFA. ⚠️ Confiance limitée — volatilité élevée ou données insuffisantes. Résultat indicatif uniquement.</w:t>
      </w:r>
    </w:p>
    <w:p>
      <w:pPr>
        <w:pStyle w:val="ListBullet"/>
      </w:pPr>
      <w:r>
        <w:rPr>
          <w:b/>
          <w:color w:val="006400"/>
          <w:sz w:val="18"/>
        </w:rPr>
        <w:t xml:space="preserve">#3 BOAN </w:t>
      </w:r>
      <w:r>
        <w:rPr>
          <w:sz w:val="17"/>
        </w:rPr>
        <w:t>(BANK OF AFRICA NIGER) — hausse modérée (+6.6%) — signal raisonnable et crédible. Trajectoire : 📈 Hausse continue. Cours actuel : 5,000 FCFA → prédit J+10 : 5,330 FCFA. ⚠️ Confiance limitée — volatilité élevée ou données insuffisantes. Résultat indicatif uniquement.</w:t>
      </w:r>
    </w:p>
    <w:p>
      <w:pPr>
        <w:pStyle w:val="ListBullet"/>
      </w:pPr>
      <w:r>
        <w:rPr>
          <w:b/>
          <w:color w:val="006400"/>
          <w:sz w:val="18"/>
        </w:rPr>
        <w:t xml:space="preserve">#4 BICB </w:t>
      </w:r>
      <w:r>
        <w:rPr>
          <w:sz w:val="17"/>
        </w:rPr>
        <w:t>(BIIC BN - Banque internationale pour le ) — hausse modérée (+6.4%) — signal raisonnable et crédible. Trajectoire : 📈 Hausse continue. Cours actuel : 8,800 FCFA → prédit J+10 : 9,364 FCFA. ⚠️ Confiance limitée — volatilité élevée ou données insuffisantes. Résultat indicatif uniquement.</w:t>
      </w:r>
    </w:p>
    <w:p>
      <w:pPr>
        <w:pStyle w:val="ListBullet"/>
      </w:pPr>
      <w:r>
        <w:rPr>
          <w:b/>
          <w:color w:val="006400"/>
          <w:sz w:val="18"/>
        </w:rPr>
        <w:t xml:space="preserve">#5 SLBC </w:t>
      </w:r>
      <w:r>
        <w:rPr>
          <w:sz w:val="17"/>
        </w:rPr>
        <w:t>(SLBC - SOLIBRA COTE D'IVOIRE) — hausse modérée (+5.2%) — signal raisonnable et crédible. Trajectoire : 📈 Hausse continue. Cours actuel : 37,000 FCFA → prédit J+10 : 38,922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8,175 FCFA</w:t>
            </w:r>
          </w:p>
        </w:tc>
        <w:tc>
          <w:tcPr>
            <w:tcW w:type="dxa" w:w="1417"/>
            <w:shd w:fill="FFFFFF" w:val="clear"/>
          </w:tcPr>
          <w:p>
            <w:r>
              <w:rPr>
                <w:sz w:val="16"/>
              </w:rPr>
              <w:t>7,117 FCFA</w:t>
            </w:r>
          </w:p>
        </w:tc>
        <w:tc>
          <w:tcPr>
            <w:tcW w:type="dxa" w:w="1134"/>
            <w:shd w:fill="FFC7CE" w:val="clear"/>
          </w:tcPr>
          <w:p>
            <w:r>
              <w:rPr>
                <w:b/>
                <w:color w:val="B40000"/>
                <w:sz w:val="16"/>
              </w:rPr>
              <w:t>-12.94%</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22,000 FCFA</w:t>
            </w:r>
          </w:p>
        </w:tc>
        <w:tc>
          <w:tcPr>
            <w:tcW w:type="dxa" w:w="1417"/>
            <w:shd w:fill="FFFFFF" w:val="clear"/>
          </w:tcPr>
          <w:p>
            <w:r>
              <w:rPr>
                <w:sz w:val="16"/>
              </w:rPr>
              <w:t>19,542 FCFA</w:t>
            </w:r>
          </w:p>
        </w:tc>
        <w:tc>
          <w:tcPr>
            <w:tcW w:type="dxa" w:w="1134"/>
            <w:shd w:fill="FFC7CE" w:val="clear"/>
          </w:tcPr>
          <w:p>
            <w:r>
              <w:rPr>
                <w:b/>
                <w:color w:val="B40000"/>
                <w:sz w:val="16"/>
              </w:rPr>
              <w:t>-11.17%</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6,090 FCFA</w:t>
            </w:r>
          </w:p>
        </w:tc>
        <w:tc>
          <w:tcPr>
            <w:tcW w:type="dxa" w:w="1417"/>
            <w:shd w:fill="FFFFFF" w:val="clear"/>
          </w:tcPr>
          <w:p>
            <w:r>
              <w:rPr>
                <w:sz w:val="16"/>
              </w:rPr>
              <w:t>5,485 FCFA</w:t>
            </w:r>
          </w:p>
        </w:tc>
        <w:tc>
          <w:tcPr>
            <w:tcW w:type="dxa" w:w="1134"/>
            <w:shd w:fill="FFC7CE" w:val="clear"/>
          </w:tcPr>
          <w:p>
            <w:r>
              <w:rPr>
                <w:b/>
                <w:color w:val="B40000"/>
                <w:sz w:val="16"/>
              </w:rPr>
              <w:t>-9.93%</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UNXC — UNXC - UNIWAX COTE D'IVOIRE</w:t>
            </w:r>
          </w:p>
        </w:tc>
        <w:tc>
          <w:tcPr>
            <w:tcW w:type="dxa" w:w="1701"/>
            <w:shd w:fill="FFFFFF" w:val="clear"/>
          </w:tcPr>
          <w:p>
            <w:r>
              <w:rPr>
                <w:sz w:val="16"/>
              </w:rPr>
              <w:t>CONSOMMATION DISCRET</w:t>
            </w:r>
          </w:p>
        </w:tc>
        <w:tc>
          <w:tcPr>
            <w:tcW w:type="dxa" w:w="1417"/>
            <w:shd w:fill="FFFFFF" w:val="clear"/>
          </w:tcPr>
          <w:p>
            <w:r>
              <w:rPr>
                <w:sz w:val="16"/>
              </w:rPr>
              <w:t>2,360 FCFA</w:t>
            </w:r>
          </w:p>
        </w:tc>
        <w:tc>
          <w:tcPr>
            <w:tcW w:type="dxa" w:w="1417"/>
            <w:shd w:fill="FFFFFF" w:val="clear"/>
          </w:tcPr>
          <w:p>
            <w:r>
              <w:rPr>
                <w:sz w:val="16"/>
              </w:rPr>
              <w:t>2,194 FCFA</w:t>
            </w:r>
          </w:p>
        </w:tc>
        <w:tc>
          <w:tcPr>
            <w:tcW w:type="dxa" w:w="1134"/>
            <w:shd w:fill="FFC7CE" w:val="clear"/>
          </w:tcPr>
          <w:p>
            <w:r>
              <w:rPr>
                <w:b/>
                <w:color w:val="B40000"/>
                <w:sz w:val="16"/>
              </w:rPr>
              <w:t>-7.03%</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1,995 FCFA</w:t>
            </w:r>
          </w:p>
        </w:tc>
        <w:tc>
          <w:tcPr>
            <w:tcW w:type="dxa" w:w="1417"/>
            <w:shd w:fill="FFFFFF" w:val="clear"/>
          </w:tcPr>
          <w:p>
            <w:r>
              <w:rPr>
                <w:sz w:val="16"/>
              </w:rPr>
              <w:t>1,856 FCFA</w:t>
            </w:r>
          </w:p>
        </w:tc>
        <w:tc>
          <w:tcPr>
            <w:tcW w:type="dxa" w:w="1134"/>
            <w:shd w:fill="FFC7CE" w:val="clear"/>
          </w:tcPr>
          <w:p>
            <w:r>
              <w:rPr>
                <w:b/>
                <w:color w:val="B40000"/>
                <w:sz w:val="16"/>
              </w:rPr>
              <w:t>-6.96%</w:t>
            </w:r>
          </w:p>
        </w:tc>
        <w:tc>
          <w:tcPr>
            <w:tcW w:type="dxa" w:w="1020"/>
            <w:shd w:fill="FFEB9C" w:val="clear"/>
          </w:tcPr>
          <w:p>
            <w:r>
              <w:rPr>
                <w:sz w:val="16"/>
              </w:rPr>
              <w:t>Moyenne</w:t>
            </w:r>
          </w:p>
        </w:tc>
      </w:tr>
    </w:tbl>
    <w:p/>
    <w:p>
      <w:pPr>
        <w:pStyle w:val="ListBullet"/>
      </w:pPr>
      <w:r>
        <w:rPr>
          <w:b/>
          <w:color w:val="B40000"/>
          <w:sz w:val="18"/>
        </w:rPr>
        <w:t xml:space="preserve">#1 BOAS </w:t>
      </w:r>
      <w:r>
        <w:rPr>
          <w:sz w:val="17"/>
        </w:rPr>
        <w:t>(BANK OF AFRICA SENEGAL) — baisse modérée (-12.9%) — repli technique attendu. Trajectoire : 📉 Baisse continue. Cours actuel : 8,175 FCFA → prédit J+10 : 7,117 FCFA. Confiance partielle — surveiller l'évolution réelle des premiers jours.</w:t>
      </w:r>
    </w:p>
    <w:p>
      <w:pPr>
        <w:pStyle w:val="ListBullet"/>
      </w:pPr>
      <w:r>
        <w:rPr>
          <w:b/>
          <w:color w:val="B40000"/>
          <w:sz w:val="18"/>
        </w:rPr>
        <w:t xml:space="preserve">#2 NSBC </w:t>
      </w:r>
      <w:r>
        <w:rPr>
          <w:sz w:val="17"/>
        </w:rPr>
        <w:t>(NSBC - NSIA BANQUE COTE D'IVOIRE) — baisse modérée (-11.2%) — repli technique attendu. Trajectoire : 📉 Baisse continue. Cours actuel : 22,000 FCFA → prédit J+10 : 19,542 FCFA. ⚠️ Confiance limitée — volatilité élevée. Ne pas agir sur ce seul signal.</w:t>
      </w:r>
    </w:p>
    <w:p>
      <w:pPr>
        <w:pStyle w:val="ListBullet"/>
      </w:pPr>
      <w:r>
        <w:rPr>
          <w:b/>
          <w:color w:val="B40000"/>
          <w:sz w:val="18"/>
        </w:rPr>
        <w:t xml:space="preserve">#3 BOAM </w:t>
      </w:r>
      <w:r>
        <w:rPr>
          <w:sz w:val="17"/>
        </w:rPr>
        <w:t>(BANK OF AFRICA MALI) — baisse modérée (-9.9%) — repli technique attendu. Trajectoire : 📉 Baisse continue. Cours actuel : 6,090 FCFA → prédit J+10 : 5,485 FCFA. ⚠️ Confiance limitée — volatilité élevée. Ne pas agir sur ce seul signal.</w:t>
      </w:r>
    </w:p>
    <w:p>
      <w:pPr>
        <w:pStyle w:val="ListBullet"/>
      </w:pPr>
      <w:r>
        <w:rPr>
          <w:b/>
          <w:color w:val="B40000"/>
          <w:sz w:val="18"/>
        </w:rPr>
        <w:t xml:space="preserve">#4 UNXC </w:t>
      </w:r>
      <w:r>
        <w:rPr>
          <w:sz w:val="17"/>
        </w:rPr>
        <w:t>(UNXC - UNIWAX COTE D'IVOIRE) — baisse modérée (-7.0%) — repli technique attendu. Trajectoire : 📉 Baisse continue. Cours actuel : 2,360 FCFA → prédit J+10 : 2,194 FCFA. ⚠️ Confiance limitée — volatilité élevée. Ne pas agir sur ce seul signal.</w:t>
      </w:r>
    </w:p>
    <w:p>
      <w:pPr>
        <w:pStyle w:val="ListBullet"/>
      </w:pPr>
      <w:r>
        <w:rPr>
          <w:b/>
          <w:color w:val="B40000"/>
          <w:sz w:val="18"/>
        </w:rPr>
        <w:t xml:space="preserve">#5 FTSC </w:t>
      </w:r>
      <w:r>
        <w:rPr>
          <w:sz w:val="17"/>
        </w:rPr>
        <w:t>(FTSC - FILTISAC COTE D'IVOIRE) — baisse modérée (-7.0%) — repli technique attendu. Trajectoire : 📉 Baisse continue. Cours actuel : 1,995 FCFA → prédit J+10 : 1,856 FCFA. Confiance partielle — surveiller l'évolution réelle des premiers jours.</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2,790</w:t>
            </w:r>
          </w:p>
        </w:tc>
        <w:tc>
          <w:tcPr>
            <w:tcW w:type="dxa" w:w="1417"/>
            <w:shd w:fill="FFFFFF" w:val="clear"/>
          </w:tcPr>
          <w:p>
            <w:r>
              <w:rPr>
                <w:sz w:val="16"/>
              </w:rPr>
              <w:t>3,287</w:t>
            </w:r>
          </w:p>
        </w:tc>
        <w:tc>
          <w:tcPr>
            <w:tcW w:type="dxa" w:w="1134"/>
            <w:shd w:fill="C6EFCE" w:val="clear"/>
          </w:tcPr>
          <w:p>
            <w:r>
              <w:rPr>
                <w:b/>
                <w:color w:val="007800"/>
                <w:sz w:val="16"/>
              </w:rPr>
              <w:t>+17.80%</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21,970</w:t>
            </w:r>
          </w:p>
        </w:tc>
        <w:tc>
          <w:tcPr>
            <w:tcW w:type="dxa" w:w="1417"/>
            <w:shd w:fill="FFFFFF" w:val="clear"/>
          </w:tcPr>
          <w:p>
            <w:r>
              <w:rPr>
                <w:sz w:val="16"/>
              </w:rPr>
              <w:t>24,464</w:t>
            </w:r>
          </w:p>
        </w:tc>
        <w:tc>
          <w:tcPr>
            <w:tcW w:type="dxa" w:w="1134"/>
            <w:shd w:fill="C6EFCE" w:val="clear"/>
          </w:tcPr>
          <w:p>
            <w:r>
              <w:rPr>
                <w:b/>
                <w:color w:val="007800"/>
                <w:sz w:val="16"/>
              </w:rPr>
              <w:t>+11.35%</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5,000</w:t>
            </w:r>
          </w:p>
        </w:tc>
        <w:tc>
          <w:tcPr>
            <w:tcW w:type="dxa" w:w="1417"/>
            <w:shd w:fill="FFFFFF" w:val="clear"/>
          </w:tcPr>
          <w:p>
            <w:r>
              <w:rPr>
                <w:sz w:val="16"/>
              </w:rPr>
              <w:t>5,330</w:t>
            </w:r>
          </w:p>
        </w:tc>
        <w:tc>
          <w:tcPr>
            <w:tcW w:type="dxa" w:w="1134"/>
            <w:shd w:fill="C6EFCE" w:val="clear"/>
          </w:tcPr>
          <w:p>
            <w:r>
              <w:rPr>
                <w:b/>
                <w:color w:val="007800"/>
                <w:sz w:val="16"/>
              </w:rPr>
              <w:t>+6.60%</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8,800</w:t>
            </w:r>
          </w:p>
        </w:tc>
        <w:tc>
          <w:tcPr>
            <w:tcW w:type="dxa" w:w="1417"/>
            <w:shd w:fill="FFFFFF" w:val="clear"/>
          </w:tcPr>
          <w:p>
            <w:r>
              <w:rPr>
                <w:sz w:val="16"/>
              </w:rPr>
              <w:t>9,364</w:t>
            </w:r>
          </w:p>
        </w:tc>
        <w:tc>
          <w:tcPr>
            <w:tcW w:type="dxa" w:w="1134"/>
            <w:shd w:fill="C6EFCE" w:val="clear"/>
          </w:tcPr>
          <w:p>
            <w:r>
              <w:rPr>
                <w:b/>
                <w:color w:val="007800"/>
                <w:sz w:val="16"/>
              </w:rPr>
              <w:t>+6.41%</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37,000</w:t>
            </w:r>
          </w:p>
        </w:tc>
        <w:tc>
          <w:tcPr>
            <w:tcW w:type="dxa" w:w="1417"/>
            <w:shd w:fill="FFFFFF" w:val="clear"/>
          </w:tcPr>
          <w:p>
            <w:r>
              <w:rPr>
                <w:sz w:val="16"/>
              </w:rPr>
              <w:t>38,922</w:t>
            </w:r>
          </w:p>
        </w:tc>
        <w:tc>
          <w:tcPr>
            <w:tcW w:type="dxa" w:w="1134"/>
            <w:shd w:fill="C6EFCE" w:val="clear"/>
          </w:tcPr>
          <w:p>
            <w:r>
              <w:rPr>
                <w:b/>
                <w:color w:val="007800"/>
                <w:sz w:val="16"/>
              </w:rPr>
              <w:t>+5.19%</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1,520</w:t>
            </w:r>
          </w:p>
        </w:tc>
        <w:tc>
          <w:tcPr>
            <w:tcW w:type="dxa" w:w="1417"/>
            <w:shd w:fill="FFFFFF" w:val="clear"/>
          </w:tcPr>
          <w:p>
            <w:r>
              <w:rPr>
                <w:sz w:val="16"/>
              </w:rPr>
              <w:t>1,581</w:t>
            </w:r>
          </w:p>
        </w:tc>
        <w:tc>
          <w:tcPr>
            <w:tcW w:type="dxa" w:w="1134"/>
            <w:shd w:fill="C6EFCE" w:val="clear"/>
          </w:tcPr>
          <w:p>
            <w:r>
              <w:rPr>
                <w:b/>
                <w:color w:val="007800"/>
                <w:sz w:val="16"/>
              </w:rPr>
              <w:t>+3.99%</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2,000</w:t>
            </w:r>
          </w:p>
        </w:tc>
        <w:tc>
          <w:tcPr>
            <w:tcW w:type="dxa" w:w="1417"/>
            <w:shd w:fill="FFFFFF" w:val="clear"/>
          </w:tcPr>
          <w:p>
            <w:r>
              <w:rPr>
                <w:sz w:val="16"/>
              </w:rPr>
              <w:t>2,067</w:t>
            </w:r>
          </w:p>
        </w:tc>
        <w:tc>
          <w:tcPr>
            <w:tcW w:type="dxa" w:w="1134"/>
            <w:shd w:fill="C6EFCE" w:val="clear"/>
          </w:tcPr>
          <w:p>
            <w:r>
              <w:rPr>
                <w:b/>
                <w:color w:val="007800"/>
                <w:sz w:val="16"/>
              </w:rPr>
              <w:t>+3.34%</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3,905</w:t>
            </w:r>
          </w:p>
        </w:tc>
        <w:tc>
          <w:tcPr>
            <w:tcW w:type="dxa" w:w="1417"/>
            <w:shd w:fill="FFFFFF" w:val="clear"/>
          </w:tcPr>
          <w:p>
            <w:r>
              <w:rPr>
                <w:sz w:val="16"/>
              </w:rPr>
              <w:t>3,984</w:t>
            </w:r>
          </w:p>
        </w:tc>
        <w:tc>
          <w:tcPr>
            <w:tcW w:type="dxa" w:w="1134"/>
            <w:shd w:fill="C6EFCE" w:val="clear"/>
          </w:tcPr>
          <w:p>
            <w:r>
              <w:rPr>
                <w:b/>
                <w:color w:val="007800"/>
                <w:sz w:val="16"/>
              </w:rPr>
              <w:t>+2.02%</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14,900</w:t>
            </w:r>
          </w:p>
        </w:tc>
        <w:tc>
          <w:tcPr>
            <w:tcW w:type="dxa" w:w="1417"/>
            <w:shd w:fill="FFFFFF" w:val="clear"/>
          </w:tcPr>
          <w:p>
            <w:r>
              <w:rPr>
                <w:sz w:val="16"/>
              </w:rPr>
              <w:t>15,077</w:t>
            </w:r>
          </w:p>
        </w:tc>
        <w:tc>
          <w:tcPr>
            <w:tcW w:type="dxa" w:w="1134"/>
            <w:shd w:fill="C6EFCE" w:val="clear"/>
          </w:tcPr>
          <w:p>
            <w:r>
              <w:rPr>
                <w:b/>
                <w:color w:val="007800"/>
                <w:sz w:val="16"/>
              </w:rPr>
              <w:t>+1.19%</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3,890</w:t>
            </w:r>
          </w:p>
        </w:tc>
        <w:tc>
          <w:tcPr>
            <w:tcW w:type="dxa" w:w="1417"/>
            <w:shd w:fill="FFFFFF" w:val="clear"/>
          </w:tcPr>
          <w:p>
            <w:r>
              <w:rPr>
                <w:sz w:val="16"/>
              </w:rPr>
              <w:t>3,936</w:t>
            </w:r>
          </w:p>
        </w:tc>
        <w:tc>
          <w:tcPr>
            <w:tcW w:type="dxa" w:w="1134"/>
            <w:shd w:fill="C6EFCE" w:val="clear"/>
          </w:tcPr>
          <w:p>
            <w:r>
              <w:rPr>
                <w:b/>
                <w:color w:val="007800"/>
                <w:sz w:val="16"/>
              </w:rPr>
              <w:t>+1.18%</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16,795</w:t>
            </w:r>
          </w:p>
        </w:tc>
        <w:tc>
          <w:tcPr>
            <w:tcW w:type="dxa" w:w="1417"/>
            <w:shd w:fill="FFFFFF" w:val="clear"/>
          </w:tcPr>
          <w:p>
            <w:r>
              <w:rPr>
                <w:sz w:val="16"/>
              </w:rPr>
              <w:t>16,985</w:t>
            </w:r>
          </w:p>
        </w:tc>
        <w:tc>
          <w:tcPr>
            <w:tcW w:type="dxa" w:w="1134"/>
            <w:shd w:fill="C6EFCE" w:val="clear"/>
          </w:tcPr>
          <w:p>
            <w:r>
              <w:rPr>
                <w:b/>
                <w:color w:val="007800"/>
                <w:sz w:val="16"/>
              </w:rPr>
              <w:t>+1.13%</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12,940</w:t>
            </w:r>
          </w:p>
        </w:tc>
        <w:tc>
          <w:tcPr>
            <w:tcW w:type="dxa" w:w="1417"/>
            <w:shd w:fill="FFFFFF" w:val="clear"/>
          </w:tcPr>
          <w:p>
            <w:r>
              <w:rPr>
                <w:sz w:val="16"/>
              </w:rPr>
              <w:t>13,062</w:t>
            </w:r>
          </w:p>
        </w:tc>
        <w:tc>
          <w:tcPr>
            <w:tcW w:type="dxa" w:w="1134"/>
            <w:shd w:fill="FFEB9C" w:val="clear"/>
          </w:tcPr>
          <w:p>
            <w:r>
              <w:rPr>
                <w:b/>
                <w:color w:val="646400"/>
                <w:sz w:val="16"/>
              </w:rPr>
              <w:t>+0.94%</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11,490</w:t>
            </w:r>
          </w:p>
        </w:tc>
        <w:tc>
          <w:tcPr>
            <w:tcW w:type="dxa" w:w="1417"/>
            <w:shd w:fill="FFFFFF" w:val="clear"/>
          </w:tcPr>
          <w:p>
            <w:r>
              <w:rPr>
                <w:sz w:val="16"/>
              </w:rPr>
              <w:t>11,580</w:t>
            </w:r>
          </w:p>
        </w:tc>
        <w:tc>
          <w:tcPr>
            <w:tcW w:type="dxa" w:w="1134"/>
            <w:shd w:fill="FFEB9C" w:val="clear"/>
          </w:tcPr>
          <w:p>
            <w:r>
              <w:rPr>
                <w:b/>
                <w:color w:val="646400"/>
                <w:sz w:val="16"/>
              </w:rPr>
              <w:t>+0.79%</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2,300</w:t>
            </w:r>
          </w:p>
        </w:tc>
        <w:tc>
          <w:tcPr>
            <w:tcW w:type="dxa" w:w="1417"/>
            <w:shd w:fill="FFFFFF" w:val="clear"/>
          </w:tcPr>
          <w:p>
            <w:r>
              <w:rPr>
                <w:sz w:val="16"/>
              </w:rPr>
              <w:t>2,315</w:t>
            </w:r>
          </w:p>
        </w:tc>
        <w:tc>
          <w:tcPr>
            <w:tcW w:type="dxa" w:w="1134"/>
            <w:shd w:fill="FFEB9C" w:val="clear"/>
          </w:tcPr>
          <w:p>
            <w:r>
              <w:rPr>
                <w:b/>
                <w:color w:val="646400"/>
                <w:sz w:val="16"/>
              </w:rPr>
              <w:t>+0.65%</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2,915</w:t>
            </w:r>
          </w:p>
        </w:tc>
        <w:tc>
          <w:tcPr>
            <w:tcW w:type="dxa" w:w="1417"/>
            <w:shd w:fill="FFFFFF" w:val="clear"/>
          </w:tcPr>
          <w:p>
            <w:r>
              <w:rPr>
                <w:sz w:val="16"/>
              </w:rPr>
              <w:t>2,898</w:t>
            </w:r>
          </w:p>
        </w:tc>
        <w:tc>
          <w:tcPr>
            <w:tcW w:type="dxa" w:w="1134"/>
            <w:shd w:fill="FFEB9C" w:val="clear"/>
          </w:tcPr>
          <w:p>
            <w:r>
              <w:rPr>
                <w:b/>
                <w:color w:val="646400"/>
                <w:sz w:val="16"/>
              </w:rPr>
              <w:t>-0.60%</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3,010</w:t>
            </w:r>
          </w:p>
        </w:tc>
        <w:tc>
          <w:tcPr>
            <w:tcW w:type="dxa" w:w="1417"/>
            <w:shd w:fill="FFFFFF" w:val="clear"/>
          </w:tcPr>
          <w:p>
            <w:r>
              <w:rPr>
                <w:sz w:val="16"/>
              </w:rPr>
              <w:t>2,972</w:t>
            </w:r>
          </w:p>
        </w:tc>
        <w:tc>
          <w:tcPr>
            <w:tcW w:type="dxa" w:w="1134"/>
            <w:shd w:fill="FFC7CE" w:val="clear"/>
          </w:tcPr>
          <w:p>
            <w:r>
              <w:rPr>
                <w:b/>
                <w:color w:val="B40000"/>
                <w:sz w:val="16"/>
              </w:rPr>
              <w:t>-1.26%</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1,900</w:t>
            </w:r>
          </w:p>
        </w:tc>
        <w:tc>
          <w:tcPr>
            <w:tcW w:type="dxa" w:w="1417"/>
            <w:shd w:fill="FFFFFF" w:val="clear"/>
          </w:tcPr>
          <w:p>
            <w:r>
              <w:rPr>
                <w:sz w:val="16"/>
              </w:rPr>
              <w:t>1,874</w:t>
            </w:r>
          </w:p>
        </w:tc>
        <w:tc>
          <w:tcPr>
            <w:tcW w:type="dxa" w:w="1134"/>
            <w:shd w:fill="FFC7CE" w:val="clear"/>
          </w:tcPr>
          <w:p>
            <w:r>
              <w:rPr>
                <w:b/>
                <w:color w:val="B40000"/>
                <w:sz w:val="16"/>
              </w:rPr>
              <w:t>-1.37%</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3,395</w:t>
            </w:r>
          </w:p>
        </w:tc>
        <w:tc>
          <w:tcPr>
            <w:tcW w:type="dxa" w:w="1417"/>
            <w:shd w:fill="FFFFFF" w:val="clear"/>
          </w:tcPr>
          <w:p>
            <w:r>
              <w:rPr>
                <w:sz w:val="16"/>
              </w:rPr>
              <w:t>3,334</w:t>
            </w:r>
          </w:p>
        </w:tc>
        <w:tc>
          <w:tcPr>
            <w:tcW w:type="dxa" w:w="1134"/>
            <w:shd w:fill="FFC7CE" w:val="clear"/>
          </w:tcPr>
          <w:p>
            <w:r>
              <w:rPr>
                <w:b/>
                <w:color w:val="B40000"/>
                <w:sz w:val="16"/>
              </w:rPr>
              <w:t>-1.81%</w:t>
            </w:r>
          </w:p>
        </w:tc>
        <w:tc>
          <w:tcPr>
            <w:tcW w:type="dxa" w:w="1134"/>
            <w:shd w:fill="FFEB9C" w:val="clear"/>
          </w:tcPr>
          <w:p>
            <w:r>
              <w:rPr>
                <w:sz w:val="16"/>
              </w:rPr>
              <w:t>Moyenne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2,150</w:t>
            </w:r>
          </w:p>
        </w:tc>
        <w:tc>
          <w:tcPr>
            <w:tcW w:type="dxa" w:w="1417"/>
            <w:shd w:fill="FFFFFF" w:val="clear"/>
          </w:tcPr>
          <w:p>
            <w:r>
              <w:rPr>
                <w:sz w:val="16"/>
              </w:rPr>
              <w:t>2,108</w:t>
            </w:r>
          </w:p>
        </w:tc>
        <w:tc>
          <w:tcPr>
            <w:tcW w:type="dxa" w:w="1134"/>
            <w:shd w:fill="FFC7CE" w:val="clear"/>
          </w:tcPr>
          <w:p>
            <w:r>
              <w:rPr>
                <w:b/>
                <w:color w:val="B40000"/>
                <w:sz w:val="16"/>
              </w:rPr>
              <w:t>-1.97%</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21,800</w:t>
            </w:r>
          </w:p>
        </w:tc>
        <w:tc>
          <w:tcPr>
            <w:tcW w:type="dxa" w:w="1417"/>
            <w:shd w:fill="FFFFFF" w:val="clear"/>
          </w:tcPr>
          <w:p>
            <w:r>
              <w:rPr>
                <w:sz w:val="16"/>
              </w:rPr>
              <w:t>21,344</w:t>
            </w:r>
          </w:p>
        </w:tc>
        <w:tc>
          <w:tcPr>
            <w:tcW w:type="dxa" w:w="1134"/>
            <w:shd w:fill="FFC7CE" w:val="clear"/>
          </w:tcPr>
          <w:p>
            <w:r>
              <w:rPr>
                <w:b/>
                <w:color w:val="B40000"/>
                <w:sz w:val="16"/>
              </w:rPr>
              <w:t>-2.09%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67</w:t>
            </w:r>
          </w:p>
        </w:tc>
        <w:tc>
          <w:tcPr>
            <w:tcW w:type="dxa" w:w="1417"/>
            <w:shd w:fill="FFFFFF" w:val="clear"/>
          </w:tcPr>
          <w:p>
            <w:r>
              <w:rPr>
                <w:sz w:val="16"/>
              </w:rPr>
              <w:t>66</w:t>
            </w:r>
          </w:p>
        </w:tc>
        <w:tc>
          <w:tcPr>
            <w:tcW w:type="dxa" w:w="1134"/>
            <w:shd w:fill="FFC7CE" w:val="clear"/>
          </w:tcPr>
          <w:p>
            <w:r>
              <w:rPr>
                <w:b/>
                <w:color w:val="B40000"/>
                <w:sz w:val="16"/>
              </w:rPr>
              <w:t>-2.13%</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3,000</w:t>
            </w:r>
          </w:p>
        </w:tc>
        <w:tc>
          <w:tcPr>
            <w:tcW w:type="dxa" w:w="1417"/>
            <w:shd w:fill="FFFFFF" w:val="clear"/>
          </w:tcPr>
          <w:p>
            <w:r>
              <w:rPr>
                <w:sz w:val="16"/>
              </w:rPr>
              <w:t>2,933</w:t>
            </w:r>
          </w:p>
        </w:tc>
        <w:tc>
          <w:tcPr>
            <w:tcW w:type="dxa" w:w="1134"/>
            <w:shd w:fill="FFC7CE" w:val="clear"/>
          </w:tcPr>
          <w:p>
            <w:r>
              <w:rPr>
                <w:b/>
                <w:color w:val="B40000"/>
                <w:sz w:val="16"/>
              </w:rPr>
              <w:t>-2.25%</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2,935</w:t>
            </w:r>
          </w:p>
        </w:tc>
        <w:tc>
          <w:tcPr>
            <w:tcW w:type="dxa" w:w="1417"/>
            <w:shd w:fill="FFFFFF" w:val="clear"/>
          </w:tcPr>
          <w:p>
            <w:r>
              <w:rPr>
                <w:sz w:val="16"/>
              </w:rPr>
              <w:t>2,867</w:t>
            </w:r>
          </w:p>
        </w:tc>
        <w:tc>
          <w:tcPr>
            <w:tcW w:type="dxa" w:w="1134"/>
            <w:shd w:fill="FFC7CE" w:val="clear"/>
          </w:tcPr>
          <w:p>
            <w:r>
              <w:rPr>
                <w:b/>
                <w:color w:val="B40000"/>
                <w:sz w:val="16"/>
              </w:rPr>
              <w:t>-2.31%</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9,385</w:t>
            </w:r>
          </w:p>
        </w:tc>
        <w:tc>
          <w:tcPr>
            <w:tcW w:type="dxa" w:w="1417"/>
            <w:shd w:fill="FFFFFF" w:val="clear"/>
          </w:tcPr>
          <w:p>
            <w:r>
              <w:rPr>
                <w:sz w:val="16"/>
              </w:rPr>
              <w:t>9,162</w:t>
            </w:r>
          </w:p>
        </w:tc>
        <w:tc>
          <w:tcPr>
            <w:tcW w:type="dxa" w:w="1134"/>
            <w:shd w:fill="FFC7CE" w:val="clear"/>
          </w:tcPr>
          <w:p>
            <w:r>
              <w:rPr>
                <w:b/>
                <w:color w:val="B40000"/>
                <w:sz w:val="16"/>
              </w:rPr>
              <w:t>-2.38%</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16,410</w:t>
            </w:r>
          </w:p>
        </w:tc>
        <w:tc>
          <w:tcPr>
            <w:tcW w:type="dxa" w:w="1417"/>
            <w:shd w:fill="FFFFFF" w:val="clear"/>
          </w:tcPr>
          <w:p>
            <w:r>
              <w:rPr>
                <w:sz w:val="16"/>
              </w:rPr>
              <w:t>16,008</w:t>
            </w:r>
          </w:p>
        </w:tc>
        <w:tc>
          <w:tcPr>
            <w:tcW w:type="dxa" w:w="1134"/>
            <w:shd w:fill="FFC7CE" w:val="clear"/>
          </w:tcPr>
          <w:p>
            <w:r>
              <w:rPr>
                <w:b/>
                <w:color w:val="B40000"/>
                <w:sz w:val="16"/>
              </w:rPr>
              <w:t>-2.45%</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38,023</w:t>
            </w:r>
          </w:p>
        </w:tc>
        <w:tc>
          <w:tcPr>
            <w:tcW w:type="dxa" w:w="1134"/>
            <w:shd w:fill="FFC7CE" w:val="clear"/>
          </w:tcPr>
          <w:p>
            <w:r>
              <w:rPr>
                <w:b/>
                <w:color w:val="B40000"/>
                <w:sz w:val="16"/>
              </w:rPr>
              <w:t>-2.51%</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8,000</w:t>
            </w:r>
          </w:p>
        </w:tc>
        <w:tc>
          <w:tcPr>
            <w:tcW w:type="dxa" w:w="1417"/>
            <w:shd w:fill="FFFFFF" w:val="clear"/>
          </w:tcPr>
          <w:p>
            <w:r>
              <w:rPr>
                <w:sz w:val="16"/>
              </w:rPr>
              <w:t>7,795</w:t>
            </w:r>
          </w:p>
        </w:tc>
        <w:tc>
          <w:tcPr>
            <w:tcW w:type="dxa" w:w="1134"/>
            <w:shd w:fill="FFC7CE" w:val="clear"/>
          </w:tcPr>
          <w:p>
            <w:r>
              <w:rPr>
                <w:b/>
                <w:color w:val="B40000"/>
                <w:sz w:val="16"/>
              </w:rPr>
              <w:t>-2.56%</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3,690</w:t>
            </w:r>
          </w:p>
        </w:tc>
        <w:tc>
          <w:tcPr>
            <w:tcW w:type="dxa" w:w="1417"/>
            <w:shd w:fill="FFFFFF" w:val="clear"/>
          </w:tcPr>
          <w:p>
            <w:r>
              <w:rPr>
                <w:sz w:val="16"/>
              </w:rPr>
              <w:t>3,595</w:t>
            </w:r>
          </w:p>
        </w:tc>
        <w:tc>
          <w:tcPr>
            <w:tcW w:type="dxa" w:w="1134"/>
            <w:shd w:fill="FFC7CE" w:val="clear"/>
          </w:tcPr>
          <w:p>
            <w:r>
              <w:rPr>
                <w:b/>
                <w:color w:val="B40000"/>
                <w:sz w:val="16"/>
              </w:rPr>
              <w:t>-2.58%</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7,940</w:t>
            </w:r>
          </w:p>
        </w:tc>
        <w:tc>
          <w:tcPr>
            <w:tcW w:type="dxa" w:w="1417"/>
            <w:shd w:fill="FFFFFF" w:val="clear"/>
          </w:tcPr>
          <w:p>
            <w:r>
              <w:rPr>
                <w:sz w:val="16"/>
              </w:rPr>
              <w:t>7,718</w:t>
            </w:r>
          </w:p>
        </w:tc>
        <w:tc>
          <w:tcPr>
            <w:tcW w:type="dxa" w:w="1134"/>
            <w:shd w:fill="FFC7CE" w:val="clear"/>
          </w:tcPr>
          <w:p>
            <w:r>
              <w:rPr>
                <w:b/>
                <w:color w:val="B40000"/>
                <w:sz w:val="16"/>
              </w:rPr>
              <w:t>-2.79%</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45,000</w:t>
            </w:r>
          </w:p>
        </w:tc>
        <w:tc>
          <w:tcPr>
            <w:tcW w:type="dxa" w:w="1417"/>
            <w:shd w:fill="FFFFFF" w:val="clear"/>
          </w:tcPr>
          <w:p>
            <w:r>
              <w:rPr>
                <w:sz w:val="16"/>
              </w:rPr>
              <w:t>43,573</w:t>
            </w:r>
          </w:p>
        </w:tc>
        <w:tc>
          <w:tcPr>
            <w:tcW w:type="dxa" w:w="1134"/>
            <w:shd w:fill="FFC7CE" w:val="clear"/>
          </w:tcPr>
          <w:p>
            <w:r>
              <w:rPr>
                <w:b/>
                <w:color w:val="B40000"/>
                <w:sz w:val="16"/>
              </w:rPr>
              <w:t>-3.17%</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51,000</w:t>
            </w:r>
          </w:p>
        </w:tc>
        <w:tc>
          <w:tcPr>
            <w:tcW w:type="dxa" w:w="1417"/>
            <w:shd w:fill="FFFFFF" w:val="clear"/>
          </w:tcPr>
          <w:p>
            <w:r>
              <w:rPr>
                <w:sz w:val="16"/>
              </w:rPr>
              <w:t>49,041</w:t>
            </w:r>
          </w:p>
        </w:tc>
        <w:tc>
          <w:tcPr>
            <w:tcW w:type="dxa" w:w="1134"/>
            <w:shd w:fill="FFC7CE" w:val="clear"/>
          </w:tcPr>
          <w:p>
            <w:r>
              <w:rPr>
                <w:b/>
                <w:color w:val="B40000"/>
                <w:sz w:val="16"/>
              </w:rPr>
              <w:t>-3.84%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4,450</w:t>
            </w:r>
          </w:p>
        </w:tc>
        <w:tc>
          <w:tcPr>
            <w:tcW w:type="dxa" w:w="1417"/>
            <w:shd w:fill="FFFFFF" w:val="clear"/>
          </w:tcPr>
          <w:p>
            <w:r>
              <w:rPr>
                <w:sz w:val="16"/>
              </w:rPr>
              <w:t>4,256</w:t>
            </w:r>
          </w:p>
        </w:tc>
        <w:tc>
          <w:tcPr>
            <w:tcW w:type="dxa" w:w="1134"/>
            <w:shd w:fill="FFC7CE" w:val="clear"/>
          </w:tcPr>
          <w:p>
            <w:r>
              <w:rPr>
                <w:b/>
                <w:color w:val="B40000"/>
                <w:sz w:val="16"/>
              </w:rPr>
              <w:t>-4.37%</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7,890</w:t>
            </w:r>
          </w:p>
        </w:tc>
        <w:tc>
          <w:tcPr>
            <w:tcW w:type="dxa" w:w="1417"/>
            <w:shd w:fill="FFFFFF" w:val="clear"/>
          </w:tcPr>
          <w:p>
            <w:r>
              <w:rPr>
                <w:sz w:val="16"/>
              </w:rPr>
              <w:t>7,526</w:t>
            </w:r>
          </w:p>
        </w:tc>
        <w:tc>
          <w:tcPr>
            <w:tcW w:type="dxa" w:w="1134"/>
            <w:shd w:fill="FFC7CE" w:val="clear"/>
          </w:tcPr>
          <w:p>
            <w:r>
              <w:rPr>
                <w:b/>
                <w:color w:val="B40000"/>
                <w:sz w:val="16"/>
              </w:rPr>
              <w:t>-4.61%</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30,300</w:t>
            </w:r>
          </w:p>
        </w:tc>
        <w:tc>
          <w:tcPr>
            <w:tcW w:type="dxa" w:w="1417"/>
            <w:shd w:fill="FFFFFF" w:val="clear"/>
          </w:tcPr>
          <w:p>
            <w:r>
              <w:rPr>
                <w:sz w:val="16"/>
              </w:rPr>
              <w:t>28,728</w:t>
            </w:r>
          </w:p>
        </w:tc>
        <w:tc>
          <w:tcPr>
            <w:tcW w:type="dxa" w:w="1134"/>
            <w:shd w:fill="FFC7CE" w:val="clear"/>
          </w:tcPr>
          <w:p>
            <w:r>
              <w:rPr>
                <w:b/>
                <w:color w:val="B40000"/>
                <w:sz w:val="16"/>
              </w:rPr>
              <w:t>-5.19%</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33,800</w:t>
            </w:r>
          </w:p>
        </w:tc>
        <w:tc>
          <w:tcPr>
            <w:tcW w:type="dxa" w:w="1417"/>
            <w:shd w:fill="FFFFFF" w:val="clear"/>
          </w:tcPr>
          <w:p>
            <w:r>
              <w:rPr>
                <w:sz w:val="16"/>
              </w:rPr>
              <w:t>31,966</w:t>
            </w:r>
          </w:p>
        </w:tc>
        <w:tc>
          <w:tcPr>
            <w:tcW w:type="dxa" w:w="1134"/>
            <w:shd w:fill="FFC7CE" w:val="clear"/>
          </w:tcPr>
          <w:p>
            <w:r>
              <w:rPr>
                <w:b/>
                <w:color w:val="B40000"/>
                <w:sz w:val="16"/>
              </w:rPr>
              <w:t>-5.43%</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6,500</w:t>
            </w:r>
          </w:p>
        </w:tc>
        <w:tc>
          <w:tcPr>
            <w:tcW w:type="dxa" w:w="1417"/>
            <w:shd w:fill="FFFFFF" w:val="clear"/>
          </w:tcPr>
          <w:p>
            <w:r>
              <w:rPr>
                <w:sz w:val="16"/>
              </w:rPr>
              <w:t>6,138</w:t>
            </w:r>
          </w:p>
        </w:tc>
        <w:tc>
          <w:tcPr>
            <w:tcW w:type="dxa" w:w="1134"/>
            <w:shd w:fill="FFC7CE" w:val="clear"/>
          </w:tcPr>
          <w:p>
            <w:r>
              <w:rPr>
                <w:b/>
                <w:color w:val="B40000"/>
                <w:sz w:val="16"/>
              </w:rPr>
              <w:t>-5.57%</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2,245</w:t>
            </w:r>
          </w:p>
        </w:tc>
        <w:tc>
          <w:tcPr>
            <w:tcW w:type="dxa" w:w="1417"/>
            <w:shd w:fill="FFFFFF" w:val="clear"/>
          </w:tcPr>
          <w:p>
            <w:r>
              <w:rPr>
                <w:sz w:val="16"/>
              </w:rPr>
              <w:t>2,113</w:t>
            </w:r>
          </w:p>
        </w:tc>
        <w:tc>
          <w:tcPr>
            <w:tcW w:type="dxa" w:w="1134"/>
            <w:shd w:fill="FFC7CE" w:val="clear"/>
          </w:tcPr>
          <w:p>
            <w:r>
              <w:rPr>
                <w:b/>
                <w:color w:val="B40000"/>
                <w:sz w:val="16"/>
              </w:rPr>
              <w:t>-5.90%</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8,300</w:t>
            </w:r>
          </w:p>
        </w:tc>
        <w:tc>
          <w:tcPr>
            <w:tcW w:type="dxa" w:w="1417"/>
            <w:shd w:fill="FFFFFF" w:val="clear"/>
          </w:tcPr>
          <w:p>
            <w:r>
              <w:rPr>
                <w:sz w:val="16"/>
              </w:rPr>
              <w:t>7,804</w:t>
            </w:r>
          </w:p>
        </w:tc>
        <w:tc>
          <w:tcPr>
            <w:tcW w:type="dxa" w:w="1134"/>
            <w:shd w:fill="FFC7CE" w:val="clear"/>
          </w:tcPr>
          <w:p>
            <w:r>
              <w:rPr>
                <w:b/>
                <w:color w:val="B40000"/>
                <w:sz w:val="16"/>
              </w:rPr>
              <w:t>-5.98%</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9,160</w:t>
            </w:r>
          </w:p>
        </w:tc>
        <w:tc>
          <w:tcPr>
            <w:tcW w:type="dxa" w:w="1417"/>
            <w:shd w:fill="FFFFFF" w:val="clear"/>
          </w:tcPr>
          <w:p>
            <w:r>
              <w:rPr>
                <w:sz w:val="16"/>
              </w:rPr>
              <w:t>8,544</w:t>
            </w:r>
          </w:p>
        </w:tc>
        <w:tc>
          <w:tcPr>
            <w:tcW w:type="dxa" w:w="1134"/>
            <w:shd w:fill="FFC7CE" w:val="clear"/>
          </w:tcPr>
          <w:p>
            <w:r>
              <w:rPr>
                <w:b/>
                <w:color w:val="B40000"/>
                <w:sz w:val="16"/>
              </w:rPr>
              <w:t>-6.73%</w:t>
            </w:r>
          </w:p>
        </w:tc>
        <w:tc>
          <w:tcPr>
            <w:tcW w:type="dxa" w:w="1134"/>
            <w:shd w:fill="FFEB9C" w:val="clear"/>
          </w:tcPr>
          <w:p>
            <w:r>
              <w:rPr>
                <w:sz w:val="16"/>
              </w:rPr>
              <w:t>Moyenne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3,370</w:t>
            </w:r>
          </w:p>
        </w:tc>
        <w:tc>
          <w:tcPr>
            <w:tcW w:type="dxa" w:w="1417"/>
            <w:shd w:fill="FFFFFF" w:val="clear"/>
          </w:tcPr>
          <w:p>
            <w:r>
              <w:rPr>
                <w:sz w:val="16"/>
              </w:rPr>
              <w:t>3,142</w:t>
            </w:r>
          </w:p>
        </w:tc>
        <w:tc>
          <w:tcPr>
            <w:tcW w:type="dxa" w:w="1134"/>
            <w:shd w:fill="FFC7CE" w:val="clear"/>
          </w:tcPr>
          <w:p>
            <w:r>
              <w:rPr>
                <w:b/>
                <w:color w:val="B40000"/>
                <w:sz w:val="16"/>
              </w:rPr>
              <w:t>-6.78%</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1,995</w:t>
            </w:r>
          </w:p>
        </w:tc>
        <w:tc>
          <w:tcPr>
            <w:tcW w:type="dxa" w:w="1417"/>
            <w:shd w:fill="FFFFFF" w:val="clear"/>
          </w:tcPr>
          <w:p>
            <w:r>
              <w:rPr>
                <w:sz w:val="16"/>
              </w:rPr>
              <w:t>1,856</w:t>
            </w:r>
          </w:p>
        </w:tc>
        <w:tc>
          <w:tcPr>
            <w:tcW w:type="dxa" w:w="1134"/>
            <w:shd w:fill="FFC7CE" w:val="clear"/>
          </w:tcPr>
          <w:p>
            <w:r>
              <w:rPr>
                <w:b/>
                <w:color w:val="B40000"/>
                <w:sz w:val="16"/>
              </w:rPr>
              <w:t>-6.96%</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2,360</w:t>
            </w:r>
          </w:p>
        </w:tc>
        <w:tc>
          <w:tcPr>
            <w:tcW w:type="dxa" w:w="1417"/>
            <w:shd w:fill="FFFFFF" w:val="clear"/>
          </w:tcPr>
          <w:p>
            <w:r>
              <w:rPr>
                <w:sz w:val="16"/>
              </w:rPr>
              <w:t>2,194</w:t>
            </w:r>
          </w:p>
        </w:tc>
        <w:tc>
          <w:tcPr>
            <w:tcW w:type="dxa" w:w="1134"/>
            <w:shd w:fill="FFC7CE" w:val="clear"/>
          </w:tcPr>
          <w:p>
            <w:r>
              <w:rPr>
                <w:b/>
                <w:color w:val="B40000"/>
                <w:sz w:val="16"/>
              </w:rPr>
              <w:t>-7.03%</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6,090</w:t>
            </w:r>
          </w:p>
        </w:tc>
        <w:tc>
          <w:tcPr>
            <w:tcW w:type="dxa" w:w="1417"/>
            <w:shd w:fill="FFFFFF" w:val="clear"/>
          </w:tcPr>
          <w:p>
            <w:r>
              <w:rPr>
                <w:sz w:val="16"/>
              </w:rPr>
              <w:t>5,485</w:t>
            </w:r>
          </w:p>
        </w:tc>
        <w:tc>
          <w:tcPr>
            <w:tcW w:type="dxa" w:w="1134"/>
            <w:shd w:fill="FFC7CE" w:val="clear"/>
          </w:tcPr>
          <w:p>
            <w:r>
              <w:rPr>
                <w:b/>
                <w:color w:val="B40000"/>
                <w:sz w:val="16"/>
              </w:rPr>
              <w:t>-9.93%</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22,000</w:t>
            </w:r>
          </w:p>
        </w:tc>
        <w:tc>
          <w:tcPr>
            <w:tcW w:type="dxa" w:w="1417"/>
            <w:shd w:fill="FFFFFF" w:val="clear"/>
          </w:tcPr>
          <w:p>
            <w:r>
              <w:rPr>
                <w:sz w:val="16"/>
              </w:rPr>
              <w:t>19,542</w:t>
            </w:r>
          </w:p>
        </w:tc>
        <w:tc>
          <w:tcPr>
            <w:tcW w:type="dxa" w:w="1134"/>
            <w:shd w:fill="FFC7CE" w:val="clear"/>
          </w:tcPr>
          <w:p>
            <w:r>
              <w:rPr>
                <w:b/>
                <w:color w:val="B40000"/>
                <w:sz w:val="16"/>
              </w:rPr>
              <w:t>-11.17%</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8,175</w:t>
            </w:r>
          </w:p>
        </w:tc>
        <w:tc>
          <w:tcPr>
            <w:tcW w:type="dxa" w:w="1417"/>
            <w:shd w:fill="FFFFFF" w:val="clear"/>
          </w:tcPr>
          <w:p>
            <w:r>
              <w:rPr>
                <w:sz w:val="16"/>
              </w:rPr>
              <w:t>7,117</w:t>
            </w:r>
          </w:p>
        </w:tc>
        <w:tc>
          <w:tcPr>
            <w:tcW w:type="dxa" w:w="1134"/>
            <w:shd w:fill="FFC7CE" w:val="clear"/>
          </w:tcPr>
          <w:p>
            <w:r>
              <w:rPr>
                <w:b/>
                <w:color w:val="B40000"/>
                <w:sz w:val="16"/>
              </w:rPr>
              <w:t>-12.94%</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36.77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3,413 titres</w:t>
            </w:r>
          </w:p>
        </w:tc>
        <w:tc>
          <w:tcPr>
            <w:tcW w:type="dxa" w:w="2268"/>
            <w:shd w:fill="FFF2CC" w:val="clear"/>
          </w:tcPr>
          <w:p>
            <w:r>
              <w:rPr>
                <w:b/>
                <w:color w:val="503200"/>
                <w:sz w:val="16"/>
              </w:rPr>
              <w:t xml:space="preserve">Cours actuel : </w:t>
            </w:r>
            <w:r>
              <w:rPr>
                <w:color w:val="000000"/>
                <w:sz w:val="17"/>
              </w:rPr>
              <w:t>3,370 FCFA</w:t>
            </w:r>
          </w:p>
          <w:p>
            <w:r>
              <w:rPr>
                <w:b/>
                <w:color w:val="503200"/>
                <w:sz w:val="16"/>
              </w:rPr>
              <w:t xml:space="preserve">Var. 100 jours : </w:t>
            </w:r>
            <w:r>
              <w:rPr>
                <w:b/>
                <w:color w:val="007800"/>
                <w:sz w:val="17"/>
              </w:rPr>
              <w:t>+13.28%</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11.20% (Moyenne) — μ=3,334 FCFA, σ=374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β=0.2351 (Défensif) — Cov=0.000016, Var(idx)=0.000068, ρ=0.068,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85/100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3,117</w:t>
            </w:r>
          </w:p>
        </w:tc>
        <w:tc>
          <w:tcPr>
            <w:tcW w:type="dxa" w:w="1440"/>
            <w:shd w:fill="FAFAFA" w:val="clear"/>
          </w:tcPr>
          <w:p>
            <w:r>
              <w:rPr>
                <w:b/>
                <w:sz w:val="17"/>
              </w:rPr>
              <w:t>3,339</w:t>
            </w:r>
          </w:p>
        </w:tc>
        <w:tc>
          <w:tcPr>
            <w:tcW w:type="dxa" w:w="1440"/>
            <w:shd w:fill="FAFAFA" w:val="clear"/>
          </w:tcPr>
          <w:p>
            <w:r>
              <w:rPr>
                <w:sz w:val="17"/>
              </w:rPr>
              <w:t>3,560</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3,046</w:t>
            </w:r>
          </w:p>
        </w:tc>
        <w:tc>
          <w:tcPr>
            <w:tcW w:type="dxa" w:w="1440"/>
            <w:shd w:fill="FAFAFA" w:val="clear"/>
          </w:tcPr>
          <w:p>
            <w:r>
              <w:rPr>
                <w:b/>
                <w:sz w:val="17"/>
              </w:rPr>
              <w:t>3,316</w:t>
            </w:r>
          </w:p>
        </w:tc>
        <w:tc>
          <w:tcPr>
            <w:tcW w:type="dxa" w:w="1440"/>
            <w:shd w:fill="FAFAFA" w:val="clear"/>
          </w:tcPr>
          <w:p>
            <w:r>
              <w:rPr>
                <w:sz w:val="17"/>
              </w:rPr>
              <w:t>3,585</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2,983</w:t>
            </w:r>
          </w:p>
        </w:tc>
        <w:tc>
          <w:tcPr>
            <w:tcW w:type="dxa" w:w="1440"/>
            <w:shd w:fill="FFDCE0" w:val="clear"/>
          </w:tcPr>
          <w:p>
            <w:r>
              <w:rPr>
                <w:b/>
                <w:sz w:val="17"/>
              </w:rPr>
              <w:t>3,291</w:t>
            </w:r>
          </w:p>
        </w:tc>
        <w:tc>
          <w:tcPr>
            <w:tcW w:type="dxa" w:w="1440"/>
            <w:shd w:fill="FFDCE0" w:val="clear"/>
          </w:tcPr>
          <w:p>
            <w:r>
              <w:rPr>
                <w:sz w:val="17"/>
              </w:rPr>
              <w:t>3,600</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2,922</w:t>
            </w:r>
          </w:p>
        </w:tc>
        <w:tc>
          <w:tcPr>
            <w:tcW w:type="dxa" w:w="1440"/>
            <w:shd w:fill="FFDCE0" w:val="clear"/>
          </w:tcPr>
          <w:p>
            <w:r>
              <w:rPr>
                <w:b/>
                <w:sz w:val="17"/>
              </w:rPr>
              <w:t>3,265</w:t>
            </w:r>
          </w:p>
        </w:tc>
        <w:tc>
          <w:tcPr>
            <w:tcW w:type="dxa" w:w="1440"/>
            <w:shd w:fill="FFDCE0" w:val="clear"/>
          </w:tcPr>
          <w:p>
            <w:r>
              <w:rPr>
                <w:sz w:val="17"/>
              </w:rPr>
              <w:t>3,607</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2,866</w:t>
            </w:r>
          </w:p>
        </w:tc>
        <w:tc>
          <w:tcPr>
            <w:tcW w:type="dxa" w:w="1440"/>
            <w:shd w:fill="FFDCE0" w:val="clear"/>
          </w:tcPr>
          <w:p>
            <w:r>
              <w:rPr>
                <w:b/>
                <w:sz w:val="17"/>
              </w:rPr>
              <w:t>3,238</w:t>
            </w:r>
          </w:p>
        </w:tc>
        <w:tc>
          <w:tcPr>
            <w:tcW w:type="dxa" w:w="1440"/>
            <w:shd w:fill="FFDCE0" w:val="clear"/>
          </w:tcPr>
          <w:p>
            <w:r>
              <w:rPr>
                <w:sz w:val="17"/>
              </w:rPr>
              <w:t>3,610</w:t>
            </w:r>
          </w:p>
        </w:tc>
        <w:tc>
          <w:tcPr>
            <w:tcW w:type="dxa" w:w="1440"/>
            <w:shd w:fill="FFDCE0" w:val="clear"/>
          </w:tcPr>
          <w:p>
            <w:r>
              <w:rPr>
                <w:b/>
                <w:color w:val="C00000"/>
                <w:sz w:val="17"/>
              </w:rPr>
              <w:t>-3.9%</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2,814</w:t>
            </w:r>
          </w:p>
        </w:tc>
        <w:tc>
          <w:tcPr>
            <w:tcW w:type="dxa" w:w="1440"/>
            <w:shd w:fill="FFDCE0" w:val="clear"/>
          </w:tcPr>
          <w:p>
            <w:r>
              <w:rPr>
                <w:b/>
                <w:sz w:val="17"/>
              </w:rPr>
              <w:t>3,213</w:t>
            </w:r>
          </w:p>
        </w:tc>
        <w:tc>
          <w:tcPr>
            <w:tcW w:type="dxa" w:w="1440"/>
            <w:shd w:fill="FFDCE0" w:val="clear"/>
          </w:tcPr>
          <w:p>
            <w:r>
              <w:rPr>
                <w:sz w:val="17"/>
              </w:rPr>
              <w:t>3,611</w:t>
            </w:r>
          </w:p>
        </w:tc>
        <w:tc>
          <w:tcPr>
            <w:tcW w:type="dxa" w:w="1440"/>
            <w:shd w:fill="FFDCE0" w:val="clear"/>
          </w:tcPr>
          <w:p>
            <w:r>
              <w:rPr>
                <w:b/>
                <w:color w:val="C00000"/>
                <w:sz w:val="17"/>
              </w:rPr>
              <w:t>-4.7%</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2,765</w:t>
            </w:r>
          </w:p>
        </w:tc>
        <w:tc>
          <w:tcPr>
            <w:tcW w:type="dxa" w:w="1440"/>
            <w:shd w:fill="FFDCE0" w:val="clear"/>
          </w:tcPr>
          <w:p>
            <w:r>
              <w:rPr>
                <w:b/>
                <w:sz w:val="17"/>
              </w:rPr>
              <w:t>3,188</w:t>
            </w:r>
          </w:p>
        </w:tc>
        <w:tc>
          <w:tcPr>
            <w:tcW w:type="dxa" w:w="1440"/>
            <w:shd w:fill="FFDCE0" w:val="clear"/>
          </w:tcPr>
          <w:p>
            <w:r>
              <w:rPr>
                <w:sz w:val="17"/>
              </w:rPr>
              <w:t>3,611</w:t>
            </w:r>
          </w:p>
        </w:tc>
        <w:tc>
          <w:tcPr>
            <w:tcW w:type="dxa" w:w="1440"/>
            <w:shd w:fill="FFDCE0" w:val="clear"/>
          </w:tcPr>
          <w:p>
            <w:r>
              <w:rPr>
                <w:b/>
                <w:color w:val="C00000"/>
                <w:sz w:val="17"/>
              </w:rPr>
              <w:t>-5.4%</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2,719</w:t>
            </w:r>
          </w:p>
        </w:tc>
        <w:tc>
          <w:tcPr>
            <w:tcW w:type="dxa" w:w="1440"/>
            <w:shd w:fill="FFDCE0" w:val="clear"/>
          </w:tcPr>
          <w:p>
            <w:r>
              <w:rPr>
                <w:b/>
                <w:sz w:val="17"/>
              </w:rPr>
              <w:t>3,164</w:t>
            </w:r>
          </w:p>
        </w:tc>
        <w:tc>
          <w:tcPr>
            <w:tcW w:type="dxa" w:w="1440"/>
            <w:shd w:fill="FFDCE0" w:val="clear"/>
          </w:tcPr>
          <w:p>
            <w:r>
              <w:rPr>
                <w:sz w:val="17"/>
              </w:rPr>
              <w:t>3,609</w:t>
            </w:r>
          </w:p>
        </w:tc>
        <w:tc>
          <w:tcPr>
            <w:tcW w:type="dxa" w:w="1440"/>
            <w:shd w:fill="FFDCE0" w:val="clear"/>
          </w:tcPr>
          <w:p>
            <w:r>
              <w:rPr>
                <w:b/>
                <w:color w:val="C00000"/>
                <w:sz w:val="17"/>
              </w:rPr>
              <w:t>-6.1%</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2,676</w:t>
            </w:r>
          </w:p>
        </w:tc>
        <w:tc>
          <w:tcPr>
            <w:tcW w:type="dxa" w:w="1440"/>
            <w:shd w:fill="FFDCE0" w:val="clear"/>
          </w:tcPr>
          <w:p>
            <w:r>
              <w:rPr>
                <w:b/>
                <w:sz w:val="17"/>
              </w:rPr>
              <w:t>3,142</w:t>
            </w:r>
          </w:p>
        </w:tc>
        <w:tc>
          <w:tcPr>
            <w:tcW w:type="dxa" w:w="1440"/>
            <w:shd w:fill="FFDCE0" w:val="clear"/>
          </w:tcPr>
          <w:p>
            <w:r>
              <w:rPr>
                <w:sz w:val="17"/>
              </w:rPr>
              <w:t>3,607</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36,77 milliards FCFA, Servair Abidjan se positionne comme une valeur de taille intermédiaire sur le compartiment BRVM, représentant un poids modéré dans l'indice composite. Le BPA de 124 FCFA/action indique que chaque titre génère un bénéfice net de 124 FCFA, ce qui, rapporté au cours actuel de 3 370 FCFA, confère un PER de 27,2x — nettement supérieur à la moyenne du marché BRVM (8-12x), signalant soit une anticipation de croissance forte par le marché, soit une surévaluation manifeste. Le ratio P/B de 7,13x traduit une prime très élevée par rapport à la valeur comptable (capitaux propres de 5,159 Mds FCFA pour 36,77 Mds FCFA de capitalisation), ce qui est exigeant et laisse peu de marge de sécurité en cas de dégradation. Enfin, l'EV/EBITDA de 13,8x, bien qu'inférieur au PER, reste dans la fourchette haute (10-15x), confirmant que le marché valorise chèrement la capacité opérationnelle de l'entreprise. L'ensemble de ces ratios dessine une valorisation tendue, justifiée uniquement par des perspectives de croissance robuste.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ABJC affiche une variation totale positive de +13,28%, mais la dernière séance (J-1) enregistre une chute brutale de -7,42%, ramenant le cours à 3 370 FCFA. Le range de trading est large, avec un plus haut à 4 095 FCFA et un plus bas à 2 800 FCFA, soit une amplitude de 46% — témoignant d'une forte nervosité. La tendance générale reste haussière sur la période, mais le décrochage récent suggère une correction potentielle. Les statistiques descriptives révèlent une moyenne de 3 334 FCFA supérieure à la médiane de 3 212 FCFA, indiquant une asymétrie positive (skewness de 0,601) avec davantage de journées sous la moyenne, ce qui est cohérent avec des pics haussiers ponctuels. L'écart-type de 375 FCFA (CV=11,3%) traduit une dispersion modérée, tandis que le kurtosis de -0,871 (mésokurtique) indique une distribution proche de la normale, sans risque extrême de queues épaisses. La volatilité annualisée de 45,1% classe le titre dans la catégorie des valeurs très volatiles (&gt;30%), ce qui implique un risque élevé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(3 896,75 FCFA) et la MM50 (3 540,2 FCFA) sont toutes deux supérieures au cours actuel (3 370 FCFA), ce qui place le titre en position baissière à court terme. Cependant, la décision affichée est "Achat", probablement basée sur un signal de retournement potentiel après la correction. La MM20 étant au-dessus de la MM50, la tendance de fond reste haussière, mais le croisement baissier du prix sous les deux moyennes est un signal de prudence.</w:t>
      </w:r>
    </w:p>
    <w:p>
      <w:pPr>
        <w:spacing w:after="120" w:line="276" w:lineRule="auto"/>
      </w:pPr>
      <w:r>
        <w:t>**Bandes de Bollinger** : La borne supérieure est à 4 265,29 FCFA et la borne inférieure à 3 528,21 FCFA, avec un cours actuel de 3 370 FCFA qui se situe **sous** la borne inférieure. Cela signale une survente technique extrême et une volatilité accrue. La décision "Achat" est cohérente avec un rebond attendu vers la bande inférieure, mais la cassure à la baisse reste un risque.</w:t>
      </w:r>
    </w:p>
    <w:p>
      <w:pPr>
        <w:spacing w:after="120" w:line="276" w:lineRule="auto"/>
      </w:pPr>
      <w:r>
        <w:t>**MACD** : La valeur du MACD (-1,834) est négative et inférieure à son signal (84,957), confirmant un momentum baissier. La divergence entre le MACD et son signal est importante, ce qui justifie la décision "Vente". Un croisement haussier du MACD au-dessus de son signal serait nécessaire pour inverser la tendance.</w:t>
      </w:r>
    </w:p>
    <w:p>
      <w:pPr>
        <w:spacing w:after="120" w:line="276" w:lineRule="auto"/>
      </w:pPr>
      <w:r>
        <w:t>**RSI** : À 17,195, le RSI est en zone de survente extrême (&lt;30), ce qui indique que le titre est survendu et pourrait connaître un rebond technique à court terme. La décision "Achat" est donc justifiée par cette configuration, mais la faiblesse du momentum reste préoccupante.</w:t>
      </w:r>
    </w:p>
    <w:p>
      <w:pPr>
        <w:spacing w:after="120" w:line="276" w:lineRule="auto"/>
      </w:pPr>
      <w:r>
        <w:t>**Stochastique** : Le %K et le %D sont tous deux à 0,0, ce qui est un signal de survente maximale. Un croisement haussier du %K au-dessus du %D serait un signal d'achat, mais pour l'instant, la pression baissière est intense. La décision "Achat" anticipe un retournement, mais le timing reste incertain.</w:t>
      </w:r>
    </w:p>
    <w:p>
      <w:pPr>
        <w:spacing w:after="120" w:line="276" w:lineRule="auto"/>
      </w:pPr>
      <w:r>
        <w:t>**Conclusion technique** : Les indicateurs sont majoritairement baissiers (MACD, position sous les MM et les bandes de Bollinger), mais les signaux de survente extrême (RSI, Stochastique) suggèrent un rebond technique imminent. La divergence entre les décisions "Achat" (RSI, Stochastique, Bollinger) et "Vente" (MACD) reflète une phase de transition incertaine. La prudence est de mise, car la cassure des supports techniques pourrait entraîner une nouvelle jambe baissière.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Servair Abidjan a réalisé un chiffre d'affaires de 13,298 milliards FCFA, en croissance de 6,67% par rapport à 2024, selon les données structurées officielles. Le résultat net s'établit à 1,351 milliard FCFA, en baisse de 12,1% par rapport à 2024 (1,515 milliard FCFA), principalement en raison d'une charge d'impôt en forte hausse (+46,7% à 839,75 millions FCFA). La rentabilité reste solide avec un ROE de 26,18% (&gt;15% = excellent) et un ROA de 14,64%, témoignant d'une bonne efficacité dans l'utilisation des capitaux propres et des actifs. La structure financière est saine : autonomie financière de 55,92%, ratio d'endettement de 44,08%, et une trésorerie nette de 4,035 milliards FCFA. Le BFR est négatif (257,45 millions FCFA), ce qui est favorable, mais le délai client de 70,10 jours reste élevé et constitue un risque de trésorerie. Les délais fournisseurs (92,11 jours) et la durée de stockage (29,40 jours) sont bien maîtrisés. Les rapports trimestriels récents (T1 2026, publié le 30 avril 2026) montrent une croissance modérée du CA (+1,9% à 3,237 milliards FCFA) mais une dégradation de la rentabilité avec un résultat net en chute de 35,6% à 222,625 millions FCFA, impacté par les ajustements de redevances aéroportuaires et les tensions géopolitiques. Sur la base de ce T1 2026, on estime que l'exercice 2026 pourrait afficher un résultat net en baisse de 20-30% si la tendance se poursuit, malgré la diversification vers les activités non aériennes. La recommandation fondamentale est de **conserver** le titre, en surveillant la résolution du litige avec la BCEAO et la capacité à restaurer les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Servair Abidjan apparaît tendue (PER 27,2x, P/B 7,13x, EV/EBITDA 13,8x), bien au-dessus des moyennes du marché BRVM, ce qui intègre déjà une prime de croissance qui pourrait être remise en question. Le comportement du cours sur 100 jours est haussier (+13,28%) mais la correction récente (-7,42% en J-1) et la volatilité élevée (45,1%) signalent une nervosité accrue, avec une asymétrie positive (skewness 0,601) et une distribution proche de la normale (kurtosis -0,871). Les signaux techniques sont divergents : le MACD est baissier, mais le RSI (17,2) et le Stochastique (0,0) sont en survente extrême, suggérant un rebond technique possible, tandis que le cours est sous les bandes de Bollinger inférieures. Les fondamentaux restent solides (ROE 26,2%, ROA 14,6%, trésorerie nette de 4,035 Mds FCFA) mais la dégradation de la rentabilité au T1 2026 (-35,6% de résultat net) et les risques réglementaires (litige BCEAO) pèsent sur les perspectives. Les prédictions IA pour les 10 prochains jours (3 339 → 3 238 FCFA) confirment une poursuite de la baisse à court terme, contredisant les signaux de survente. Sur la base de cette synthèse, la recommandation finale est **CONSERVER** avec un niveau de confiance **Moyen** et un risque global **Élevé**. L'horizon d'investissement optimal est le **moyen terme (3-12 mois)**, en attendant la clarification des perspectives bénéficiaires et la résolution des litiges réglementaires. Une entrée à des niveaux plus bas (proche de 3 000 FCFA) pourrait offrir un meilleur point d'entrée pour les investisseurs à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440.00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46,451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+21.30%</w:t>
            </w:r>
          </w:p>
          <w:p>
            <w:r>
              <w:rPr>
                <w:b/>
                <w:color w:val="503200"/>
                <w:sz w:val="16"/>
              </w:rPr>
              <w:t xml:space="preserve">Plus haut 100j : </w:t>
            </w:r>
            <w:r>
              <w:rPr>
                <w:color w:val="000000"/>
                <w:sz w:val="17"/>
              </w:rPr>
              <w:t>9,000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75.5%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17.2/100 → Faible</w:t>
      </w:r>
    </w:p>
    <w:p>
      <w:pPr>
        <w:spacing w:before="40" w:after="80"/>
      </w:pPr>
      <w:r>
        <w:rPr>
          <w:rFonts w:ascii="Courier New" w:hAnsi="Courier New"/>
          <w:color w:val="006400"/>
          <w:sz w:val="18"/>
        </w:rPr>
        <w:t>███░░░░░░░░░░░░░░░░░  17.2/100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7.79% (Moyenne) — μ=8,371 FCFA, σ=652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FFFF" w:val="clear"/>
          </w:tcPr>
          <w:p>
            <w:r>
              <w:rPr>
                <w:b/>
                <w:sz w:val="15"/>
              </w:rPr>
              <w:t>β≈0.78 (proxy, &lt;10 obs communes) — Données BRVM insuffisantes pour le bêta réel</w:t>
            </w:r>
          </w:p>
        </w:tc>
        <w:tc>
          <w:tcPr>
            <w:tcW w:type="dxa" w:w="1984"/>
            <w:shd w:fill="F7F7F7" w:val="clear"/>
          </w:tcPr>
          <w:p>
            <w:r>
              <w:rPr>
                <w:i/>
                <w:color w:val="505078"/>
                <w:sz w:val="14"/>
              </w:rPr>
              <w:t>β = Cov(r_titre, r_indice) / Var(r_indice)</w:t>
            </w:r>
          </w:p>
        </w:tc>
        <w:tc>
          <w:tcPr>
            <w:tcW w:type="dxa" w:w="1984"/>
            <w:shd w:fill="FFFFFF" w:val="clear"/>
          </w:tcPr>
          <w:p>
            <w:r>
              <w:rPr>
                <w:sz w:val="15"/>
              </w:rPr>
              <w:t>β≈0.78 (proxy, &lt;10 obs communes) — Données BRVM insuffisantes pour le bêta réel</w:t>
            </w:r>
          </w:p>
        </w:tc>
      </w:tr>
      <w:tr>
        <w:tc>
          <w:tcPr>
            <w:tcW w:type="dxa" w:w="2835"/>
            <w:shd w:fill="EEF2F7" w:val="clear"/>
          </w:tcPr>
          <w:p>
            <w:r>
              <w:rPr>
                <w:b/>
                <w:sz w:val="15"/>
              </w:rPr>
              <w:t>💧 Liquidité du titre (20%)</w:t>
            </w:r>
          </w:p>
        </w:tc>
        <w:tc>
          <w:tcPr>
            <w:tcW w:type="dxa" w:w="3118"/>
            <w:shd w:fill="C6EFCE" w:val="clear"/>
          </w:tcPr>
          <w:p>
            <w:r>
              <w:rPr>
                <w:b/>
                <w:sz w:val="15"/>
              </w:rPr>
              <w:t>46,451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σ_j=4.75%/j (Modérée) — Vol. annualisée≈75.5%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spacing w:after="120" w:line="276" w:lineRule="auto"/>
      </w:pPr>
      <w:r>
        <w:t>**RAPPORT D'ANALYSE FINANCIÈRE — ACTION BBGC (BRIDGE BANK GROUP COTE D'IVOIRE)**</w:t>
        <w:br/>
        <w:t>*Marché : BRVM | Secteur : Banque | Date d'analyse :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BBGC s'établit à 440,00 milliards FCFA, un niveau significatif qui positionne le titre parmi les valeurs les plus importantes de la cote BRVM, cohérent avec la taille bilancielle de la banque (dépôts clientèle de 1 318,3 Mds FCFA au S1 2026). Le Bénéfice Par Action (BPA) et le PER ne sont pas calculables en l'état, faute de données structurées sur le nombre d'actions en circulation post-OPV et sur les bénéfices annualisés définitifs ; toutefois, en extrapolant le résultat net semestriel de 15,2 Mds FCFA (S1 2026) sur une base annualisée d'environ 30 Mds FCFA, et en retenant une capitalisation de 440 Mds FCFA, le PER implicite ressortirait autour de 14-15x, soit légèrement au-dessus de la moyenne BRVM (8-12x), ce qui suggère une prime de croissance déjà intégrée par le marché. Le ratio P/B et l'EV/EBITDA ne sont pas disponibles (capitaux propres et EBITDA non renseignés dans les données structurées), ce qui limite l'appréciation de la valorisation patrimoniale ; l'investisseur devra se référer au prospectus d'introduction pour affiner ces ratios une fois les états financiers annuels 2026 publiés.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BBGC affiche une performance remarquable de +21,30%, malgré un repli de -2,22% lors de la dernière séance (J-1), qui traduit une prise de bénéfices ponctuelle après un rallye soutenu. Le cours actuel de 8 800 FCFA évolue dans un range de trading de 1 745 FCFA, entre un plus bas de 7 255 FCFA et un plus haut de 9 000 FCFA, ce qui confirme une tendance générale nettement haussière, portée par le succès de l'introduction en bourse et la publication de résultats semestriels solides. Les statistiques descriptives révèlent une moyenne de 8 371 FCFA légèrement inférieure à la médiane de 8 588 FCFA, signe d'une asymétrie négative (skewness de -0,602) indiquant que le cours a passé davantage de séances au-dessus de sa moyenne, avec quelques journées de correction marquées tirant la moyenne vers le bas. L'écart-type de 715 FCFA (CV de 8,5%) traduit une dispersion modérée du cours autour de sa tendance, tandis que le kurtosis négatif (-1,151, distribution platykurtique) signale une faible concentration des rendements et un risque de pics extrêmes limité — profil rassurant pour un investisseur. La volatilité annualisée de 75,5% classe toutefois le titre dans la catégorie des valeurs à volatilité élevée (&gt;30%), ce qui est caractéristique d'une valeur récemment introduite en bourse et encore en phase de découverte de prix.</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MM20 et MM50 ne sont pas calculables (valeurs manquantes), ce qui s'explique par l'historique de cotation encore court depuis l'admission à la cote de la BRVM. Aucune décision technique ne peut donc être dérivée de ces indicateurs, et l'analyse doit s'appuyer sur les statistiques descriptives et les fondamentaux.</w:t>
      </w:r>
    </w:p>
    <w:p>
      <w:pPr>
        <w:spacing w:after="120" w:line="276" w:lineRule="auto"/>
      </w:pPr>
      <w:r>
        <w:t>**Bandes de Bollinger** : Les bornes supérieure et inférieure sont indisponibles (nan), empêchant toute lecture de la position relative du cours (8 800 FCFA) par rapport à ses bandes de volatilité. En l'absence de ces repères, on retiendra que le cours se situe à 5,2% sous son plus haut de 9 000 FCFA, suggérant une pression acheteuse encore présente mais essoufflée à court terme.</w:t>
      </w:r>
    </w:p>
    <w:p>
      <w:pPr>
        <w:spacing w:after="120" w:line="276" w:lineRule="auto"/>
      </w:pPr>
      <w:r>
        <w:t>**MACD** : La valeur du MACD et de sa ligne de signal étant indisponibles, aucune divergence ni croisement ne peut être analysé. Le momentum récent (+21,30% sur 100 jours) reste toutefois positif, mais la baisse de -2,22% en J-1 invite à la prudence sur un éventuel retournement de court terme.</w:t>
      </w:r>
    </w:p>
    <w:p>
      <w:pPr>
        <w:spacing w:after="120" w:line="276" w:lineRule="auto"/>
      </w:pPr>
      <w:r>
        <w:t>**RSI** : Le RSI n'est pas calculable (nan), privant l'analyste d'un indicateur clé de surachat/survente. Compte tenu de la progression de plus de 21% sur la période et de la proximité du plus haut (9 000 FCFA), on peut raisonnablement estimer que le RSI se situerait en zone neutre-haute (55-65), sans signal de surachat extrême.</w:t>
      </w:r>
    </w:p>
    <w:p>
      <w:pPr>
        <w:spacing w:after="120" w:line="276" w:lineRule="auto"/>
      </w:pPr>
      <w:r>
        <w:t>**Stochastique** : Les %K et %D étant indisponibles, aucun croisement ne peut être identifié. La dynamique haussière récente suggère néanmoins une position haute du stochastique, cohérente avec la tendance.</w:t>
      </w:r>
    </w:p>
    <w:p>
      <w:pPr>
        <w:spacing w:after="120" w:line="276" w:lineRule="auto"/>
      </w:pPr>
      <w:r>
        <w:t>**Conclusion technique** : L'absence généralisée des indicateurs techniques (MM, Bollinger, MACD, RSI, Stochastique) — conséquence directe du manque d'historique de cotation suffisant — empêche toute validation technique formelle. Le seul signal exploitable est la tendance haussière de +21,30% sur 100 jours, tempérée par la correction de -2,22% en J-1 et une volatilité annualisée élevée de 75,5%. La prudence technique est donc de mise, et l'analyse doit se recentrer sur les fondamentaux.</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annuelles n'étant pas disponibles dans la base, l'analyse s'appuie sur les rapports officiels publiés, notamment le **rapport d'activité du premier semestre 2026 (période close le 30 juin 2026, analysé le 28 septembre 2026)** et le **rapport financier daté du 31 décembre 2026 (analysé par GEMINI-VISION le 28 septembre 2026)**. Sur le plan sectoriel bancaire, le Produit Net Bancaire (PNB) du S1 2026 s'établit à **37,7 milliards FCFA**, en progression de **+25%** par rapport aux 30,2 Mds FCFA du S1 2025, porté par une croissance des crédits à la clientèle de **+28% à 823,9 Mds FCFA** et des dépôts de **+46% à 1 318,3 Mds FCFA** — cette asymétrie (dépôts &gt; crédits) renforce la liquidité et la base de ressources de la banque. Le **résultat net S1 2026 atteint 15,2 milliards FCFA**, en bond de **+46%** sur un an (contre 10,4 Mds FCFA au S1 2025), avec une **marge nette de 40,3%** (vs 34,4% un an plus tôt) et un **coefficient d'exploitation de 40,3%** (contre 43,3%), très en dessous du seuil de 60% qui marque l'efficacité opérationnelle dans le secteur bancaire. Le **coût du risque s'élève à 4,3 Mds FCFA (+14%)**, progression contenue par rapport à la croissance des crédits (+28%), ce qui témoigne d'un portefeuille de qualité. Le **résultat brut d'exploitation ressort à 22,5 Mds FCFA (+31%)** et le **résultat avant impôt à 18,2 Mds FCFA**. Sur la base de ces chiffres semestriels, on peut **estimer** que l'exercice 2026 complet devrait dégager un résultat net annuel de l'ordre de **30 milliards FCFA** (hypothèse d'une performance S2 comparable au S1), confirmant une trajectoire de forte croissance. Les ROE et ROA ne sont pas calculables faute de capitaux propres et total de bilan renseignés, mais la rentabilité intrinsèque (marge nette de 40,3%) est exceptionnellement élevée pour le secteur. Le principal catalyseur reste l'**OPV sursouscrite de 20% du capital (10 millions d'actions à 6 750 FCFA, soit 67,5 Mds FCFA)**, avec visa AMF-UMOA obtenu au S1 2026, ainsi que l'**expansion régionale au Burkina Faso** (avis favorable de la Commission Bancaire en mai 2026) et le déploiement du réseau (agences à Bassam et Korhogo). Les risques identifiés portent sur l'environnement économique et géopolitique incertain, la hausse du coût du risque et le risque d'exécution de l'expansion. **Conclusion fondamentale : solidité confirmée, croissance exceptionnelle, mais absence d'information sur la politique de dividende — recommandation ACHAT (spéculatif).**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conduit à un jugement globalement favorable, bien que nuancé par plusieurs zones d'incertitude. Sur le plan de la **valorisation (Partie 0)**, la capitalisation de 440 Mds FCFA et le PER implicite estimé à 14-15x suggèrent une légère surévaluation par rapport à la moyenne BRVM (8-12x), mais cette prime se justifie par la croissance exceptionnelle du résultat net (+46%) ; l'absence de P/B et d'EV/EBITDA limite toutefois la profondeur de l'analyse. Le **comportement du cours (Partie 1)** est nettement haussier (+21,30% sur 100 jours), avec une distribution platykurtique (risque de pics limité) et une asymétrie négative (skewness -0,602) plutôt favorable, mais une volatilité annualisée élevée de 75,5% qui accroît le risque de court terme. Les **signaux techniques (Partie 2)** sont malheureusement indisponibles (MM, Bollinger, MACD, RSI, Stochastique tous en nan), ce qui empêche toute confirmation technique de la tendance et constitue une limite majeure de l'analyse. Les **fondamentaux (Partie 3)** sont en revanche très solides : PNB +25%, résultat net +46%, coefficient d'exploitation de 40,3%, marge nette de 40,3%, OPV sursouscrite et expansion régionale en cours — autant d'éléments qui plaident pour une poursuite de la dynamique. Les **prédictions IA (J+1 à J+10)** ne sont pas disponibles, ce qui prive l'analyse d'un signal directionnel de court terme. **Recommandation finale : ACHAT**, avec un **niveau de confiance Moyen** (limité par l'absence d'indicateurs techniques et de prédictions IA) et un **niveau de risque Élevé** (volatilité de 75,5%, valeur récemment introduite, environnement incertain). L'**horizon d'investissement optimal est le moyen terme (3-12 mois)**, le temps que la société publie ses états financiers annuels 2026, précise sa politique de dividende et que l'historique de cotation permette le calcul des indicateurs techniques — autant d'éléments susceptibles de confirmer ou d'infirmer la prime de valorisation actuelle.</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508.29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13,782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+68.42%</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23.86% (Élevée) — μ=7,246 FCFA, σ=1,729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β=0.8068 (Neutre (suit le marché)) — Cov=0.000055, Var(idx)=0.000068, ρ=0.248,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13,782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2026-10-05</w:t>
            </w:r>
          </w:p>
        </w:tc>
        <w:tc>
          <w:tcPr>
            <w:tcW w:type="dxa" w:w="1440"/>
            <w:shd w:fill="C6EFCE" w:val="clear"/>
          </w:tcPr>
          <w:p>
            <w:r>
              <w:rPr>
                <w:sz w:val="17"/>
              </w:rPr>
              <w:t>8,276</w:t>
            </w:r>
          </w:p>
        </w:tc>
        <w:tc>
          <w:tcPr>
            <w:tcW w:type="dxa" w:w="1440"/>
            <w:shd w:fill="C6EFCE" w:val="clear"/>
          </w:tcPr>
          <w:p>
            <w:r>
              <w:rPr>
                <w:b/>
                <w:sz w:val="17"/>
              </w:rPr>
              <w:t>9,051</w:t>
            </w:r>
          </w:p>
        </w:tc>
        <w:tc>
          <w:tcPr>
            <w:tcW w:type="dxa" w:w="1440"/>
            <w:shd w:fill="C6EFCE" w:val="clear"/>
          </w:tcPr>
          <w:p>
            <w:r>
              <w:rPr>
                <w:sz w:val="17"/>
              </w:rPr>
              <w:t>9,826</w:t>
            </w:r>
          </w:p>
        </w:tc>
        <w:tc>
          <w:tcPr>
            <w:tcW w:type="dxa" w:w="1440"/>
            <w:shd w:fill="C6EFCE" w:val="clear"/>
          </w:tcPr>
          <w:p>
            <w:r>
              <w:rPr>
                <w:b/>
                <w:color w:val="008000"/>
                <w:sz w:val="17"/>
              </w:rPr>
              <w:t>+2.9%</w:t>
            </w:r>
          </w:p>
        </w:tc>
      </w:tr>
      <w:tr>
        <w:tc>
          <w:tcPr>
            <w:tcW w:type="dxa" w:w="1440"/>
            <w:shd w:fill="C6EFCE" w:val="clear"/>
          </w:tcPr>
          <w:p>
            <w:r>
              <w:rPr>
                <w:sz w:val="17"/>
              </w:rPr>
              <w:t>J+2  ⭐</w:t>
            </w:r>
          </w:p>
        </w:tc>
        <w:tc>
          <w:tcPr>
            <w:tcW w:type="dxa" w:w="1440"/>
            <w:shd w:fill="C6EFCE" w:val="clear"/>
          </w:tcPr>
          <w:p>
            <w:r>
              <w:rPr>
                <w:sz w:val="17"/>
              </w:rPr>
              <w:t>2026-10-06</w:t>
            </w:r>
          </w:p>
        </w:tc>
        <w:tc>
          <w:tcPr>
            <w:tcW w:type="dxa" w:w="1440"/>
            <w:shd w:fill="C6EFCE" w:val="clear"/>
          </w:tcPr>
          <w:p>
            <w:r>
              <w:rPr>
                <w:sz w:val="17"/>
              </w:rPr>
              <w:t>8,154</w:t>
            </w:r>
          </w:p>
        </w:tc>
        <w:tc>
          <w:tcPr>
            <w:tcW w:type="dxa" w:w="1440"/>
            <w:shd w:fill="C6EFCE" w:val="clear"/>
          </w:tcPr>
          <w:p>
            <w:r>
              <w:rPr>
                <w:b/>
                <w:sz w:val="17"/>
              </w:rPr>
              <w:t>9,109</w:t>
            </w:r>
          </w:p>
        </w:tc>
        <w:tc>
          <w:tcPr>
            <w:tcW w:type="dxa" w:w="1440"/>
            <w:shd w:fill="C6EFCE" w:val="clear"/>
          </w:tcPr>
          <w:p>
            <w:r>
              <w:rPr>
                <w:sz w:val="17"/>
              </w:rPr>
              <w:t>10,064</w:t>
            </w:r>
          </w:p>
        </w:tc>
        <w:tc>
          <w:tcPr>
            <w:tcW w:type="dxa" w:w="1440"/>
            <w:shd w:fill="C6EFCE" w:val="clear"/>
          </w:tcPr>
          <w:p>
            <w:r>
              <w:rPr>
                <w:b/>
                <w:color w:val="008000"/>
                <w:sz w:val="17"/>
              </w:rPr>
              <w:t>+3.5%</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8,053</w:t>
            </w:r>
          </w:p>
        </w:tc>
        <w:tc>
          <w:tcPr>
            <w:tcW w:type="dxa" w:w="1440"/>
            <w:shd w:fill="C6EFCE" w:val="clear"/>
          </w:tcPr>
          <w:p>
            <w:r>
              <w:rPr>
                <w:b/>
                <w:sz w:val="17"/>
              </w:rPr>
              <w:t>9,162</w:t>
            </w:r>
          </w:p>
        </w:tc>
        <w:tc>
          <w:tcPr>
            <w:tcW w:type="dxa" w:w="1440"/>
            <w:shd w:fill="C6EFCE" w:val="clear"/>
          </w:tcPr>
          <w:p>
            <w:r>
              <w:rPr>
                <w:sz w:val="17"/>
              </w:rPr>
              <w:t>10,271</w:t>
            </w:r>
          </w:p>
        </w:tc>
        <w:tc>
          <w:tcPr>
            <w:tcW w:type="dxa" w:w="1440"/>
            <w:shd w:fill="C6EFCE" w:val="clear"/>
          </w:tcPr>
          <w:p>
            <w:r>
              <w:rPr>
                <w:b/>
                <w:color w:val="008000"/>
                <w:sz w:val="17"/>
              </w:rPr>
              <w:t>+4.1%</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7,963</w:t>
            </w:r>
          </w:p>
        </w:tc>
        <w:tc>
          <w:tcPr>
            <w:tcW w:type="dxa" w:w="1440"/>
            <w:shd w:fill="C6EFCE" w:val="clear"/>
          </w:tcPr>
          <w:p>
            <w:r>
              <w:rPr>
                <w:b/>
                <w:sz w:val="17"/>
              </w:rPr>
              <w:t>9,209</w:t>
            </w:r>
          </w:p>
        </w:tc>
        <w:tc>
          <w:tcPr>
            <w:tcW w:type="dxa" w:w="1440"/>
            <w:shd w:fill="C6EFCE" w:val="clear"/>
          </w:tcPr>
          <w:p>
            <w:r>
              <w:rPr>
                <w:sz w:val="17"/>
              </w:rPr>
              <w:t>10,455</w:t>
            </w:r>
          </w:p>
        </w:tc>
        <w:tc>
          <w:tcPr>
            <w:tcW w:type="dxa" w:w="1440"/>
            <w:shd w:fill="C6EFCE" w:val="clear"/>
          </w:tcPr>
          <w:p>
            <w:r>
              <w:rPr>
                <w:b/>
                <w:color w:val="008000"/>
                <w:sz w:val="17"/>
              </w:rPr>
              <w:t>+4.6%</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7,878</w:t>
            </w:r>
          </w:p>
        </w:tc>
        <w:tc>
          <w:tcPr>
            <w:tcW w:type="dxa" w:w="1440"/>
            <w:shd w:fill="C6EFCE" w:val="clear"/>
          </w:tcPr>
          <w:p>
            <w:r>
              <w:rPr>
                <w:b/>
                <w:sz w:val="17"/>
              </w:rPr>
              <w:t>9,250</w:t>
            </w:r>
          </w:p>
        </w:tc>
        <w:tc>
          <w:tcPr>
            <w:tcW w:type="dxa" w:w="1440"/>
            <w:shd w:fill="C6EFCE" w:val="clear"/>
          </w:tcPr>
          <w:p>
            <w:r>
              <w:rPr>
                <w:sz w:val="17"/>
              </w:rPr>
              <w:t>10,621</w:t>
            </w:r>
          </w:p>
        </w:tc>
        <w:tc>
          <w:tcPr>
            <w:tcW w:type="dxa" w:w="1440"/>
            <w:shd w:fill="C6EFCE" w:val="clear"/>
          </w:tcPr>
          <w:p>
            <w:r>
              <w:rPr>
                <w:b/>
                <w:color w:val="008000"/>
                <w:sz w:val="17"/>
              </w:rPr>
              <w:t>+5.1%</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7,798</w:t>
            </w:r>
          </w:p>
        </w:tc>
        <w:tc>
          <w:tcPr>
            <w:tcW w:type="dxa" w:w="1440"/>
            <w:shd w:fill="C6EFCE" w:val="clear"/>
          </w:tcPr>
          <w:p>
            <w:r>
              <w:rPr>
                <w:b/>
                <w:sz w:val="17"/>
              </w:rPr>
              <w:t>9,285</w:t>
            </w:r>
          </w:p>
        </w:tc>
        <w:tc>
          <w:tcPr>
            <w:tcW w:type="dxa" w:w="1440"/>
            <w:shd w:fill="C6EFCE" w:val="clear"/>
          </w:tcPr>
          <w:p>
            <w:r>
              <w:rPr>
                <w:sz w:val="17"/>
              </w:rPr>
              <w:t>10,772</w:t>
            </w:r>
          </w:p>
        </w:tc>
        <w:tc>
          <w:tcPr>
            <w:tcW w:type="dxa" w:w="1440"/>
            <w:shd w:fill="C6EFCE" w:val="clear"/>
          </w:tcPr>
          <w:p>
            <w:r>
              <w:rPr>
                <w:b/>
                <w:color w:val="008000"/>
                <w:sz w:val="17"/>
              </w:rPr>
              <w:t>+5.5%</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7,721</w:t>
            </w:r>
          </w:p>
        </w:tc>
        <w:tc>
          <w:tcPr>
            <w:tcW w:type="dxa" w:w="1440"/>
            <w:shd w:fill="C6EFCE" w:val="clear"/>
          </w:tcPr>
          <w:p>
            <w:r>
              <w:rPr>
                <w:b/>
                <w:sz w:val="17"/>
              </w:rPr>
              <w:t>9,316</w:t>
            </w:r>
          </w:p>
        </w:tc>
        <w:tc>
          <w:tcPr>
            <w:tcW w:type="dxa" w:w="1440"/>
            <w:shd w:fill="C6EFCE" w:val="clear"/>
          </w:tcPr>
          <w:p>
            <w:r>
              <w:rPr>
                <w:sz w:val="17"/>
              </w:rPr>
              <w:t>10,910</w:t>
            </w:r>
          </w:p>
        </w:tc>
        <w:tc>
          <w:tcPr>
            <w:tcW w:type="dxa" w:w="1440"/>
            <w:shd w:fill="C6EFCE" w:val="clear"/>
          </w:tcPr>
          <w:p>
            <w:r>
              <w:rPr>
                <w:b/>
                <w:color w:val="008000"/>
                <w:sz w:val="17"/>
              </w:rPr>
              <w:t>+5.9%</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7,645</w:t>
            </w:r>
          </w:p>
        </w:tc>
        <w:tc>
          <w:tcPr>
            <w:tcW w:type="dxa" w:w="1440"/>
            <w:shd w:fill="C6EFCE" w:val="clear"/>
          </w:tcPr>
          <w:p>
            <w:r>
              <w:rPr>
                <w:b/>
                <w:sz w:val="17"/>
              </w:rPr>
              <w:t>9,342</w:t>
            </w:r>
          </w:p>
        </w:tc>
        <w:tc>
          <w:tcPr>
            <w:tcW w:type="dxa" w:w="1440"/>
            <w:shd w:fill="C6EFCE" w:val="clear"/>
          </w:tcPr>
          <w:p>
            <w:r>
              <w:rPr>
                <w:sz w:val="17"/>
              </w:rPr>
              <w:t>11,038</w:t>
            </w:r>
          </w:p>
        </w:tc>
        <w:tc>
          <w:tcPr>
            <w:tcW w:type="dxa" w:w="1440"/>
            <w:shd w:fill="C6EFCE" w:val="clear"/>
          </w:tcPr>
          <w:p>
            <w:r>
              <w:rPr>
                <w:b/>
                <w:color w:val="008000"/>
                <w:sz w:val="17"/>
              </w:rPr>
              <w:t>+6.2%</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7,572</w:t>
            </w:r>
          </w:p>
        </w:tc>
        <w:tc>
          <w:tcPr>
            <w:tcW w:type="dxa" w:w="1440"/>
            <w:shd w:fill="C6EFCE" w:val="clear"/>
          </w:tcPr>
          <w:p>
            <w:r>
              <w:rPr>
                <w:b/>
                <w:sz w:val="17"/>
              </w:rPr>
              <w:t>9,364</w:t>
            </w:r>
          </w:p>
        </w:tc>
        <w:tc>
          <w:tcPr>
            <w:tcW w:type="dxa" w:w="1440"/>
            <w:shd w:fill="C6EFCE" w:val="clear"/>
          </w:tcPr>
          <w:p>
            <w:r>
              <w:rPr>
                <w:sz w:val="17"/>
              </w:rPr>
              <w:t>11,156</w:t>
            </w:r>
          </w:p>
        </w:tc>
        <w:tc>
          <w:tcPr>
            <w:tcW w:type="dxa" w:w="1440"/>
            <w:shd w:fill="C6EFCE" w:val="clear"/>
          </w:tcPr>
          <w:p>
            <w:r>
              <w:rPr>
                <w:b/>
                <w:color w:val="008000"/>
                <w:sz w:val="17"/>
              </w:rPr>
              <w:t>+6.4%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ACTION BICB (BIIC Bénin)**</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508,29 milliards FCFA, la BICB s'impose comme l'une des valeurs bancaires les plus significatives de la cote BRVM, ce qui témoigne de la confiance des investisseurs dans le leadership de la banque au Bénin. Le BPA de 627 FCFA/action signifie que chaque titre génère près de 627 FCFA de bénéfice net, un niveau de rentabilité par action particulièrement élevé. Le PER de 14,0x situe le titre légèrement au-dessus de la moyenne du marché BRVM (8-12x), traduisant une prime de qualité justifiée par la croissance et la solidité des fondamentaux. Le P/B de 3,76x indique que le marché valorise l'action à près de quatre fois sa valeur comptable, une prime de croissance significative qui reflète les anticipations positives sur la rentabilité future (ROE de 26,8%). En revanche, l'EV/EBITDA de 24,6x apparaît très exigeant, signalant que la valeur d'entreprise intègre déjà une part importante d'optimisme, ce qui limite la marge de sécurité pour un nouvel 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enregistré une progression spectaculaire de +68,42%, passant d'un plus bas de 5 105 FCFA à un plus haut de 10 790 FCFA, avant de se replier légèrement pour clôturer à 8 800 FCFA, avec une variation de -1,23% sur la dernière séance. Le range de trading de 5 685 FCFA (soit plus du double du plus bas) témoigne d'une volatilité directionnelle intense, typique d'un titre en phase de revalorisation. La moyenne de 7 246 FCFA se situe nettement au-dessus de la médiane de 6 598 FCFA, ce qui révèle une distribution asymétrique à droite : les cours élevés récents tirent la moyenne vers le haut, confirmant la dynamique haussière. L'écart-type de 1 738 FCFA avec un coefficient de variation de 24,0% indique une dispersion modérée à élevée du cours autour de sa moyenne. Le kurtosis de -1,016 (platykurtique) suggère une distribution aplatie avec une faible concentration des rendements, donc un risque de pics extrêmes relativement limité. Le skewness de 0,482, bien que qualifié de "symétrique" dans les données, penche légèrement vers une asymétrie positive, ce qui est cohérent avec la tendance haussière. Enfin, la volatilité annualisée de 42,4% classe ce titre dans la catégorie des valeurs à volatilité élevée (&gt;30%), ce qui implique un risque de marché significatif et nécessite une tolérance au risque adaptée.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9 675,75 FCFA et la MM50 à 8 756,40 FCFA, toutes deux supérieures au cours actuel de 8 800 FCFA pour la MM20, mais la MM50 est légèrement en dessous. Le cours se situe entre ces deux moyennes, ce qui crée une configuration ambiguë : la MM20 agit comme résistance immédiate tandis que la MM50 offre un support. La décision "Achat" fournie suggère que la structure globale des moyennes reste haussière, mais le croisement baissier du cours sous la MM20 invite à la prudence.</w:t>
      </w:r>
    </w:p>
    <w:p>
      <w:pPr>
        <w:spacing w:after="120" w:line="276" w:lineRule="auto"/>
      </w:pPr>
      <w:r>
        <w:t>**Bandes de Bollinger :** La borne supérieure se situe à 11 525,17 FCFA et la borne inférieure à 7 826,33 FCFA, avec un cours actuel de 8 800 FCFA. Le cours évolue dans la partie inférieure de la bande, à environ 30% de sa largeur, ce qui indique une pression vendeuse récente mais sans rupture des bornes. La largeur de la bande (3 698,84 FCFA) reflète une volatilité élevée. La décision "Neutre" est cohérente avec cette position médiane-basse qui n'offre pas de signal directionnel fort.</w:t>
      </w:r>
    </w:p>
    <w:p>
      <w:pPr>
        <w:spacing w:after="120" w:line="276" w:lineRule="auto"/>
      </w:pPr>
      <w:r>
        <w:t>**MACD :** La valeur du MACD est de -91,895 contre un signal à 122,46, soit une divergence baissière marquée où le MACD est nettement en dessous de sa ligne de signal. Cette configuration indique un momentum négatif persistant et justifie pleinement la décision "Vente". La trajectoire descendante du MACD suggère que la pression baissière pourrait se poursuivre à court terme.</w:t>
      </w:r>
    </w:p>
    <w:p>
      <w:pPr>
        <w:spacing w:after="120" w:line="276" w:lineRule="auto"/>
      </w:pPr>
      <w:r>
        <w:t>**RSI :** Avec une valeur de 28,46, le RSI se situe en zone de survente (&lt;30), ce qui est techniquement un signal d'achat potentiel. La décision "Achat" est cohérente avec cette lecture : le titre a été excessivement vendu et pourrait connaître un rebond technique. Cependant, en tendance baissière, un RSI bas peut rester bas pendant un certain temps.</w:t>
      </w:r>
    </w:p>
    <w:p>
      <w:pPr>
        <w:spacing w:after="120" w:line="276" w:lineRule="auto"/>
      </w:pPr>
      <w:r>
        <w:t>**Stochastique :** Le %K est à 33,46 et le %D à 31,812, tous deux en zone basse mais sans croisement haussier confirmé. La décision "Neutre" reflète cette absence de signal clair : le stochastique n'indique ni surachat ni survente extrême, et le croisement des lignes n'est pas encore intervenu pour valider un retournement.</w:t>
      </w:r>
    </w:p>
    <w:p>
      <w:pPr>
        <w:spacing w:after="120" w:line="276" w:lineRule="auto"/>
      </w:pPr>
      <w:r>
        <w:t>**Conclusion technique :** Les indicateurs présentent une divergence préoccupante : le RSI en survente et la décision "Achat" des moyennes mobiles s'opposent au MACD baissier et à la position faible du cours dans les bandes de Bollinger. Cette configuration suggère un titre en phase de correction au sein d'une tendance haussière plus large, avec un potentiel de rebond technique à court terme mais une incertitude directionnelle à moyen terme. La prudence est de mise tant que le MACD ne montre pas de signe de retournement.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BICB a réalisé un Produit Net Bancaire (PNB) de 52,805 milliards FCFA, en croissance de 16,49% par rapport à 2024, porté par une marge d'intérêt nette de 40,813 milliards FCFA (produits d'intérêts de 100,361 Mds moins charges de 59,548 Mds). Le résultat net s'établit à 36,237 milliards FCFA, générant un ROE exceptionnel de 26,82% et un ROA de 1,96%. Le coefficient d'exploitation de 31,12% classe la banque parmi les plus efficaces du secteur (seuil d'excellence &lt;50%), tandis que le coût du risque de 9,61% reste contenu. La structure financière affiche des dépôts clientèle de 1 181,045 milliards FCFA face à des créances clientèle de 1 151,536 milliards FCFA, soit un ratio de transformation de 97,5%, légèrement tendu. Les capitaux propres de 135,118 milliards FCFA et un ratio de solvabilité de 19,64% (bien au-dessus du minimum réglementaire de 11,5%) confirment la solidité du bilan.</w:t>
      </w:r>
    </w:p>
    <w:p>
      <w:pPr>
        <w:spacing w:after="120" w:line="276" w:lineRule="auto"/>
      </w:pPr>
      <w:r>
        <w:t>**Estimations basées sur les rapports trimestriels :** Le rapport du T1 2026 (publié en 2026) révèle un PNB de 14,6 milliards FCFA (+35%) et un résultat net de 8,0 milliards FCFA (+48%), confirmant l'accélération de la dynamique. Le rapport S1 2026 (publié en 2026) montre un PNB de 31,882 milliards FCFA (+19%) et un résultat net de 18,368 milliards FCFA (+11%), avec un coût du risque normalisé à -3,579 milliards FCFA contre un produit de +2,376 milliards au S1 2025. Sur la base de ces tendances, on peut estimer que l'exercice 2026 devrait afficher un PNB supérieur à 60 milliards FCFA et un résultat net proche de 38-40 milliards FCFA, soit une croissance de 5-10% par rapport à 2025. Le rapport annuel 2025 (publié le 22 juin 2026) confirme la transition réussie aux normes IFRS avec un impact de -10,4 milliards FCFA sur les capitaux propres d'ouverture, et le rapport des commissaires aux comptes (publié le 22 juin 2026) émet une opinion sans réserve tout en soulignant le risque de crédit comme point clé d'audit.</w:t>
      </w:r>
    </w:p>
    <w:p>
      <w:pPr>
        <w:spacing w:after="120" w:line="276" w:lineRule="auto"/>
      </w:pPr>
      <w:r>
        <w:t>**Recommandation fondamentale :** La BICB présente des fondamentaux solides avec une rentabilité exceptionnelle (ROE &gt;26%), une efficacité opérationnelle remarquable (coefficient d'exploitation de 31%) et une capitalisation robuste. Les risques identifiés incluent la normalisation du coût du risque après des reprises exceptionnelles en 2025, la tension sur la liquidité (ratio crédits/dépôts de 97,5%) et la dépendance à la croissance économique du Bénin. La dynamique commerciale reste vigoureuse, portée par le leadership de la banque sur son marché domestique.</w:t>
      </w:r>
    </w:p>
    <w:p>
      <w:pPr>
        <w:spacing w:after="120" w:line="276" w:lineRule="auto"/>
      </w:pPr>
      <w:r>
        <w:t>---</w:t>
      </w:r>
    </w:p>
    <w:p>
      <w:pPr>
        <w:spacing w:after="120" w:line="276" w:lineRule="auto"/>
      </w:pPr>
      <w:r>
        <w:t>## PARTIE 4 : CONCLUSION D'INVESTISSEMENT</w:t>
      </w:r>
    </w:p>
    <w:p>
      <w:pPr>
        <w:spacing w:after="120" w:line="276" w:lineRule="auto"/>
      </w:pPr>
      <w:r>
        <w:t>La valorisation de la BICB apparaît exigeante mais justifiée : le PER de 14,0x offre une prime modérée par rapport au marché BRVM (8-12x), le P/B de 3,76x reflète la qualité des fonds propres, mais l'EV/EBITDA de 24,6x limite la marge de sécurité. Le comportement du cours sur 100 jours est nettement haussier (+68,42%) avec une volatilité élevée (42,4%) et une distribution légèrement asymétrique à droite (skewness de 0,482), ce qui est favorable pour un investisseur dynamique mais préoccupant pour un profil prudent. Les signaux techniques sont divergents : le RSI en survente (28,46) et la décision "Achat" des moyennes mobiles s'opposent au MACD baissier (-91,895 vs signal à 122,46) et à la position faible du cours dans les bandes de Bollinger, créant une incertitude à court terme. Les fondamentaux restent solides avec un ROE de 26,82%, un coefficient d'exploitation de 31,12% et une croissance du PNB de 16,49% en 2025, tandis que les rapports T1 2026 et S1 2026 confirment la poursuite de la dynamique avec des croissances respectives de +35% et +19% du PNB. Les prédictions IA pour les 10 prochains jours ouvrables (9 051 à 9 250 FCFA) suggèrent une légère reprise après la correction récente, ce qui est cohérent avec le signal de survente du RSI mais contredit le momentum baissier du MACD. **Recommandation finale : CONSERVER** — La convergence entre la solidité fondamentale, la valorisation raisonnable et le potentiel de rebond technique justifie une position de conservation pour les investisseurs déjà en portefeuille. Un nouvel entrant attendra une confirmation du retournement technique (croisement haussier du MACD, cassure de la MM20) avant d'initier une position. Le niveau de confiance est **Moyen** en raison de la divergence des signaux techniques, et le niveau de risque global est **Élevé** compte tenu de la volatilité de 42,4% et de l'exigence de valorisation. L'horizon d'investissement optimal est le **moyen terme (3-12 mois)** pour capturer la croissance bénéficiaire tout en laissant le temps aux indicateurs techniques de se stabiliser.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677 titres</w:t>
            </w:r>
          </w:p>
        </w:tc>
        <w:tc>
          <w:tcPr>
            <w:tcW w:type="dxa" w:w="2268"/>
            <w:shd w:fill="FFF2CC" w:val="clear"/>
          </w:tcPr>
          <w:p>
            <w:r>
              <w:rPr>
                <w:b/>
                <w:color w:val="503200"/>
                <w:sz w:val="16"/>
              </w:rPr>
              <w:t xml:space="preserve">Cours actuel : </w:t>
            </w:r>
            <w:r>
              <w:rPr>
                <w:color w:val="000000"/>
                <w:sz w:val="17"/>
              </w:rPr>
              <w:t>33,800 FCFA</w:t>
            </w:r>
          </w:p>
          <w:p>
            <w:r>
              <w:rPr>
                <w:b/>
                <w:color w:val="503200"/>
                <w:sz w:val="16"/>
              </w:rPr>
              <w:t xml:space="preserve">Var. 100 jours : </w:t>
            </w:r>
            <w:r>
              <w:rPr>
                <w:b/>
                <w:color w:val="007800"/>
                <w:sz w:val="17"/>
              </w:rPr>
              <w:t>+30.00%</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26,000 FCFA</w:t>
            </w:r>
          </w:p>
          <w:p>
            <w:r>
              <w:rPr>
                <w:b/>
                <w:color w:val="503200"/>
                <w:sz w:val="16"/>
              </w:rPr>
              <w:t xml:space="preserve">Volatilité ann. : </w:t>
            </w:r>
            <w:r>
              <w:rPr>
                <w:color w:val="000000"/>
                <w:sz w:val="17"/>
              </w:rPr>
              <w:t>34.3%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6.50% (Moyenne) — μ=29,260 FCFA, σ=1,902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β=0.8909 (Neutre (suit le marché)) — Cov=0.000060, Var(idx)=0.000068, ρ=0.339,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677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σ_j=2.16%/j (Stable) — Vol. annualisée≈34.3%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2026-10-05</w:t>
            </w:r>
          </w:p>
        </w:tc>
        <w:tc>
          <w:tcPr>
            <w:tcW w:type="dxa" w:w="1440"/>
            <w:shd w:fill="FFDCE0" w:val="clear"/>
          </w:tcPr>
          <w:p>
            <w:r>
              <w:rPr>
                <w:sz w:val="17"/>
              </w:rPr>
              <w:t>30,305</w:t>
            </w:r>
          </w:p>
        </w:tc>
        <w:tc>
          <w:tcPr>
            <w:tcW w:type="dxa" w:w="1440"/>
            <w:shd w:fill="FFDCE0" w:val="clear"/>
          </w:tcPr>
          <w:p>
            <w:r>
              <w:rPr>
                <w:b/>
                <w:sz w:val="17"/>
              </w:rPr>
              <w:t>32,751</w:t>
            </w:r>
          </w:p>
        </w:tc>
        <w:tc>
          <w:tcPr>
            <w:tcW w:type="dxa" w:w="1440"/>
            <w:shd w:fill="FFDCE0" w:val="clear"/>
          </w:tcPr>
          <w:p>
            <w:r>
              <w:rPr>
                <w:sz w:val="17"/>
              </w:rPr>
              <w:t>35,198</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29,625</w:t>
            </w:r>
          </w:p>
        </w:tc>
        <w:tc>
          <w:tcPr>
            <w:tcW w:type="dxa" w:w="1440"/>
            <w:shd w:fill="FFDCE0" w:val="clear"/>
          </w:tcPr>
          <w:p>
            <w:r>
              <w:rPr>
                <w:b/>
                <w:sz w:val="17"/>
              </w:rPr>
              <w:t>32,608</w:t>
            </w:r>
          </w:p>
        </w:tc>
        <w:tc>
          <w:tcPr>
            <w:tcW w:type="dxa" w:w="1440"/>
            <w:shd w:fill="FFDCE0" w:val="clear"/>
          </w:tcPr>
          <w:p>
            <w:r>
              <w:rPr>
                <w:sz w:val="17"/>
              </w:rPr>
              <w:t>35,591</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29,058</w:t>
            </w:r>
          </w:p>
        </w:tc>
        <w:tc>
          <w:tcPr>
            <w:tcW w:type="dxa" w:w="1440"/>
            <w:shd w:fill="FFDCE0" w:val="clear"/>
          </w:tcPr>
          <w:p>
            <w:r>
              <w:rPr>
                <w:b/>
                <w:sz w:val="17"/>
              </w:rPr>
              <w:t>32,490</w:t>
            </w:r>
          </w:p>
        </w:tc>
        <w:tc>
          <w:tcPr>
            <w:tcW w:type="dxa" w:w="1440"/>
            <w:shd w:fill="FFDCE0" w:val="clear"/>
          </w:tcPr>
          <w:p>
            <w:r>
              <w:rPr>
                <w:sz w:val="17"/>
              </w:rPr>
              <w:t>35,923</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28,566</w:t>
            </w:r>
          </w:p>
        </w:tc>
        <w:tc>
          <w:tcPr>
            <w:tcW w:type="dxa" w:w="1440"/>
            <w:shd w:fill="FFDCE0" w:val="clear"/>
          </w:tcPr>
          <w:p>
            <w:r>
              <w:rPr>
                <w:b/>
                <w:sz w:val="17"/>
              </w:rPr>
              <w:t>32,392</w:t>
            </w:r>
          </w:p>
        </w:tc>
        <w:tc>
          <w:tcPr>
            <w:tcW w:type="dxa" w:w="1440"/>
            <w:shd w:fill="FFDCE0" w:val="clear"/>
          </w:tcPr>
          <w:p>
            <w:r>
              <w:rPr>
                <w:sz w:val="17"/>
              </w:rPr>
              <w:t>36,217</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28,121</w:t>
            </w:r>
          </w:p>
        </w:tc>
        <w:tc>
          <w:tcPr>
            <w:tcW w:type="dxa" w:w="1440"/>
            <w:shd w:fill="FFDCE0" w:val="clear"/>
          </w:tcPr>
          <w:p>
            <w:r>
              <w:rPr>
                <w:b/>
                <w:sz w:val="17"/>
              </w:rPr>
              <w:t>32,300</w:t>
            </w:r>
          </w:p>
        </w:tc>
        <w:tc>
          <w:tcPr>
            <w:tcW w:type="dxa" w:w="1440"/>
            <w:shd w:fill="FFDCE0" w:val="clear"/>
          </w:tcPr>
          <w:p>
            <w:r>
              <w:rPr>
                <w:sz w:val="17"/>
              </w:rPr>
              <w:t>36,479</w:t>
            </w:r>
          </w:p>
        </w:tc>
        <w:tc>
          <w:tcPr>
            <w:tcW w:type="dxa" w:w="1440"/>
            <w:shd w:fill="FFDCE0" w:val="clear"/>
          </w:tcPr>
          <w:p>
            <w:r>
              <w:rPr>
                <w:b/>
                <w:color w:val="C00000"/>
                <w:sz w:val="17"/>
              </w:rPr>
              <w:t>-4.4%</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27,710</w:t>
            </w:r>
          </w:p>
        </w:tc>
        <w:tc>
          <w:tcPr>
            <w:tcW w:type="dxa" w:w="1440"/>
            <w:shd w:fill="FFDCE0" w:val="clear"/>
          </w:tcPr>
          <w:p>
            <w:r>
              <w:rPr>
                <w:b/>
                <w:sz w:val="17"/>
              </w:rPr>
              <w:t>32,212</w:t>
            </w:r>
          </w:p>
        </w:tc>
        <w:tc>
          <w:tcPr>
            <w:tcW w:type="dxa" w:w="1440"/>
            <w:shd w:fill="FFDCE0" w:val="clear"/>
          </w:tcPr>
          <w:p>
            <w:r>
              <w:rPr>
                <w:sz w:val="17"/>
              </w:rPr>
              <w:t>36,713</w:t>
            </w:r>
          </w:p>
        </w:tc>
        <w:tc>
          <w:tcPr>
            <w:tcW w:type="dxa" w:w="1440"/>
            <w:shd w:fill="FFDCE0" w:val="clear"/>
          </w:tcPr>
          <w:p>
            <w:r>
              <w:rPr>
                <w:b/>
                <w:color w:val="C00000"/>
                <w:sz w:val="17"/>
              </w:rPr>
              <w:t>-4.7%</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27,327</w:t>
            </w:r>
          </w:p>
        </w:tc>
        <w:tc>
          <w:tcPr>
            <w:tcW w:type="dxa" w:w="1440"/>
            <w:shd w:fill="FFDCE0" w:val="clear"/>
          </w:tcPr>
          <w:p>
            <w:r>
              <w:rPr>
                <w:b/>
                <w:sz w:val="17"/>
              </w:rPr>
              <w:t>32,127</w:t>
            </w:r>
          </w:p>
        </w:tc>
        <w:tc>
          <w:tcPr>
            <w:tcW w:type="dxa" w:w="1440"/>
            <w:shd w:fill="FFDCE0" w:val="clear"/>
          </w:tcPr>
          <w:p>
            <w:r>
              <w:rPr>
                <w:sz w:val="17"/>
              </w:rPr>
              <w:t>36,926</w:t>
            </w:r>
          </w:p>
        </w:tc>
        <w:tc>
          <w:tcPr>
            <w:tcW w:type="dxa" w:w="1440"/>
            <w:shd w:fill="FFDCE0" w:val="clear"/>
          </w:tcPr>
          <w:p>
            <w:r>
              <w:rPr>
                <w:b/>
                <w:color w:val="C00000"/>
                <w:sz w:val="17"/>
              </w:rPr>
              <w:t>-5.0%</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26,967</w:t>
            </w:r>
          </w:p>
        </w:tc>
        <w:tc>
          <w:tcPr>
            <w:tcW w:type="dxa" w:w="1440"/>
            <w:shd w:fill="FFDCE0" w:val="clear"/>
          </w:tcPr>
          <w:p>
            <w:r>
              <w:rPr>
                <w:b/>
                <w:sz w:val="17"/>
              </w:rPr>
              <w:t>32,045</w:t>
            </w:r>
          </w:p>
        </w:tc>
        <w:tc>
          <w:tcPr>
            <w:tcW w:type="dxa" w:w="1440"/>
            <w:shd w:fill="FFDCE0" w:val="clear"/>
          </w:tcPr>
          <w:p>
            <w:r>
              <w:rPr>
                <w:sz w:val="17"/>
              </w:rPr>
              <w:t>37,123</w:t>
            </w:r>
          </w:p>
        </w:tc>
        <w:tc>
          <w:tcPr>
            <w:tcW w:type="dxa" w:w="1440"/>
            <w:shd w:fill="FFDCE0" w:val="clear"/>
          </w:tcPr>
          <w:p>
            <w:r>
              <w:rPr>
                <w:b/>
                <w:color w:val="C00000"/>
                <w:sz w:val="17"/>
              </w:rPr>
              <w:t>-5.2%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26,627</w:t>
            </w:r>
          </w:p>
        </w:tc>
        <w:tc>
          <w:tcPr>
            <w:tcW w:type="dxa" w:w="1440"/>
            <w:shd w:fill="FFDCE0" w:val="clear"/>
          </w:tcPr>
          <w:p>
            <w:r>
              <w:rPr>
                <w:b/>
                <w:sz w:val="17"/>
              </w:rPr>
              <w:t>31,966</w:t>
            </w:r>
          </w:p>
        </w:tc>
        <w:tc>
          <w:tcPr>
            <w:tcW w:type="dxa" w:w="1440"/>
            <w:shd w:fill="FFDCE0" w:val="clear"/>
          </w:tcPr>
          <w:p>
            <w:r>
              <w:rPr>
                <w:sz w:val="17"/>
              </w:rPr>
              <w:t>37,305</w:t>
            </w:r>
          </w:p>
        </w:tc>
        <w:tc>
          <w:tcPr>
            <w:tcW w:type="dxa" w:w="1440"/>
            <w:shd w:fill="FFDCE0" w:val="clear"/>
          </w:tcPr>
          <w:p>
            <w:r>
              <w:rPr>
                <w:b/>
                <w:color w:val="C00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ACTION BICC (BICICI)**</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563,33 milliards FCFA, BICC s'impose comme l'une des toutes premières capitalisations de la BRVM, ce qui en fait une valeur incontournable de l'indice BRVM Composite. Le BPA de 2 191 FCFA/action signifie que chaque titre génère près de 2 200 FCFA de bénéfice net, un niveau élevé qui traduit la forte rentabilité de la banque. Le PER de 15,4x se situe au-dessus de la moyenne du marché BRVM (généralement comprise entre 8 et 12x), ce qui indique que les investisseurs acceptent de payer une prime pour cette valeur de qualité, sans pour autant tomber dans une exubérance manifeste. Le P/B de 4,67x est nettement supérieur à 4x, signe que le marché valorise l'action bien au-dessus de sa valeur comptable — une prime justifiée par un ROE exceptionnel de 30,3%, mais qui laisse peu de marge de sécurité en cas de dégradation. Enfin, l'EV/EBITDA de 11,3x, dans la fourchette haute (10-15x), confirme une valorisation exigeante qui intègre déjà les bonnes performances opérationnelles de la banque.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BICC a enregistré une progression remarquable de +30,00%, portée par une dernière séance en hausse de +3,67%, ce qui témoigne d'un momentum acheteur toujours présent. Le cours actuel de 33 800 FCFA évolue dans un range compris entre un plus bas de 26 000 FCFA et un plus haut de 34 895 FCFA, le titre se situant donc à proximité immédiate de ses sommets, ce qui traduit une tendance clairement haussière. Les statistiques descriptives révèlent une moyenne de 29 260 FCFA légèrement supérieure à la médiane de 28 932 FCFA, avec un mode à 29 000 FCFA, confirmant une distribution asymétrique positivement (skewness de +1,013), c'est-à-dire que le cours a passé davantage de journées sous sa moyenne mais avec des poussées haussières marquées. L'écart-type de 1 912 FCFA (CV de 6,5%) indique une dispersion modérée du cours autour de sa moyenne, tandis que le kurtosis de 0,634 (mésokurtique) suggère un comportement proche d'une distribution normale, sans risque excessif de pics extrêmes. La volatilité annualisée de 34,3% classe le titre dans la catégorie des valeurs à volatilité élevée (&gt;30%), ce qui implique un potentiel de gain attractif mais aussi un risque de correction significatif, à intégrer dans toute stratégie d'investissement.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32 393,75 FCFA et la MM50 à 30 445,90 FCFA, toutes deux inférieures au cours actuel de 33 800 FCFA, ce qui confirme une configuration haussière avec le prix au-dessus de ses moyennes. La MM20 étant elle-même supérieure à la MM50, on observe un croisement haussier (golden cross) qui valide la dynamique positive et justifie la décision d'**Achat**.</w:t>
      </w:r>
    </w:p>
    <w:p>
      <w:pPr>
        <w:spacing w:after="120" w:line="276" w:lineRule="auto"/>
      </w:pPr>
      <w:r>
        <w:t>**Bandes de Bollinger** : Le cours (33 800 FCFA) se situe dans la partie haute de la bande, entre la borne inférieure (29 769,94 FCFA) et la borne supérieure (35 017,56 FCFA), sans la dépasser. Cette position proche de la borne supérieure traduit une pression acheteuse soutenue mais pas encore de surachat extrême, ce qui explique la décision **Neutre** — le titre est fort mais pourrait marquer une pause.</w:t>
      </w:r>
    </w:p>
    <w:p>
      <w:pPr>
        <w:spacing w:after="120" w:line="276" w:lineRule="auto"/>
      </w:pPr>
      <w:r>
        <w:t>**MACD** : La valeur du MACD (672,99) est nettement supérieure à son signal (556,99), avec un histogramme positif, ce qui confirme un momentum haussier en cours. Cette divergence positive entre MACD et signal valide la décision d'**Achat** et suggère que la tendance haussière dispose encore d'une certaine vigueur.</w:t>
      </w:r>
    </w:p>
    <w:p>
      <w:pPr>
        <w:spacing w:after="120" w:line="276" w:lineRule="auto"/>
      </w:pPr>
      <w:r>
        <w:t>**RSI** : À 52,81, le RSI se situe parfaitement dans la zone neutre (30-70), sans signal de surachat (&gt;70) ni de survente (&lt;30). Cette valeur médiane indique un équilibre entre acheteurs et vendeurs, justifiant la décision **Neutre** — le titre n'est ni surétiré ni survendu, laissant la porte ouverte à une poursuite de la tendance.</w:t>
      </w:r>
    </w:p>
    <w:p>
      <w:pPr>
        <w:spacing w:after="120" w:line="276" w:lineRule="auto"/>
      </w:pPr>
      <w:r>
        <w:t>**Stochastique** : Le %K (78,74) et le %D (78,09) évoluent tous deux en zone haute, proches du seuil de surachat (80), avec un %K légèrement supérieur au %D. Cette configuration suggère que le titre approche d'une zone de résistance potentielle, ce qui justifie la décision **Neutre** — la prudence est de mise à court terme malgré la tendance haussière.</w:t>
      </w:r>
    </w:p>
    <w:p>
      <w:pPr>
        <w:spacing w:after="120" w:line="276" w:lineRule="auto"/>
      </w:pPr>
      <w:r>
        <w:t>**Conclusion technique** : Les indicateurs techniques présentent un tableau globalement haussier, avec des MM en configuration d'achat, un MACD positif et un cours au-dessus de ses moyennes. Toutefois, la proximité de la borne supérieure de Bollinger et du seuil de surachat stochastique incite à la prudence à court terme. La convergence des signaux reste favorable à une poursuite de la tendance, mais une consolidation technique n'est pas à exclure avant une nouvelle jambe haussière.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(base brvm_donnees_financieres) révèlent une banque en pleine croissance et remarquablement rentable. Le Produit Net Bancaire (équivalent du chiffre d'affaires pour une banque) s'établit à 79,563 milliards FCFA, en progression de +16,90% sur un an, tandis que le résultat net atteint 36,520 milliards FCFA, soit une marge nette exceptionnelle de 45,90%. Le ROE de 30,29% (très supérieur au seuil de 15% considéré comme excellent) et le ROA de 3,24% confirment l'excellence de la rentabilité des fonds propres et des actifs. Le coefficient d'exploitation de 50,83% — inférieur au seuil de 60% — témoigne d'une efficacité opérationnelle remarquable, et le coût du risque de -12,15% (provisions/charges financières) indique un portefeuille de crédits globalement sain, bien que ce ratio mérite une surveillance. La structure financière montre une autonomie financière de 10,71% (capitaux propres/total bilan), typique du modèle bancaire où les dépôts clientèle (952,872 milliards FCFA) constituent la principale ressource, face à des créances clientèle de 524,439 milliards FCFA — le ratio dépôts/crédits de 1,82x traduit une surliquidité confortable mais aussi une sous-utilisation des dépôts, ce qui pèse sur la marge d'intermédiation. Les rapports trimestriels récents confirment cette dynamique : au T1 2026 (rapport du 31 mars 2026, analysé le 1er mai 2026), le PNB progresse de +17,01% à 21 214 millions FCFA et le résultat net bondit de +29,66% à 10 387 millions FCFA, avec une marge nette en amélioration à 49,0% (contre 44,2% au T1 2025) — on estime donc que l'exercice 2026 devrait dépasser les performances de 2025, avec un résultat net annualisé potentiel supérieur à 40 milliards FCFA. Le rapport du T3 2025 (30 septembre 2025) confirmait déjà cette tendance avec un PNB cumulé de 58 119 millions FCFA (+16,4%) et un résultat net de 27 402 millions FCFA (+50,8%), tandis que les états financiers 2024 (exercice clos le 31 décembre 2024) affichaient un PNB de 68 063 millions FCFA (+22,6%) et un résultat net de 26 226 millions FCFA (+57,1%), démontrant une accélération continue de la croissance. Le principal point de vigilance réside dans la baisse des crédits nets (-4,47% au T1 2026, -3,6% au T3 2025), due à des remboursements anticipés, qui contraste avec la forte collecte de dépôts (+14,46% au T1 2026) — cette décorrélation pourrait à terme comprimer la marge d'intermédiation si la banque ne parvient pas à redéployer ces liquidités dans des actifs rémunérateurs. Néanmoins, la solidité du bilan (solvabilité générale de 111,99%, capacité de remboursement de 0,40 an), la croissance à deux chiffres du PNB et du résultat net, ainsi que l'amélioration continue des marges, confirment la solidité fondamentale de BICC, avec une recommandation fondamentale d'**Achat** tempérée par la vigilance sur l'évolution des encours de crédit.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globalement favorable mais nuancé. **En termes de valorisation (Partie 0)** , le PER de 15,4x et le P/B de 4,67x indiquent une valeur correctement valorisée, voire légèrement surévaluée par rapport à la moyenne du marché BRVM, ce qui limite le potentiel de revalorisation à court terme mais se justifie par la qualité des fondamentaux. **Le comportement du cours (Partie 1)** est clairement haussier (+30% sur 100 jours), avec une volatilité élevée (34,3%) et une asymétrie positive (skewness de +1,013) qui suggère que les poussées haussières ont été plus fréquentes que les corrections — un signal favorable pour les investisseurs en quête de momentum. **Les signaux techniques (Partie 2)** convergent majoritairement à l'achat (MM, MACD), mais la proximité des zones de surachat (Bollinger, Stochastique) et le RSI neutre (52,81) incitent à la prudence à très court terme. **Les fondamentaux (Partie 3)** sont excellents : ROE de 30,29%, marge nette de 45,90%, coefficient d'exploitation de 50,83%, et les rapports trimestriels (T1 2026, T3 2025) confirment une accélération de la croissance avec un résultat net en hausse de +29,66% au T1 2026 — on estime que l'exercice 2026 devrait surpasser 2025. **Les prédictions IA (J+1 à J+10)** anticipent une légère correction du cours, de 32 751 FCFA (J+1) à 32 300 FCFA (J+10), soit une baisse d'environ 4,4% par rapport au cours actuel de 33 800 FCFA — cette trajectoire baissière à court terme contredit le momentum haussier actuel mais pourrait constituer une opportunité d'entrée pour les investisseurs de moyen terme. **Recommandation finale : ACHAT** — la convergence entre des fondamentaux exceptionnels (croissance à deux chiffres, rentabilité record), une valorisation exigeante mais justifiée, et des signaux techniques majoritairement haussiers, l'emporte sur la prédiction de correction à court terme qui apparaît comme une consolidation technique saine. Le niveau de confiance est **Moyen** (en raison de la divergence entre les prédictions IA baissières à court terme et les autres signaux), et le niveau de risque global est **Moyen** (volatilité élevée de 34,3% mais fondamentaux solides). L'horizon d'investissement optimal est le **moyen terme (3-12 mois)** , afin de laisser le temps à la correction technique de s'achever et de profiter de la poursuite de la croissance des bénéfices, avec un objectif de cours potentiel de 36 000-38 000 FCFA si les performances 2026 confirment les estimations.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12.59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3,043 titres</w:t>
            </w:r>
          </w:p>
        </w:tc>
        <w:tc>
          <w:tcPr>
            <w:tcW w:type="dxa" w:w="2268"/>
            <w:shd w:fill="FFF2CC" w:val="clear"/>
          </w:tcPr>
          <w:p>
            <w:r>
              <w:rPr>
                <w:b/>
                <w:color w:val="503200"/>
                <w:sz w:val="16"/>
              </w:rPr>
              <w:t xml:space="preserve">Cours actuel : </w:t>
            </w:r>
            <w:r>
              <w:rPr>
                <w:color w:val="000000"/>
                <w:sz w:val="17"/>
              </w:rPr>
              <w:t>1,900 FCFA</w:t>
            </w:r>
          </w:p>
          <w:p>
            <w:r>
              <w:rPr>
                <w:b/>
                <w:color w:val="503200"/>
                <w:sz w:val="16"/>
              </w:rPr>
              <w:t xml:space="preserve">Var. 100 jours : </w:t>
            </w:r>
            <w:r>
              <w:rPr>
                <w:b/>
                <w:color w:val="007800"/>
                <w:sz w:val="17"/>
              </w:rPr>
              <w:t>+46.15%</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11.11% (Moyenne) — μ=1,907 FCFA, σ=212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β=0.3199 (Défensif) — Cov=0.000022, Var(idx)=0.000068, ρ=0.078,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3,043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σ_j=3.35%/j (Modérée) — Vol. annualisée≈53.2%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1,714</w:t>
            </w:r>
          </w:p>
        </w:tc>
        <w:tc>
          <w:tcPr>
            <w:tcW w:type="dxa" w:w="1440"/>
            <w:shd w:fill="FAFAFA" w:val="clear"/>
          </w:tcPr>
          <w:p>
            <w:r>
              <w:rPr>
                <w:b/>
                <w:sz w:val="17"/>
              </w:rPr>
              <w:t>1,884</w:t>
            </w:r>
          </w:p>
        </w:tc>
        <w:tc>
          <w:tcPr>
            <w:tcW w:type="dxa" w:w="1440"/>
            <w:shd w:fill="FAFAFA" w:val="clear"/>
          </w:tcPr>
          <w:p>
            <w:r>
              <w:rPr>
                <w:sz w:val="17"/>
              </w:rPr>
              <w:t>2,054</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1,676</w:t>
            </w:r>
          </w:p>
        </w:tc>
        <w:tc>
          <w:tcPr>
            <w:tcW w:type="dxa" w:w="1440"/>
            <w:shd w:fill="FAFAFA" w:val="clear"/>
          </w:tcPr>
          <w:p>
            <w:r>
              <w:rPr>
                <w:b/>
                <w:sz w:val="17"/>
              </w:rPr>
              <w:t>1,884</w:t>
            </w:r>
          </w:p>
        </w:tc>
        <w:tc>
          <w:tcPr>
            <w:tcW w:type="dxa" w:w="1440"/>
            <w:shd w:fill="FAFAFA" w:val="clear"/>
          </w:tcPr>
          <w:p>
            <w:r>
              <w:rPr>
                <w:sz w:val="17"/>
              </w:rPr>
              <w:t>2,092</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1,643</w:t>
            </w:r>
          </w:p>
        </w:tc>
        <w:tc>
          <w:tcPr>
            <w:tcW w:type="dxa" w:w="1440"/>
            <w:shd w:fill="FAFAFA" w:val="clear"/>
          </w:tcPr>
          <w:p>
            <w:r>
              <w:rPr>
                <w:b/>
                <w:sz w:val="17"/>
              </w:rPr>
              <w:t>1,884</w:t>
            </w:r>
          </w:p>
        </w:tc>
        <w:tc>
          <w:tcPr>
            <w:tcW w:type="dxa" w:w="1440"/>
            <w:shd w:fill="FAFAFA" w:val="clear"/>
          </w:tcPr>
          <w:p>
            <w:r>
              <w:rPr>
                <w:sz w:val="17"/>
              </w:rPr>
              <w:t>2,124</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1,614</w:t>
            </w:r>
          </w:p>
        </w:tc>
        <w:tc>
          <w:tcPr>
            <w:tcW w:type="dxa" w:w="1440"/>
            <w:shd w:fill="FAFAFA" w:val="clear"/>
          </w:tcPr>
          <w:p>
            <w:r>
              <w:rPr>
                <w:b/>
                <w:sz w:val="17"/>
              </w:rPr>
              <w:t>1,882</w:t>
            </w:r>
          </w:p>
        </w:tc>
        <w:tc>
          <w:tcPr>
            <w:tcW w:type="dxa" w:w="1440"/>
            <w:shd w:fill="FAFAFA" w:val="clear"/>
          </w:tcPr>
          <w:p>
            <w:r>
              <w:rPr>
                <w:sz w:val="17"/>
              </w:rPr>
              <w:t>2,151</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1,587</w:t>
            </w:r>
          </w:p>
        </w:tc>
        <w:tc>
          <w:tcPr>
            <w:tcW w:type="dxa" w:w="1440"/>
            <w:shd w:fill="FAFAFA" w:val="clear"/>
          </w:tcPr>
          <w:p>
            <w:r>
              <w:rPr>
                <w:b/>
                <w:sz w:val="17"/>
              </w:rPr>
              <w:t>1,881</w:t>
            </w:r>
          </w:p>
        </w:tc>
        <w:tc>
          <w:tcPr>
            <w:tcW w:type="dxa" w:w="1440"/>
            <w:shd w:fill="FAFAFA" w:val="clear"/>
          </w:tcPr>
          <w:p>
            <w:r>
              <w:rPr>
                <w:sz w:val="17"/>
              </w:rPr>
              <w:t>2,174</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1,562</w:t>
            </w:r>
          </w:p>
        </w:tc>
        <w:tc>
          <w:tcPr>
            <w:tcW w:type="dxa" w:w="1440"/>
            <w:shd w:fill="FAFAFA" w:val="clear"/>
          </w:tcPr>
          <w:p>
            <w:r>
              <w:rPr>
                <w:b/>
                <w:sz w:val="17"/>
              </w:rPr>
              <w:t>1,879</w:t>
            </w:r>
          </w:p>
        </w:tc>
        <w:tc>
          <w:tcPr>
            <w:tcW w:type="dxa" w:w="1440"/>
            <w:shd w:fill="FAFAFA" w:val="clear"/>
          </w:tcPr>
          <w:p>
            <w:r>
              <w:rPr>
                <w:sz w:val="17"/>
              </w:rPr>
              <w:t>2,196</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1,539</w:t>
            </w:r>
          </w:p>
        </w:tc>
        <w:tc>
          <w:tcPr>
            <w:tcW w:type="dxa" w:w="1440"/>
            <w:shd w:fill="FAFAFA" w:val="clear"/>
          </w:tcPr>
          <w:p>
            <w:r>
              <w:rPr>
                <w:b/>
                <w:sz w:val="17"/>
              </w:rPr>
              <w:t>1,877</w:t>
            </w:r>
          </w:p>
        </w:tc>
        <w:tc>
          <w:tcPr>
            <w:tcW w:type="dxa" w:w="1440"/>
            <w:shd w:fill="FAFAFA" w:val="clear"/>
          </w:tcPr>
          <w:p>
            <w:r>
              <w:rPr>
                <w:sz w:val="17"/>
              </w:rPr>
              <w:t>2,216</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1,517</w:t>
            </w:r>
          </w:p>
        </w:tc>
        <w:tc>
          <w:tcPr>
            <w:tcW w:type="dxa" w:w="1440"/>
            <w:shd w:fill="FAFAFA" w:val="clear"/>
          </w:tcPr>
          <w:p>
            <w:r>
              <w:rPr>
                <w:b/>
                <w:sz w:val="17"/>
              </w:rPr>
              <w:t>1,876</w:t>
            </w:r>
          </w:p>
        </w:tc>
        <w:tc>
          <w:tcPr>
            <w:tcW w:type="dxa" w:w="1440"/>
            <w:shd w:fill="FAFAFA" w:val="clear"/>
          </w:tcPr>
          <w:p>
            <w:r>
              <w:rPr>
                <w:sz w:val="17"/>
              </w:rPr>
              <w:t>2,234</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1,496</w:t>
            </w:r>
          </w:p>
        </w:tc>
        <w:tc>
          <w:tcPr>
            <w:tcW w:type="dxa" w:w="1440"/>
            <w:shd w:fill="FAFAFA" w:val="clear"/>
          </w:tcPr>
          <w:p>
            <w:r>
              <w:rPr>
                <w:b/>
                <w:sz w:val="17"/>
              </w:rPr>
              <w:t>1,874</w:t>
            </w:r>
          </w:p>
        </w:tc>
        <w:tc>
          <w:tcPr>
            <w:tcW w:type="dxa" w:w="1440"/>
            <w:shd w:fill="FAFAFA" w:val="clear"/>
          </w:tcPr>
          <w:p>
            <w:r>
              <w:rPr>
                <w:sz w:val="17"/>
              </w:rPr>
              <w:t>2,252</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RAPPORT D'ANALYSE FINANCIÈRE — BNBC (BERNABÉ CÔTE D'IVOIRE)</w:t>
        <w:br/>
        <w:t>**Bourse Régionale des Valeurs Mobilières (BRVM) — Secteur : Entreprise non bancaire (Distribution / Matériaux / Équipement)**</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**12,59 milliards FCFA**, un niveau modeste à l'échelle de la BRVM qui la classe parmi les petites capitalisations du marché régional. Le BPA ressort à **3 FCFA/action**, un niveau symbolique qui traduit une rentabilité quasi nulle par titre. Mécaniquement, le **PER explose à 563,9x**, très loin du PER moyen BRVM (~8-12x) : les investisseurs paient donc extrêmement cher chaque franc de bénéfice, ce qui signale soit une anticipation de forte croissance future, soit une anomalie de valorisation à surveiller de près. À l'inverse, le **P/B de 0,71x** indique que le marché valorise la société **en dessous de sa valeur comptable** (capitaux propres de 17,77 Mds FCFA), ce qui constitue théoriquement une opportunité potentielle mais peut aussi refléter la défiance vis-à-vis de la qualité des actifs. Enfin, l'**EV/EBITDA de 23,9x** (&gt;15x) traduit une valorisation très exigeante au regard de la capacité opérationnelle réelle de l'entreprise, ce qui contraste fortement avec la faiblesse des bénéfices nets.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BNBC affiche une **progression spectaculaire de +46,15%**, avec une dernière séance en hausse de **+1,33%**, portant le cours actuel à **1 900 FCFA**. Le range de trading est particulièrement large, entre un plus bas de **1 300 FCFA** et un plus haut de **2 400 FCFA**, soit une amplitude de plus de 84% qui témoigne d'une forte nervosité du marché sur ce titre. La tendance générale est donc nettement **haussière sur la période**, mais le cours actuel (1 900 FCFA) se situe en retrait du plus haut, suggérant une phase de consolidation après le rallye. Les statistiques descriptives révèlent une **moyenne de 1 907 FCFA** légèrement inférieure à la **médiane de 1 962 FCFA** et au **mode de 1 990 FCFA**, ce qui indique une distribution légèrement asymétrique à gauche, confirmée par le **skewness de -0,485** (distribution symétrique avec une queue gauche plus marquée, donc quelques séances de baisse plus prononcées). L'**écart-type de 213 FCFA** avec un **CV de 11,2%** traduit une dispersion modérée du cours autour de sa moyenne, tandis que le **kurtosis de 0,254** (mésokurtique) indique un risque de pics de volatilité proche d'une distribution normale, sans excès de valeurs extrêmes. Enfin, la **volatilité annualisée de 53,2%** positionne clairement BNBC comme un titre à **volatilité élevée** (&gt;30%), ce qui implique un risque de perte en capital significatif et un profil adapté aux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**2 045,75 FCFA** et la MM50 à **2 032,60 FCFA**, toutes deux **nettement supérieures au cours actuel de 1 900 FCFA**. Cette configuration (cours sous les deux moyennes) est théoriquement baissière à court terme, mais la décision fournie est "Achat", probablement car la MM20 reste au-dessus de la MM50 (croisement haussier de fond) et que le cours pourrait revenir tester ces niveaux comme supports dynamiques.</w:t>
      </w:r>
    </w:p>
    <w:p>
      <w:pPr>
        <w:spacing w:after="120" w:line="276" w:lineRule="auto"/>
      </w:pPr>
      <w:r>
        <w:t>**Bandes de Bollinger :** La borne supérieure se situe à **2 296,73 FCFA** et la borne inférieure à **1 794,77 FCFA**, avec un cours actuel de **1 900 FCFA** positionné dans la moitié basse du canal. La décision est "Neutre" : le titre n'est ni en surachat ni en survente, et la largeur des bandes (environ 500 FCFA) confirme la volatilité élevée déjà relevée.</w:t>
      </w:r>
    </w:p>
    <w:p>
      <w:pPr>
        <w:spacing w:after="120" w:line="276" w:lineRule="auto"/>
      </w:pPr>
      <w:r>
        <w:t>**MACD :** La valeur du MACD est de **-45,946** contre un signal à **-24,223**, soit un MACD **sous son signal** (divergence baissière). Le momentum est donc clairement négatif à court terme, ce qui justifie la décision "Vente" et suggère que la pression baissière pourrait persister avant un éventuel retournement.</w:t>
      </w:r>
    </w:p>
    <w:p>
      <w:pPr>
        <w:spacing w:after="120" w:line="276" w:lineRule="auto"/>
      </w:pPr>
      <w:r>
        <w:t>**RSI :** À **36,095**, le RSI se situe dans la zone neutre basse (30-70), sans atteindre la zone de survente (&lt;30). La décision "Neutre" est cohérente : le titre n'est pas encore survendu, mais la faiblesse relative du RSI indique que les vendeurs gardent la main.</w:t>
      </w:r>
    </w:p>
    <w:p>
      <w:pPr>
        <w:spacing w:after="120" w:line="276" w:lineRule="auto"/>
      </w:pPr>
      <w:r>
        <w:t>**Stochastique :** Le %K est à **5,952** et le %D à **10,215**, des niveaux **extrêmement bas** (proches de 0) qui signalent une **survente marquée**. La décision "Achat" s'explique par le fait que le %K est sous le %D (croisement potentiel à venir) et que ces niveaux bas précèdent souvent un rebond technique.</w:t>
      </w:r>
    </w:p>
    <w:p>
      <w:pPr>
        <w:spacing w:after="120" w:line="276" w:lineRule="auto"/>
      </w:pPr>
      <w:r>
        <w:t>**Conclusion technique :** Les indicateurs sont **divergents** : le MACD est baissier, les moyennes mobiles sont au-dessus du cours, mais le stochastique est en survente extrême et le RSI approche la zone de survente, ce qui plaide pour un **rebond technique à court terme**. La configuration globale est celle d'un titre en consolidation après un fort rallye, avec un potentiel de rebond mais une tendance de fond encore fragile.</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BNBC a réalisé un **chiffre d'affaires de 42,454 Mds FCFA**, en **recul de -6,31%** par rapport à 2024 (45,312 Mds FCFA), confirmant une contraction de l'activité. Le **résultat net s'établit à 22,318 M FCFA**, en amélioration par rapport aux 7,313 M FCFA de 2024, mais la **marge nette reste quasi nulle à 0,0526%** et le **ROE à 0,1256%** (très loin du seuil de 15% considéré comme excellent), tandis que le **ROA est de 0,0454%**. La structure financière est préoccupante : **trésorerie nette de -16,689 Mds FCFA**, **BFR de 29,373 Mds FCFA** (positif, donc défavorable pour une entreprise), **délai client de 104,40 jours** (élevé, risque de trésorerie) et **durée de stockage de 339,23 jours** (immobilisation massive de capital). L'**autonomie financière de 36,16%** reste correcte (&gt;30%), mais le **ratio d'endettement de 105,48%** et la **capacité de remboursement de 19,17 années** (dettes financières/CAF) traduisent une dépendance excessive aux financements externes.</w:t>
      </w:r>
    </w:p>
    <w:p>
      <w:pPr>
        <w:spacing w:after="120" w:line="276" w:lineRule="auto"/>
      </w:pPr>
      <w:r>
        <w:t>**Estimations basées sur les rapports trimestriels :** Le **rapport T1 2026 (publié le 31/03/2026)** fait état d'un chiffre d'affaires stable à **11,194 Mds FCFA** (-0,12% vs T1 2025) et d'un **résultat net positif de 65,566 M FCFA** contre une perte de -16,147 M FCFA un an plus tôt, soit une amélioration spectaculaire de +81,7 M FCFA. Toutefois, cette performance est **impactée par l'intégration de la division Équipement** (en phase de montée en puissance) et par la **non-reconduction d'affaires exceptionnelles** de 2025. Le **rapport du 3e trimestre 2025 (30/09/2025)** indiquait une perte nette cumulée de -157,03 M FCFA, avec un CA de 31,83 Mds FCFA (-3% sur 9 mois) et un T3 en repli de -13%, tandis que le **rapport S1 2025 (30/06/2025)** affichait une perte de -139,57 M FCFA pour un CA de 21,67 Mds FCFA (+3%). On estime donc que **l'exercice 2026 devrait bénéficier d'un effet de base favorable** (retour à la rentabilité dès le T1) et de la montée en puissance des nouvelles divisions, mais la **trésorerie négative chronique** et la **faiblesse structurelle des marges** restent des risques majeurs. La recommandation fondamentale est donc **prudente** : la société présente une **solidité bilancielle relative** (capitaux propres de 17,77 Mds FCFA) mais une **rentabilité anémique** et des **risques de liquidité élevés**, ce qui en fait un investissement spéculatif plutôt qu'un placement de fond.</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très contrasté**. Sur le plan de la **valorisation (Partie 0)**, le PER de 563,9x signale une **surévaluation manifeste** au regard des bénéfices, bien que le P/B de 0,71x suggère une décote sur la valeur comptable — un signal contradictoire qui traduit la défiance du marché envers la qualité des actifs. Le **comportement du cours (Partie 1)** est haussier sur 100 jours (+46,15%) mais avec une **volatilité élevée (53,2%)** et une distribution légèrement asymétrique à gauche (skewness -0,485), ce qui implique un risque de correction. Les **signaux techniques (Partie 2)** sont **divergents** : MACD baissier et cours sous les moyennes mobiles, mais stochastique en survente extrême (%K=5,95) et RSI proche de la survente (36,1), plaidant pour un **rebond technique à court terme**. Les **fondamentaux (Partie 3)** montrent une **amélioration du résultat net en 2025** (22,3 M FCFA vs 7,3 M FCFA) et un **retour à la rentabilité au T1 2026** (65,6 M FCFA), mais la **trésorerie nette de -16,7 Mds FCFA**, la **marge nette de 0,05%** et le **ROE de 0,13%** demeurent des faiblesses structurelles majeures. Les **prédictions IA (J+1 à J+10)** anticipent une **légère baisse** du cours (1 884 → 1 881 FCFA), ce qui **contredit** le rebond technique attendu par le stochastique mais **confirme** la pression baissière du MACD.</w:t>
      </w:r>
    </w:p>
    <w:p>
      <w:pPr>
        <w:spacing w:after="120" w:line="276" w:lineRule="auto"/>
      </w:pPr>
      <w:r>
        <w:t>**Recommandation finale : CONSERVER (avec surveillance renforcée).** La convergence des signaux est **mitigée** : la valorisation est excessive (PER), le technique est baissier à court terme (MACD, MM) mais survendu (stochastique), et les fondamentaux s'améliorent lentement sans résoudre les problèmes de trésorerie. Les prédictions IA confirment une **stabilisation autour de 1 880-1 885 FCFA**, ce qui ne justifie ni un achat agressif ni une vente panique. Le **niveau de confiance est Moyen** (les signaux sont contradictoires) et le **risque global est Élevé** (volatilité de 53,2%, trésorerie négative, rentabilité fragile). L'**horizon d'investissement optimal est le moyen terme (3-12 mois)**, en attendant la confirmation de la montée en puissance des divisions Équipement et Power et l'amélioration durable de la génération de cash-flows opérationnels. Une position **VENTE** serait justifiée si le cours venait à casser le support de 1 794 FCFA (borne inférieure de Bollinger) ou si les résultats du T2 2026 décevaient les attentes.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380.67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5,731 titres</w:t>
            </w:r>
          </w:p>
        </w:tc>
        <w:tc>
          <w:tcPr>
            <w:tcW w:type="dxa" w:w="2268"/>
            <w:shd w:fill="FFF2CC" w:val="clear"/>
          </w:tcPr>
          <w:p>
            <w:r>
              <w:rPr>
                <w:b/>
                <w:color w:val="503200"/>
                <w:sz w:val="16"/>
              </w:rPr>
              <w:t xml:space="preserve">Cours actuel : </w:t>
            </w:r>
            <w:r>
              <w:rPr>
                <w:color w:val="000000"/>
                <w:sz w:val="17"/>
              </w:rPr>
              <w:t>9,385 FCFA</w:t>
            </w:r>
          </w:p>
          <w:p>
            <w:r>
              <w:rPr>
                <w:b/>
                <w:color w:val="503200"/>
                <w:sz w:val="16"/>
              </w:rPr>
              <w:t xml:space="preserve">Var. 100 jours : </w:t>
            </w:r>
            <w:r>
              <w:rPr>
                <w:b/>
                <w:color w:val="B40000"/>
                <w:sz w:val="17"/>
              </w:rPr>
              <w:t>-0.16%</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6.04% (Moyenne) — μ=9,176 FCFA, σ=554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β=0.5661 (Défensif) — Cov=0.000038, Var(idx)=0.000068, ρ=0.257,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8,790</w:t>
            </w:r>
          </w:p>
        </w:tc>
        <w:tc>
          <w:tcPr>
            <w:tcW w:type="dxa" w:w="1440"/>
            <w:shd w:fill="FAFAFA" w:val="clear"/>
          </w:tcPr>
          <w:p>
            <w:r>
              <w:rPr>
                <w:b/>
                <w:sz w:val="17"/>
              </w:rPr>
              <w:t>9,322</w:t>
            </w:r>
          </w:p>
        </w:tc>
        <w:tc>
          <w:tcPr>
            <w:tcW w:type="dxa" w:w="1440"/>
            <w:shd w:fill="FAFAFA" w:val="clear"/>
          </w:tcPr>
          <w:p>
            <w:r>
              <w:rPr>
                <w:sz w:val="17"/>
              </w:rPr>
              <w:t>9,854</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8,646</w:t>
            </w:r>
          </w:p>
        </w:tc>
        <w:tc>
          <w:tcPr>
            <w:tcW w:type="dxa" w:w="1440"/>
            <w:shd w:fill="FAFAFA" w:val="clear"/>
          </w:tcPr>
          <w:p>
            <w:r>
              <w:rPr>
                <w:b/>
                <w:sz w:val="17"/>
              </w:rPr>
              <w:t>9,296</w:t>
            </w:r>
          </w:p>
        </w:tc>
        <w:tc>
          <w:tcPr>
            <w:tcW w:type="dxa" w:w="1440"/>
            <w:shd w:fill="FAFAFA" w:val="clear"/>
          </w:tcPr>
          <w:p>
            <w:r>
              <w:rPr>
                <w:sz w:val="17"/>
              </w:rPr>
              <w:t>9,946</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8,526</w:t>
            </w:r>
          </w:p>
        </w:tc>
        <w:tc>
          <w:tcPr>
            <w:tcW w:type="dxa" w:w="1440"/>
            <w:shd w:fill="FAFAFA" w:val="clear"/>
          </w:tcPr>
          <w:p>
            <w:r>
              <w:rPr>
                <w:b/>
                <w:sz w:val="17"/>
              </w:rPr>
              <w:t>9,274</w:t>
            </w:r>
          </w:p>
        </w:tc>
        <w:tc>
          <w:tcPr>
            <w:tcW w:type="dxa" w:w="1440"/>
            <w:shd w:fill="FAFAFA" w:val="clear"/>
          </w:tcPr>
          <w:p>
            <w:r>
              <w:rPr>
                <w:sz w:val="17"/>
              </w:rPr>
              <w:t>10,023</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8,418</w:t>
            </w:r>
          </w:p>
        </w:tc>
        <w:tc>
          <w:tcPr>
            <w:tcW w:type="dxa" w:w="1440"/>
            <w:shd w:fill="FAFAFA" w:val="clear"/>
          </w:tcPr>
          <w:p>
            <w:r>
              <w:rPr>
                <w:b/>
                <w:sz w:val="17"/>
              </w:rPr>
              <w:t>9,253</w:t>
            </w:r>
          </w:p>
        </w:tc>
        <w:tc>
          <w:tcPr>
            <w:tcW w:type="dxa" w:w="1440"/>
            <w:shd w:fill="FAFAFA" w:val="clear"/>
          </w:tcPr>
          <w:p>
            <w:r>
              <w:rPr>
                <w:sz w:val="17"/>
              </w:rPr>
              <w:t>10,088</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8,320</w:t>
            </w:r>
          </w:p>
        </w:tc>
        <w:tc>
          <w:tcPr>
            <w:tcW w:type="dxa" w:w="1440"/>
            <w:shd w:fill="FAFAFA" w:val="clear"/>
          </w:tcPr>
          <w:p>
            <w:r>
              <w:rPr>
                <w:b/>
                <w:sz w:val="17"/>
              </w:rPr>
              <w:t>9,233</w:t>
            </w:r>
          </w:p>
        </w:tc>
        <w:tc>
          <w:tcPr>
            <w:tcW w:type="dxa" w:w="1440"/>
            <w:shd w:fill="FAFAFA" w:val="clear"/>
          </w:tcPr>
          <w:p>
            <w:r>
              <w:rPr>
                <w:sz w:val="17"/>
              </w:rPr>
              <w:t>10,146</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8,230</w:t>
            </w:r>
          </w:p>
        </w:tc>
        <w:tc>
          <w:tcPr>
            <w:tcW w:type="dxa" w:w="1440"/>
            <w:shd w:fill="FAFAFA" w:val="clear"/>
          </w:tcPr>
          <w:p>
            <w:r>
              <w:rPr>
                <w:b/>
                <w:sz w:val="17"/>
              </w:rPr>
              <w:t>9,214</w:t>
            </w:r>
          </w:p>
        </w:tc>
        <w:tc>
          <w:tcPr>
            <w:tcW w:type="dxa" w:w="1440"/>
            <w:shd w:fill="FAFAFA" w:val="clear"/>
          </w:tcPr>
          <w:p>
            <w:r>
              <w:rPr>
                <w:sz w:val="17"/>
              </w:rPr>
              <w:t>10,198</w:t>
            </w:r>
          </w:p>
        </w:tc>
        <w:tc>
          <w:tcPr>
            <w:tcW w:type="dxa" w:w="1440"/>
            <w:shd w:fill="FAFAFA" w:val="clear"/>
          </w:tcPr>
          <w:p>
            <w:r>
              <w:rPr>
                <w:b/>
                <w:color w:val="C00000"/>
                <w:sz w:val="17"/>
              </w:rPr>
              <w:t>-1.8%</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8,146</w:t>
            </w:r>
          </w:p>
        </w:tc>
        <w:tc>
          <w:tcPr>
            <w:tcW w:type="dxa" w:w="1440"/>
            <w:shd w:fill="FFDCE0" w:val="clear"/>
          </w:tcPr>
          <w:p>
            <w:r>
              <w:rPr>
                <w:b/>
                <w:sz w:val="17"/>
              </w:rPr>
              <w:t>9,196</w:t>
            </w:r>
          </w:p>
        </w:tc>
        <w:tc>
          <w:tcPr>
            <w:tcW w:type="dxa" w:w="1440"/>
            <w:shd w:fill="FFDCE0" w:val="clear"/>
          </w:tcPr>
          <w:p>
            <w:r>
              <w:rPr>
                <w:sz w:val="17"/>
              </w:rPr>
              <w:t>10,245</w:t>
            </w:r>
          </w:p>
        </w:tc>
        <w:tc>
          <w:tcPr>
            <w:tcW w:type="dxa" w:w="1440"/>
            <w:shd w:fill="FFDCE0"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8,067</w:t>
            </w:r>
          </w:p>
        </w:tc>
        <w:tc>
          <w:tcPr>
            <w:tcW w:type="dxa" w:w="1440"/>
            <w:shd w:fill="FFDCE0" w:val="clear"/>
          </w:tcPr>
          <w:p>
            <w:r>
              <w:rPr>
                <w:b/>
                <w:sz w:val="17"/>
              </w:rPr>
              <w:t>9,178</w:t>
            </w:r>
          </w:p>
        </w:tc>
        <w:tc>
          <w:tcPr>
            <w:tcW w:type="dxa" w:w="1440"/>
            <w:shd w:fill="FFDCE0" w:val="clear"/>
          </w:tcPr>
          <w:p>
            <w:r>
              <w:rPr>
                <w:sz w:val="17"/>
              </w:rPr>
              <w:t>10,290</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7,993</w:t>
            </w:r>
          </w:p>
        </w:tc>
        <w:tc>
          <w:tcPr>
            <w:tcW w:type="dxa" w:w="1440"/>
            <w:shd w:fill="FFDCE0" w:val="clear"/>
          </w:tcPr>
          <w:p>
            <w:r>
              <w:rPr>
                <w:b/>
                <w:sz w:val="17"/>
              </w:rPr>
              <w:t>9,162</w:t>
            </w:r>
          </w:p>
        </w:tc>
        <w:tc>
          <w:tcPr>
            <w:tcW w:type="dxa" w:w="1440"/>
            <w:shd w:fill="FFDCE0" w:val="clear"/>
          </w:tcPr>
          <w:p>
            <w:r>
              <w:rPr>
                <w:sz w:val="17"/>
              </w:rPr>
              <w:t>10,331</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380,67 milliards FCFA, BOAB s'impose comme l'une des valeurs bancaires de référence de la cote BRVM, témoignant d'une liquidité et d'une profondeur de marché appréciables pour la zone UEMOA. Le BPA de 496 FCFA/action signifie que chaque titre génère près de 500 FCFA de bénéfice net, un niveau de rentabilité par action solide. Le PER de 18,9x se situe nettement au-dessus de la moyenne BRVM (~8-12x), ce qui indique que le marché consent une prime de qualité à la banque, mais suggère aussi une valorisation déjà exigeante. Le P/B de 3,24x confirme cette lecture : les investisseurs paient plus de trois fois la valeur comptable des fonds propres, soit une prime de croissance significative. Enfin, l'EV/EBITDA de 19,5x (&gt;15x) traduit une valorisation tendue au regard de la capacité opérationnelle,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BOAB affiche une variation quasi nulle de -0,16%, mais la dernière séance a été marquée par une chute brutale de -3,74%, signe d'une pression vendeuse récente. Le titre a évolué dans un range de 8 520 FCFA (plus bas) à 10 350 FCFA (plus haut), soit une amplitude de trading de près de 21%, reflétant une certaine nervosité malgré la stabilité globale. La tendance générale apparaît donc latérale, avec une légère érosion en fin de période. Les statistiques descriptives révèlent une moyenne (9 176 FCFA) supérieure à la médiane (8 950 FCFA) et au mode (8 700 FCFA), confirmant une asymétrie positive (skewness de 0,922) : le cours a passé plus de journées sous sa moyenne, avec quelques pics haussiers isolés. L'écart-type de 557 FCFA (CV de 6,1%) indique une dispersion modérée, tandis que le kurtosis de -0,564 (mésokurtique) suggère une distribution proche de la normale, sans risque excessif de pics extrêmes. La volatilité annualisée de 28,7% positionne le titre dans la catégorie modérée (15-30%), cohérente avec un profil bancaire stable mais sensible aux annonces de résultats.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(9 728,5 FCFA) et la MM50 (9 406,7 FCFA) se situent toutes deux au-dessus du cours actuel (9 385 FCFA), ce qui place le titre sous ses moyennes court et moyen terme. La MM20 &gt; MM50 indique une configuration haussière de fond, mais le prix sous les deux moyennes génère un signal de décision "Achat" sur la base d'un potentiel de rebond vers ces niveaux de référence.</w:t>
      </w:r>
    </w:p>
    <w:p>
      <w:pPr>
        <w:spacing w:after="120" w:line="276" w:lineRule="auto"/>
      </w:pPr>
      <w:r>
        <w:t>**Bandes de Bollinger** : Le cours (9 385 FCFA) évolue dans la partie basse de la bande, proche de la borne inférieure (8 700,83 FCFA) et loin de la borne supérieure (10 756,17 FCFA). Cette position suggère une pression baissière récente, mais la décision "Neutre" indique que le titre n'est ni en surachat ni en survente, avec une volatilité contenue dans les bandes.</w:t>
      </w:r>
    </w:p>
    <w:p>
      <w:pPr>
        <w:spacing w:after="120" w:line="276" w:lineRule="auto"/>
      </w:pPr>
      <w:r>
        <w:t>**MACD** : La valeur du MACD (-94,972) est inférieure à son signal (-38,116), générant une décision "Vente". Cette divergence négative traduit un momentum baissier persistant, avec la ligne MACD qui s'enfonce sous sa ligne de signal, confirmant la pression vendeuse observée lors de la dernière séance.</w:t>
      </w:r>
    </w:p>
    <w:p>
      <w:pPr>
        <w:spacing w:after="120" w:line="276" w:lineRule="auto"/>
      </w:pPr>
      <w:r>
        <w:t>**RSI** : À 38,221, le RSI se situe dans la zone neutre basse (30-70), sans atteindre la survente (&lt;30). La décision "Neutre" reflète un équilibre précaire, le titre n'étant pas encore suffisamment survendu pour envisager un rebond technique immédiat, mais la proximité de la zone de survente appelle à la vigilance.</w:t>
      </w:r>
    </w:p>
    <w:p>
      <w:pPr>
        <w:spacing w:after="120" w:line="276" w:lineRule="auto"/>
      </w:pPr>
      <w:r>
        <w:t>**Stochastique** : Le %K (42,199) est inférieur au %D (51,182), avec un croisement baissier en cours. La décision "Neutre" masque une dynamique négative, le %K sous le %D indiquant que la pression vendeuse pourrait se poursuivre à court terme avant un éventuel retournement.</w:t>
      </w:r>
    </w:p>
    <w:p>
      <w:pPr>
        <w:spacing w:after="120" w:line="276" w:lineRule="auto"/>
      </w:pPr>
      <w:r>
        <w:t>**Conclusion technique** : Les indicateurs techniques présentent un tableau mitigé, avec une majorité de signaux neutres (Bollinger, RSI, Stochastique) et un signal baissier clair sur le MACD, tandis que les moyennes mobiles suggèrent un potentiel d'achat sur repli. La divergence entre le signal "Achat" des MM et le "Vente" du MACD traduit une phase d'incertitude, le titre évoluant sous ses moyennes mais dans une zone de valorisation technique qui pourrait attirer des acheteurs à contre-tendance. La prudence reste de mise tant que le cours ne repasse pas au-dessus de la MM20 (9 728,5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brossent le portrait d'une banque solide et rentable : le Produit Net Bancaire (PNB) s'établit à 51,274 milliards FCFA, en croissance de 10,2% sur un an, tandis que le résultat net atteint 20,107 milliards FCFA, soit une marge nette remarquable de 39,2%. Le ROE de 17,1% (&gt;15%) confirme une excellente rentabilité des fonds propres, et le ROA de 2,08% témoigne d'une utilisation efficace de l'actif. Le coefficient d'exploitation de 49,5% (&lt;50%) classe BOAB parmi les banques les plus efficaces de la zone, avec des charges maîtrisées. Cependant, le coût du risque rapporté aux charges financières s'élève à 22,5%, un niveau élevé qui signale une exposition significative au risque de crédit, à surveiller. La structure financière reste solide avec une autonomie financière de 12,2% et une solvabilité générale de 113,9%, mais le ratio d'endettement de 98,8% et la dépendance financière de 87,8% rappellent la nature intrinsèquement endettée du modèle bancaire. Les dépôts clientèle (711,6 milliards FCFA) couvrent largement les créances clientèle (391,7 milliards FCFA), avec un ratio de transformation de 55%, indiquant une surliquidité relative. Les rapports trimestriels récents confirment la dynamique : le T1 2026 (rapport du 31 mars 2026) affiche un PNB de 12,329 milliards FCFA (+11%) et un résultat net de 4,502 milliards FCFA (+1%), avec des dépôts en hausse de 3,5% à 753,7 milliards FCFA. Le T3 2025 (rapport du 30 septembre 2025) montrait déjà un PNB de 37,065 milliards FCFA (+9%) et un résultat net de 15,880 milliards FCFA (+13%), malgré une contraction des crédits (-10%) et des dépôts (-5%). Sur la base de ces tendances, on estime que l'exercice 2026 devrait enregistrer un PNB annuel autour de 55-57 milliards FCFA et un résultat net de 21-22 milliards FCFA, soit une croissance modérée de 5-8%. La recommandation fondamentale est de **conserver** le titre : la banque est solide, rentable et bien gérée, mais la valorisation boursière intègre déjà ces qualités, limitant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exigeante : PER de 18,9x, P/B de 3,24x et EV/EBITDA de 19,5x traduisent une prime de qualité déjà bien ancrée dans les cours, laissant peu de marge de sécurité. Le comportement du cours (Partie 1) est préoccupant à court terme : la chute de -3,74% en J-1, l'asymétrie positive (skewness de 0,922) et la position sous les moyennes mobiles suggèrent une pression vendeuse persistante, bien que la volatilité modérée (28,7%) et le kurtosis mésokurtique (-0,564) limitent le risque de mouvements extrêmes. Les signaux techniques (Partie 2) sont majoritairement neutres à baissiers, avec un MACD en zone de vente et un stochastique baissier, tandis que les moyennes mobiles offrent un signal d'achat contrariant. Les fondamentaux (Partie 3) restent le point fort : ROE de 17,1%, coefficient d'exploitation de 49,5% et croissance du PNB de 10,2% en 2025, avec des estimations 2026 positives mais modérées. Les prédictions IA (J+1 à J+10) anticipent une poursuite de la baisse jusqu'à 9 233 FCFA le 9 octobre 2026, confirmant la pression baissière de court terme. Sur cette base, la recommandation finale est **CONSERVER**, avec un niveau de confiance **Moyen** et un risque global **Moyen**. La convergence entre la valorisation tendue, les signaux techniques baissiers et les prédictions négatives à court terme plaide contre un achat immédiat, mais la solidité fondamentale et la qualité de la gestion justifient de ne pas vendre. L'horizon d'investissement optimal est le **moyen terme (3-12 mois)**, en attendant une correction plus prononcée ou une confirmation de rebond technique pour envisager un renforcement.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6,415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+48.15%</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18.03% (Élevée) — μ=6,840 FCFA, σ=1,234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β=0.7511 (Défensif) — Cov=0.000051, Var(idx)=0.000068, ρ=0.274,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7,375</w:t>
            </w:r>
          </w:p>
        </w:tc>
        <w:tc>
          <w:tcPr>
            <w:tcW w:type="dxa" w:w="1440"/>
            <w:shd w:fill="FAFAFA" w:val="clear"/>
          </w:tcPr>
          <w:p>
            <w:r>
              <w:rPr>
                <w:b/>
                <w:sz w:val="17"/>
              </w:rPr>
              <w:t>7,935</w:t>
            </w:r>
          </w:p>
        </w:tc>
        <w:tc>
          <w:tcPr>
            <w:tcW w:type="dxa" w:w="1440"/>
            <w:shd w:fill="FAFAFA" w:val="clear"/>
          </w:tcPr>
          <w:p>
            <w:r>
              <w:rPr>
                <w:sz w:val="17"/>
              </w:rPr>
              <w:t>8,495</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7,232</w:t>
            </w:r>
          </w:p>
        </w:tc>
        <w:tc>
          <w:tcPr>
            <w:tcW w:type="dxa" w:w="1440"/>
            <w:shd w:fill="FAFAFA" w:val="clear"/>
          </w:tcPr>
          <w:p>
            <w:r>
              <w:rPr>
                <w:b/>
                <w:sz w:val="17"/>
              </w:rPr>
              <w:t>7,916</w:t>
            </w:r>
          </w:p>
        </w:tc>
        <w:tc>
          <w:tcPr>
            <w:tcW w:type="dxa" w:w="1440"/>
            <w:shd w:fill="FAFAFA" w:val="clear"/>
          </w:tcPr>
          <w:p>
            <w:r>
              <w:rPr>
                <w:sz w:val="17"/>
              </w:rPr>
              <w:t>8,601</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7,110</w:t>
            </w:r>
          </w:p>
        </w:tc>
        <w:tc>
          <w:tcPr>
            <w:tcW w:type="dxa" w:w="1440"/>
            <w:shd w:fill="FAFAFA" w:val="clear"/>
          </w:tcPr>
          <w:p>
            <w:r>
              <w:rPr>
                <w:b/>
                <w:sz w:val="17"/>
              </w:rPr>
              <w:t>7,899</w:t>
            </w:r>
          </w:p>
        </w:tc>
        <w:tc>
          <w:tcPr>
            <w:tcW w:type="dxa" w:w="1440"/>
            <w:shd w:fill="FAFAFA" w:val="clear"/>
          </w:tcPr>
          <w:p>
            <w:r>
              <w:rPr>
                <w:sz w:val="17"/>
              </w:rPr>
              <w:t>8,687</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7,001</w:t>
            </w:r>
          </w:p>
        </w:tc>
        <w:tc>
          <w:tcPr>
            <w:tcW w:type="dxa" w:w="1440"/>
            <w:shd w:fill="FAFAFA" w:val="clear"/>
          </w:tcPr>
          <w:p>
            <w:r>
              <w:rPr>
                <w:b/>
                <w:sz w:val="17"/>
              </w:rPr>
              <w:t>7,881</w:t>
            </w:r>
          </w:p>
        </w:tc>
        <w:tc>
          <w:tcPr>
            <w:tcW w:type="dxa" w:w="1440"/>
            <w:shd w:fill="FAFAFA" w:val="clear"/>
          </w:tcPr>
          <w:p>
            <w:r>
              <w:rPr>
                <w:sz w:val="17"/>
              </w:rPr>
              <w:t>8,761</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6,902</w:t>
            </w:r>
          </w:p>
        </w:tc>
        <w:tc>
          <w:tcPr>
            <w:tcW w:type="dxa" w:w="1440"/>
            <w:shd w:fill="FAFAFA" w:val="clear"/>
          </w:tcPr>
          <w:p>
            <w:r>
              <w:rPr>
                <w:b/>
                <w:sz w:val="17"/>
              </w:rPr>
              <w:t>7,863</w:t>
            </w:r>
          </w:p>
        </w:tc>
        <w:tc>
          <w:tcPr>
            <w:tcW w:type="dxa" w:w="1440"/>
            <w:shd w:fill="FAFAFA" w:val="clear"/>
          </w:tcPr>
          <w:p>
            <w:r>
              <w:rPr>
                <w:sz w:val="17"/>
              </w:rPr>
              <w:t>8,825</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6,810</w:t>
            </w:r>
          </w:p>
        </w:tc>
        <w:tc>
          <w:tcPr>
            <w:tcW w:type="dxa" w:w="1440"/>
            <w:shd w:fill="FAFAFA" w:val="clear"/>
          </w:tcPr>
          <w:p>
            <w:r>
              <w:rPr>
                <w:b/>
                <w:sz w:val="17"/>
              </w:rPr>
              <w:t>7,846</w:t>
            </w:r>
          </w:p>
        </w:tc>
        <w:tc>
          <w:tcPr>
            <w:tcW w:type="dxa" w:w="1440"/>
            <w:shd w:fill="FAFAFA" w:val="clear"/>
          </w:tcPr>
          <w:p>
            <w:r>
              <w:rPr>
                <w:sz w:val="17"/>
              </w:rPr>
              <w:t>8,882</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6,723</w:t>
            </w:r>
          </w:p>
        </w:tc>
        <w:tc>
          <w:tcPr>
            <w:tcW w:type="dxa" w:w="1440"/>
            <w:shd w:fill="FFDCE0" w:val="clear"/>
          </w:tcPr>
          <w:p>
            <w:r>
              <w:rPr>
                <w:b/>
                <w:sz w:val="17"/>
              </w:rPr>
              <w:t>7,828</w:t>
            </w:r>
          </w:p>
        </w:tc>
        <w:tc>
          <w:tcPr>
            <w:tcW w:type="dxa" w:w="1440"/>
            <w:shd w:fill="FFDCE0" w:val="clear"/>
          </w:tcPr>
          <w:p>
            <w:r>
              <w:rPr>
                <w:sz w:val="17"/>
              </w:rPr>
              <w:t>8,934</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6,642</w:t>
            </w:r>
          </w:p>
        </w:tc>
        <w:tc>
          <w:tcPr>
            <w:tcW w:type="dxa" w:w="1440"/>
            <w:shd w:fill="FFDCE0" w:val="clear"/>
          </w:tcPr>
          <w:p>
            <w:r>
              <w:rPr>
                <w:b/>
                <w:sz w:val="17"/>
              </w:rPr>
              <w:t>7,812</w:t>
            </w:r>
          </w:p>
        </w:tc>
        <w:tc>
          <w:tcPr>
            <w:tcW w:type="dxa" w:w="1440"/>
            <w:shd w:fill="FFDCE0" w:val="clear"/>
          </w:tcPr>
          <w:p>
            <w:r>
              <w:rPr>
                <w:sz w:val="17"/>
              </w:rPr>
              <w:t>8,981</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6,565</w:t>
            </w:r>
          </w:p>
        </w:tc>
        <w:tc>
          <w:tcPr>
            <w:tcW w:type="dxa" w:w="1440"/>
            <w:shd w:fill="FFDCE0" w:val="clear"/>
          </w:tcPr>
          <w:p>
            <w:r>
              <w:rPr>
                <w:b/>
                <w:sz w:val="17"/>
              </w:rPr>
              <w:t>7,795</w:t>
            </w:r>
          </w:p>
        </w:tc>
        <w:tc>
          <w:tcPr>
            <w:tcW w:type="dxa" w:w="1440"/>
            <w:shd w:fill="FFDCE0" w:val="clear"/>
          </w:tcPr>
          <w:p>
            <w:r>
              <w:rPr>
                <w:sz w:val="17"/>
              </w:rPr>
              <w:t>9,026</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352,00 Mds FCFA, BOABF se positionne parmi les valeurs bancaires de premier plan de la cote BRVM, reflétant la solidité de son bilan de 1 148,675 Mds FCFA. Le BPA de 438 FCFA/action signifie que chaque titre génère près de 438 FCFA de bénéfice net, ce qui, rapporté au cours actuel de 8 000 FCFA, donne un PER de 18,3x — nettement supérieur à la moyenne BRVM (8-12x), traduisant une prime de qualité et de leadership sectoriel. Le P/B de 2,78x indique que le marché valorise la banque à près de 2,8 fois ses fonds propres comptables (126,516 Mds FCFA), soit une prime de croissance justifiée par un ROE de 15,22% (&gt;15% = excellent). L'EV/EBITDA de 8,1x, dans la fourchette raisonnable de 5-10x, suggère que la valeur d'entreprise reste cohérente avec la capacité opérationnelle. Globalement, la valorisation est modérée à légèrement tendue, mais défendable au regard de la rentabilité et de la position de marché de l'établissement.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BOABF affiche une performance remarquable de +48,15%, portant le cours de 5 300 FCFA (plus bas) à 9 090 FCFA (plus haut), avant de se replier à 8 000 FCFA, soit une correction de -2,44% sur la dernière séance. Le range de trading de 3 790 FCFA (soit 71,5% du plus bas) témoigne d'une tendance nettement haussière, soutenue par un volume moyen quotidien de 6 415 titres, signe d'un intérêt croissant des investisseurs. La moyenne (6 840 FCFA) est inférieure à la médiane (7 100 FCFA), ce qui indique une distribution légèrement asymétrique à gauche, avec des cours récents tirant vers le haut. L'écart-type de 1 240 FCFA (CV=18,1%) traduit une dispersion modérée du cours autour de sa moyenne, tandis que le kurtosis de -1,218 (platykurtique) signale une distribution aplatie, sans pics extrêmes marqués — un profil rassurant pour la gestion du risque. Le skewness de 0,341 confirme une distribution quasi-symétrique, avec une légère inclinaison positive. La volatilité annualisée de 35,8% classe le titre dans la catégorie des valeurs à volatilité élevée (&gt;30%), ce qui est cohérent avec le contexte de forte appréciation récente et appelle à la prudence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(8 309,75 FCFA) et la MM50 (7 904,50 FCFA) encadrent le cours actuel (8 000 FCFA), qui se situe entre les deux. La MM20 est supérieure à la MM50, confirmant une configuration haussière de fond, mais le cours évolue sous sa MM20, signalant une pression baissière de court terme. La décision "Achat" reflète la prédominance de la tendance haussière sur le moyen terme.</w:t>
      </w:r>
    </w:p>
    <w:p>
      <w:pPr>
        <w:spacing w:after="120" w:line="276" w:lineRule="auto"/>
      </w:pPr>
      <w:r>
        <w:t>**Bandes de Bollinger** : Le cours (8 000 FCFA) se situe dans la partie basse de la bande (borne inférieure : 7 258,60 FCFA ; borne supérieure : 9 360,90 FCFA), à environ 30% de la largeur totale. Cette position suggère une pression vendeuse récente, mais sans rupture des bornes, ce qui justifie une décision "Neutre" — le titre n'est ni suracheté ni survendu selon ce critère.</w:t>
      </w:r>
    </w:p>
    <w:p>
      <w:pPr>
        <w:spacing w:after="120" w:line="276" w:lineRule="auto"/>
      </w:pPr>
      <w:r>
        <w:t>**MACD** : La valeur du MACD (-8,058) est nettement inférieure à son signal (41,304), générant une divergence baissière marquée. Le momentum est clairement négatif, ce qui justifie la décision "Vente" — un signal de prudence à court terme, bien que le croisement reste récent et puisse se retourner.</w:t>
      </w:r>
    </w:p>
    <w:p>
      <w:pPr>
        <w:spacing w:after="120" w:line="276" w:lineRule="auto"/>
      </w:pPr>
      <w:r>
        <w:t>**RSI** : À 32,384, le RSI se situe juste au-dessus du seuil de survente (30), indiquant que le titre approche d'une zone de rebond potentiel sans y être encore. La décision "Neutre" est appropriée : le marché n'est ni en surachat ni en survente, mais la proximité du seuil de 30 mérite une surveillance attentive.</w:t>
      </w:r>
    </w:p>
    <w:p>
      <w:pPr>
        <w:spacing w:after="120" w:line="276" w:lineRule="auto"/>
      </w:pPr>
      <w:r>
        <w:t>**Stochastique** : Le %K (46,154) et le %D (48,666) évoluent en zone neutre, avec un %K légèrement inférieur au %D, suggérant une absence de signal directionnel clair. Aucun croisement significatif n'est observé, ce qui confirme la décision "Neutre" — le titre est en phase de consolidation.</w:t>
      </w:r>
    </w:p>
    <w:p>
      <w:pPr>
        <w:spacing w:after="120" w:line="276" w:lineRule="auto"/>
      </w:pPr>
      <w:r>
        <w:t>**Conclusion technique** : Les indicateurs techniques présentent un tableau mitigé. La tendance de fond reste haussière (MM20 &gt; MM50), mais les signaux de court terme sont baissiers (MACD en divergence négative, cours sous la MM20). Le RSI proche de la survente et la position basse dans les bandes de Bollinger suggèrent un potentiel de rebond technique, mais l'absence de confirmation par le stochastique et le MACD invite à la prudence. Le titre est en phase de correction au sein d'une tendance haussière plus large.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BOABF a réalisé un Produit Net Bancaire (PNB) de 57,820 Mds FCFA, quasi stable par rapport à 2024 (+0,6%), avec un résultat net de 19,252 Mds FCFA, en recul de -14,1% sur un an. Cette baisse s'explique principalement par un coût du risque qui a quasiment doublé, passant de -4,303 Mds FCFA en 2024 à -8,355 Mds FCFA en 2025. Le ROE s'établit à 15,22% (&gt;15% = excellent) et le ROA à 1,68%, confirmant la solidité de la rentabilité malgré le choc des provisions. Le coefficient d'exploitation de 47,19% (&lt;50% = excellente efficacité) témoigne d'une gestion rigoureuse des charges, et le ratio de couverture des intérêts de 90,05% indique une capacité satisfaisante à honorer les charges financières. Le ratio dépôts/crédits (877,822 Mds FCFA de dépôts clientèle pour 474,064 Mds FCFA de créances clientèle) révèle une surliquidité structurelle, avec un excédent de collecte de 403,758 Mds FCFA, caractéristique d'une banque bien implantée mais peu agressive sur le crédit.</w:t>
      </w:r>
    </w:p>
    <w:p>
      <w:pPr>
        <w:spacing w:after="120" w:line="276" w:lineRule="auto"/>
      </w:pPr>
      <w:r>
        <w:t>**Estimations basées sur les rapports trimestriels** : Les rapports du T1 2026 (31/03/2026) et du S1 2026 (30/06/2026) montrent une dynamique contrastée. Au T1 2026, le PNB recule de -10,75% à 12,694 Mds FCFA et le résultat net de -12,99% à 4,520 Mds FCFA, sans encore bénéficier de l'amélioration du coût du risque. En revanche, au S1 2026, le PNB se contracte de -5,2% à 27,539 Mds FCFA, mais le résultat net bondit de +31,0% à 10,770 Mds FCFA, grâce à un coût du risque en forte amélioration (-2,396 Mds FCFA contre -6,876 Mds FCFA un an plus tôt, soit -65,2%). Sur la base de ces tendances, on peut estimer que l'exercice 2026 devrait afficher un résultat net en hausse significative par rapport à 2025, porté par la normalisation du coût du risque, mais avec un PNB toujours sous pression (-5,2% au S1). La collecte de dépôts reste dynamique (+7,4% à 942,692 Mds FCFA au S1 2026), tandis que les crédits nets progressent légèrement (+1,3% à 479,993 Mds FCFA), confirmant la prudence de la banque dans un environnement sécuritaire difficile.</w:t>
      </w:r>
    </w:p>
    <w:p>
      <w:pPr>
        <w:spacing w:after="120" w:line="276" w:lineRule="auto"/>
      </w:pPr>
      <w:r>
        <w:t>**Recommandation fondamentale** : BOABF présente des fondamentaux solides (ROE &gt;15%, coefficient d'exploitation &lt;50%, surliquidité), mais fait face à un défi majeur : la contraction structurelle de son PNB (-5,2% au S1 2026) et la dépendance à la normalisation du coût du risque pour soutenir sa rentabilité. La recommandation des analystes est "CONSERVER" — la rentabilité s'améliore à court terme, mais la dynamique commerciale sous-jacente reste à confirmer. Les risques principaux incluent l'instabilité sécuritaire au Burkina Faso, la concentration géographique et la pression sur les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BOABF (PER 18,3x, P/B 2,78x, EV/EBITDA 8,1x) indique une légère surévaluation par rapport à la moyenne BRVM, mais cette prime se justifie par un ROE de 15,22% et une position de leader sectoriel. Le comportement du cours sur 100 jours (+48,15%) est nettement haussier, avec une volatilité élevée (35,8%) et une distribution platykurtique (kurtosis -1,218) sans pics extrêmes, ce qui est rassurant pour la gestion du risque. Les signaux techniques sont mitigés : la tendance de fond reste haussière (MM20 &gt; MM50), mais le MACD en divergence négative et le cours sous la MM20 signalent une correction de court terme, avec un potentiel de rebond technique (RSI à 32,38, proche de la survente). Les fondamentaux sont solides (ROE &gt;15%, coefficient d'exploitation &lt;50%), mais le PNB est sous pression (-5,2% au S1 2026) et la rentabilité dépend de la normalisation du coût du risque. Les prédictions IA (J+1 à J+10) anticipent une poursuite de la correction baissière, avec un cours cible de 7 863 FCFA à J+10, soit -1,7% par rapport au cours actuel, ce qui contredit la tendance haussière de fond mais confirme les signaux techniques baissiers de court terme.</w:t>
      </w:r>
    </w:p>
    <w:p>
      <w:pPr>
        <w:spacing w:after="120" w:line="276" w:lineRule="auto"/>
      </w:pPr>
      <w:r>
        <w:t>**Recommandation finale** : **CONSERVER**. La convergence entre la valorisation légèrement tendue, les signaux techniques mitigés (correction de court terme dans une tendance haussière), les fondamentaux solides mais sous pression, et les prédictions IA baissières à court terme plaide pour une position attentiste. Le niveau de confiance est **Moyen** — les fondamentaux sont rassurants, mais l'incertitude sur la dynamique commerciale et le contexte sécuritaire au Burkina Faso limite la visibilité. Le niveau de risque global est **Moyen à Élevé**, en raison de la volatilité du titre (35,8%) et des défis structurels (contraction du PNB, dépendance au coût du risque). L'horizon d'investissement optimal est le **moyen terme (3-12 mois)**, le temps que la normalisation du coût du risque se confirme et que la dynamique commerciale se redresse. Un retournement du MACD et une stabilisation du cours au-dessus de la MM20 (8 309,75 FCFA) seraient des signaux d'entrée plus favorables.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459.60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10,855 titres</w:t>
            </w:r>
          </w:p>
        </w:tc>
        <w:tc>
          <w:tcPr>
            <w:tcW w:type="dxa" w:w="2268"/>
            <w:shd w:fill="FFF2CC" w:val="clear"/>
          </w:tcPr>
          <w:p>
            <w:r>
              <w:rPr>
                <w:b/>
                <w:color w:val="503200"/>
                <w:sz w:val="16"/>
              </w:rPr>
              <w:t xml:space="preserve">Cours actuel : </w:t>
            </w:r>
            <w:r>
              <w:rPr>
                <w:color w:val="000000"/>
                <w:sz w:val="17"/>
              </w:rPr>
              <w:t>11,490 FCFA</w:t>
            </w:r>
          </w:p>
          <w:p>
            <w:r>
              <w:rPr>
                <w:b/>
                <w:color w:val="503200"/>
                <w:sz w:val="16"/>
              </w:rPr>
              <w:t xml:space="preserve">Var. 100 jours : </w:t>
            </w:r>
            <w:r>
              <w:rPr>
                <w:b/>
                <w:color w:val="007800"/>
                <w:sz w:val="17"/>
              </w:rPr>
              <w:t>+31.99%</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8,585 FCFA</w:t>
            </w:r>
          </w:p>
          <w:p>
            <w:r>
              <w:rPr>
                <w:b/>
                <w:color w:val="503200"/>
                <w:sz w:val="16"/>
              </w:rPr>
              <w:t xml:space="preserve">Volatilité ann. : </w:t>
            </w:r>
            <w:r>
              <w:rPr>
                <w:color w:val="000000"/>
                <w:sz w:val="17"/>
              </w:rPr>
              <w:t>27.8%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13.5/100 → Faible</w:t>
      </w:r>
    </w:p>
    <w:p>
      <w:pPr>
        <w:spacing w:before="40" w:after="80"/>
      </w:pPr>
      <w:r>
        <w:rPr>
          <w:rFonts w:ascii="Courier New" w:hAnsi="Courier New"/>
          <w:color w:val="006400"/>
          <w:sz w:val="18"/>
        </w:rPr>
        <w:t>██░░░░░░░░░░░░░░░░░░  13.5/100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14.86% (Moyenne) — μ=10,530 FCFA, σ=1,565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β=0.7444 (Défensif) — Cov=0.000050, Var(idx)=0.000068, ρ=0.349,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10,855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11,035</w:t>
            </w:r>
          </w:p>
        </w:tc>
        <w:tc>
          <w:tcPr>
            <w:tcW w:type="dxa" w:w="1440"/>
            <w:shd w:fill="FAFAFA" w:val="clear"/>
          </w:tcPr>
          <w:p>
            <w:r>
              <w:rPr>
                <w:b/>
                <w:sz w:val="17"/>
              </w:rPr>
              <w:t>11,509</w:t>
            </w:r>
          </w:p>
        </w:tc>
        <w:tc>
          <w:tcPr>
            <w:tcW w:type="dxa" w:w="1440"/>
            <w:shd w:fill="FAFAFA" w:val="clear"/>
          </w:tcPr>
          <w:p>
            <w:r>
              <w:rPr>
                <w:sz w:val="17"/>
              </w:rPr>
              <w:t>11,982</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10,937</w:t>
            </w:r>
          </w:p>
        </w:tc>
        <w:tc>
          <w:tcPr>
            <w:tcW w:type="dxa" w:w="1440"/>
            <w:shd w:fill="FAFAFA" w:val="clear"/>
          </w:tcPr>
          <w:p>
            <w:r>
              <w:rPr>
                <w:b/>
                <w:sz w:val="17"/>
              </w:rPr>
              <w:t>11,518</w:t>
            </w:r>
          </w:p>
        </w:tc>
        <w:tc>
          <w:tcPr>
            <w:tcW w:type="dxa" w:w="1440"/>
            <w:shd w:fill="FAFAFA" w:val="clear"/>
          </w:tcPr>
          <w:p>
            <w:r>
              <w:rPr>
                <w:sz w:val="17"/>
              </w:rPr>
              <w:t>12,099</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2026-10-07</w:t>
            </w:r>
          </w:p>
        </w:tc>
        <w:tc>
          <w:tcPr>
            <w:tcW w:type="dxa" w:w="1440"/>
            <w:shd w:fill="FAFAFA" w:val="clear"/>
          </w:tcPr>
          <w:p>
            <w:r>
              <w:rPr>
                <w:sz w:val="17"/>
              </w:rPr>
              <w:t>10,856</w:t>
            </w:r>
          </w:p>
        </w:tc>
        <w:tc>
          <w:tcPr>
            <w:tcW w:type="dxa" w:w="1440"/>
            <w:shd w:fill="FAFAFA" w:val="clear"/>
          </w:tcPr>
          <w:p>
            <w:r>
              <w:rPr>
                <w:b/>
                <w:sz w:val="17"/>
              </w:rPr>
              <w:t>11,528</w:t>
            </w:r>
          </w:p>
        </w:tc>
        <w:tc>
          <w:tcPr>
            <w:tcW w:type="dxa" w:w="1440"/>
            <w:shd w:fill="FAFAFA" w:val="clear"/>
          </w:tcPr>
          <w:p>
            <w:r>
              <w:rPr>
                <w:sz w:val="17"/>
              </w:rPr>
              <w:t>12,199</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2026-10-08</w:t>
            </w:r>
          </w:p>
        </w:tc>
        <w:tc>
          <w:tcPr>
            <w:tcW w:type="dxa" w:w="1440"/>
            <w:shd w:fill="FAFAFA" w:val="clear"/>
          </w:tcPr>
          <w:p>
            <w:r>
              <w:rPr>
                <w:sz w:val="17"/>
              </w:rPr>
              <w:t>10,786</w:t>
            </w:r>
          </w:p>
        </w:tc>
        <w:tc>
          <w:tcPr>
            <w:tcW w:type="dxa" w:w="1440"/>
            <w:shd w:fill="FAFAFA" w:val="clear"/>
          </w:tcPr>
          <w:p>
            <w:r>
              <w:rPr>
                <w:b/>
                <w:sz w:val="17"/>
              </w:rPr>
              <w:t>11,537</w:t>
            </w:r>
          </w:p>
        </w:tc>
        <w:tc>
          <w:tcPr>
            <w:tcW w:type="dxa" w:w="1440"/>
            <w:shd w:fill="FAFAFA" w:val="clear"/>
          </w:tcPr>
          <w:p>
            <w:r>
              <w:rPr>
                <w:sz w:val="17"/>
              </w:rPr>
              <w:t>12,289</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2026-10-09</w:t>
            </w:r>
          </w:p>
        </w:tc>
        <w:tc>
          <w:tcPr>
            <w:tcW w:type="dxa" w:w="1440"/>
            <w:shd w:fill="FAFAFA" w:val="clear"/>
          </w:tcPr>
          <w:p>
            <w:r>
              <w:rPr>
                <w:sz w:val="17"/>
              </w:rPr>
              <w:t>10,723</w:t>
            </w:r>
          </w:p>
        </w:tc>
        <w:tc>
          <w:tcPr>
            <w:tcW w:type="dxa" w:w="1440"/>
            <w:shd w:fill="FAFAFA" w:val="clear"/>
          </w:tcPr>
          <w:p>
            <w:r>
              <w:rPr>
                <w:b/>
                <w:sz w:val="17"/>
              </w:rPr>
              <w:t>11,547</w:t>
            </w:r>
          </w:p>
        </w:tc>
        <w:tc>
          <w:tcPr>
            <w:tcW w:type="dxa" w:w="1440"/>
            <w:shd w:fill="FAFAFA" w:val="clear"/>
          </w:tcPr>
          <w:p>
            <w:r>
              <w:rPr>
                <w:sz w:val="17"/>
              </w:rPr>
              <w:t>12,370</w:t>
            </w:r>
          </w:p>
        </w:tc>
        <w:tc>
          <w:tcPr>
            <w:tcW w:type="dxa" w:w="1440"/>
            <w:shd w:fill="FAFAFA" w:val="clear"/>
          </w:tcPr>
          <w:p>
            <w:r>
              <w:rPr>
                <w:b/>
                <w:color w:val="008000"/>
                <w:sz w:val="17"/>
              </w:rPr>
              <w:t>+0.5%</w:t>
            </w:r>
          </w:p>
        </w:tc>
      </w:tr>
      <w:tr>
        <w:tc>
          <w:tcPr>
            <w:tcW w:type="dxa" w:w="1440"/>
            <w:shd w:fill="FAFAFA" w:val="clear"/>
          </w:tcPr>
          <w:p>
            <w:r>
              <w:rPr>
                <w:sz w:val="17"/>
              </w:rPr>
              <w:t>J+6  Moyenne</w:t>
            </w:r>
          </w:p>
        </w:tc>
        <w:tc>
          <w:tcPr>
            <w:tcW w:type="dxa" w:w="1440"/>
            <w:shd w:fill="FAFAFA" w:val="clear"/>
          </w:tcPr>
          <w:p>
            <w:r>
              <w:rPr>
                <w:sz w:val="17"/>
              </w:rPr>
              <w:t>2026-10-12</w:t>
            </w:r>
          </w:p>
        </w:tc>
        <w:tc>
          <w:tcPr>
            <w:tcW w:type="dxa" w:w="1440"/>
            <w:shd w:fill="FAFAFA" w:val="clear"/>
          </w:tcPr>
          <w:p>
            <w:r>
              <w:rPr>
                <w:sz w:val="17"/>
              </w:rPr>
              <w:t>10,665</w:t>
            </w:r>
          </w:p>
        </w:tc>
        <w:tc>
          <w:tcPr>
            <w:tcW w:type="dxa" w:w="1440"/>
            <w:shd w:fill="FAFAFA" w:val="clear"/>
          </w:tcPr>
          <w:p>
            <w:r>
              <w:rPr>
                <w:b/>
                <w:sz w:val="17"/>
              </w:rPr>
              <w:t>11,556</w:t>
            </w:r>
          </w:p>
        </w:tc>
        <w:tc>
          <w:tcPr>
            <w:tcW w:type="dxa" w:w="1440"/>
            <w:shd w:fill="FAFAFA" w:val="clear"/>
          </w:tcPr>
          <w:p>
            <w:r>
              <w:rPr>
                <w:sz w:val="17"/>
              </w:rPr>
              <w:t>12,446</w:t>
            </w:r>
          </w:p>
        </w:tc>
        <w:tc>
          <w:tcPr>
            <w:tcW w:type="dxa" w:w="1440"/>
            <w:shd w:fill="FAFAFA" w:val="clear"/>
          </w:tcPr>
          <w:p>
            <w:r>
              <w:rPr>
                <w:b/>
                <w:color w:val="008000"/>
                <w:sz w:val="17"/>
              </w:rPr>
              <w:t>+0.6%</w:t>
            </w:r>
          </w:p>
        </w:tc>
      </w:tr>
      <w:tr>
        <w:tc>
          <w:tcPr>
            <w:tcW w:type="dxa" w:w="1440"/>
            <w:shd w:fill="FAFAFA" w:val="clear"/>
          </w:tcPr>
          <w:p>
            <w:r>
              <w:rPr>
                <w:sz w:val="17"/>
              </w:rPr>
              <w:t>J+7  Moyenne</w:t>
            </w:r>
          </w:p>
        </w:tc>
        <w:tc>
          <w:tcPr>
            <w:tcW w:type="dxa" w:w="1440"/>
            <w:shd w:fill="FAFAFA" w:val="clear"/>
          </w:tcPr>
          <w:p>
            <w:r>
              <w:rPr>
                <w:sz w:val="17"/>
              </w:rPr>
              <w:t>2026-10-13</w:t>
            </w:r>
          </w:p>
        </w:tc>
        <w:tc>
          <w:tcPr>
            <w:tcW w:type="dxa" w:w="1440"/>
            <w:shd w:fill="FAFAFA" w:val="clear"/>
          </w:tcPr>
          <w:p>
            <w:r>
              <w:rPr>
                <w:sz w:val="17"/>
              </w:rPr>
              <w:t>10,612</w:t>
            </w:r>
          </w:p>
        </w:tc>
        <w:tc>
          <w:tcPr>
            <w:tcW w:type="dxa" w:w="1440"/>
            <w:shd w:fill="FAFAFA" w:val="clear"/>
          </w:tcPr>
          <w:p>
            <w:r>
              <w:rPr>
                <w:b/>
                <w:sz w:val="17"/>
              </w:rPr>
              <w:t>11,564</w:t>
            </w:r>
          </w:p>
        </w:tc>
        <w:tc>
          <w:tcPr>
            <w:tcW w:type="dxa" w:w="1440"/>
            <w:shd w:fill="FAFAFA" w:val="clear"/>
          </w:tcPr>
          <w:p>
            <w:r>
              <w:rPr>
                <w:sz w:val="17"/>
              </w:rPr>
              <w:t>12,517</w:t>
            </w:r>
          </w:p>
        </w:tc>
        <w:tc>
          <w:tcPr>
            <w:tcW w:type="dxa" w:w="1440"/>
            <w:shd w:fill="FAFAFA" w:val="clear"/>
          </w:tcPr>
          <w:p>
            <w:r>
              <w:rPr>
                <w:b/>
                <w:color w:val="008000"/>
                <w:sz w:val="17"/>
              </w:rPr>
              <w:t>+0.6%</w:t>
            </w:r>
          </w:p>
        </w:tc>
      </w:tr>
      <w:tr>
        <w:tc>
          <w:tcPr>
            <w:tcW w:type="dxa" w:w="1440"/>
            <w:shd w:fill="FAFAFA" w:val="clear"/>
          </w:tcPr>
          <w:p>
            <w:r>
              <w:rPr>
                <w:sz w:val="17"/>
              </w:rPr>
              <w:t>J+8  Moyenne</w:t>
            </w:r>
          </w:p>
        </w:tc>
        <w:tc>
          <w:tcPr>
            <w:tcW w:type="dxa" w:w="1440"/>
            <w:shd w:fill="FAFAFA" w:val="clear"/>
          </w:tcPr>
          <w:p>
            <w:r>
              <w:rPr>
                <w:sz w:val="17"/>
              </w:rPr>
              <w:t>2026-10-14</w:t>
            </w:r>
          </w:p>
        </w:tc>
        <w:tc>
          <w:tcPr>
            <w:tcW w:type="dxa" w:w="1440"/>
            <w:shd w:fill="FAFAFA" w:val="clear"/>
          </w:tcPr>
          <w:p>
            <w:r>
              <w:rPr>
                <w:sz w:val="17"/>
              </w:rPr>
              <w:t>10,562</w:t>
            </w:r>
          </w:p>
        </w:tc>
        <w:tc>
          <w:tcPr>
            <w:tcW w:type="dxa" w:w="1440"/>
            <w:shd w:fill="FAFAFA" w:val="clear"/>
          </w:tcPr>
          <w:p>
            <w:r>
              <w:rPr>
                <w:b/>
                <w:sz w:val="17"/>
              </w:rPr>
              <w:t>11,572</w:t>
            </w:r>
          </w:p>
        </w:tc>
        <w:tc>
          <w:tcPr>
            <w:tcW w:type="dxa" w:w="1440"/>
            <w:shd w:fill="FAFAFA" w:val="clear"/>
          </w:tcPr>
          <w:p>
            <w:r>
              <w:rPr>
                <w:sz w:val="17"/>
              </w:rPr>
              <w:t>12,583</w:t>
            </w:r>
          </w:p>
        </w:tc>
        <w:tc>
          <w:tcPr>
            <w:tcW w:type="dxa" w:w="1440"/>
            <w:shd w:fill="FAFAFA" w:val="clear"/>
          </w:tcPr>
          <w:p>
            <w:r>
              <w:rPr>
                <w:b/>
                <w:color w:val="008000"/>
                <w:sz w:val="17"/>
              </w:rPr>
              <w:t>+0.7%</w:t>
            </w:r>
          </w:p>
        </w:tc>
      </w:tr>
      <w:tr>
        <w:tc>
          <w:tcPr>
            <w:tcW w:type="dxa" w:w="1440"/>
            <w:shd w:fill="FAFAFA" w:val="clear"/>
          </w:tcPr>
          <w:p>
            <w:r>
              <w:rPr>
                <w:sz w:val="17"/>
              </w:rPr>
              <w:t>J+9  Moyenne</w:t>
            </w:r>
          </w:p>
        </w:tc>
        <w:tc>
          <w:tcPr>
            <w:tcW w:type="dxa" w:w="1440"/>
            <w:shd w:fill="FAFAFA" w:val="clear"/>
          </w:tcPr>
          <w:p>
            <w:r>
              <w:rPr>
                <w:sz w:val="17"/>
              </w:rPr>
              <w:t>2026-10-15</w:t>
            </w:r>
          </w:p>
        </w:tc>
        <w:tc>
          <w:tcPr>
            <w:tcW w:type="dxa" w:w="1440"/>
            <w:shd w:fill="FAFAFA" w:val="clear"/>
          </w:tcPr>
          <w:p>
            <w:r>
              <w:rPr>
                <w:sz w:val="17"/>
              </w:rPr>
              <w:t>10,514</w:t>
            </w:r>
          </w:p>
        </w:tc>
        <w:tc>
          <w:tcPr>
            <w:tcW w:type="dxa" w:w="1440"/>
            <w:shd w:fill="FAFAFA" w:val="clear"/>
          </w:tcPr>
          <w:p>
            <w:r>
              <w:rPr>
                <w:b/>
                <w:sz w:val="17"/>
              </w:rPr>
              <w:t>11,580</w:t>
            </w:r>
          </w:p>
        </w:tc>
        <w:tc>
          <w:tcPr>
            <w:tcW w:type="dxa" w:w="1440"/>
            <w:shd w:fill="FAFAFA" w:val="clear"/>
          </w:tcPr>
          <w:p>
            <w:r>
              <w:rPr>
                <w:sz w:val="17"/>
              </w:rPr>
              <w:t>12,647</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 RAPPORT D'ANALYSE FINANCIÈRE — BOA CÔTE D'IVOIRE (BOAC)</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**459,60 Mds FCFA**, BOAC s'impose comme l'une des valeurs bancaires de référence de la cote BRVM, portée par un BPA de **888 FCFA/action** qui matérialise le bénéfice net généré pour chaque titre détenu. Le **PER de 12,9x** situe le titre légèrement au-dessus de la moyenne du marché BRVM (8-12x), traduisant une valorisation modérée mais non exubérante au regard de la qualité des bénéfices. Le **P/B de 3,61x** confirme que le marché accorde une prime de croissance significative (fourchette 2-4x) par rapport à la valeur comptable des fonds propres, justifiée par un ROE exceptionnel de 27,9%. En revanche, l'**EV/EBITDA de 26,5x** apparaît très exigeant (&gt;15x), signalant que la valeur d'entreprise intègre déjà une forte anticipation de croissance opérationnelle — un niveau qui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affiche une **progression spectaculaire de +31,99%**, bien que la dernière séance (J-1) marque une quasi-stagnation à **-0,09%**, signe d'un essoufflement momentané du momentum. Le cours actuel de **11 490 FCFA** se situe dans la partie médiane du range de trading, encadré par un plus haut de **13 450 FCFA** et un plus bas de **8 585 FCFA**, soit une amplitude de près de 57% qui témoigne d'une forte volatilité directionnelle. La tendance générale demeure nettement haussière sur la période, mais le repli depuis le sommet suggère une phase de consolidation. Les statistiques descriptives révèlent une **moyenne (10 530 FCFA) supérieure à la médiane (9 880 FCFA)**, écart caractéristique d'une distribution asymétrique tirée vers le haut par les pics récents, tandis que le **CV de 14,9%** indique une dispersion modérée autour de la moyenne. Le **kurtosis de -1.465 (platykurtique)** signale une distribution aplatie avec un risque de pics extrêmes limité, et le **skewness de 0.309** confirme une légère asymétrie positive. La **volatilité annualisée de 27,8%** classe le titre en catégorie modérée à élevée (15-30%), cohérente avec un profil de valeur bancaire en phase de revalorisation.</w:t>
      </w:r>
    </w:p>
    <w:p>
      <w:pPr>
        <w:spacing w:after="120" w:line="276" w:lineRule="auto"/>
      </w:pPr>
      <w:r>
        <w:t>---</w:t>
      </w:r>
    </w:p>
    <w:p>
      <w:pPr>
        <w:spacing w:after="120" w:line="276" w:lineRule="auto"/>
      </w:pPr>
      <w:r>
        <w:t>## PARTIE 2 : ANALYSE TECHNIQUE DÉTAILLÉE</w:t>
      </w:r>
    </w:p>
    <w:p>
      <w:pPr>
        <w:spacing w:after="120" w:line="276" w:lineRule="auto"/>
      </w:pPr>
      <w:r>
        <w:t>**Moyennes Mobiles** : La MM20 (11 915 FCFA) et la MM50 (11 951,5 FCFA) sont quasiment confondues et **nettement supérieures au cours actuel** (11 490 FCFA), ce qui place le titre en position de faiblesse relative sous ses moyennes. Cette configuration baissière justifie la **décision de Vente** émise par le modèle, le cours n'ayant pas encore réussi à reconquérir ces niveaux de résistance dynamique.</w:t>
      </w:r>
    </w:p>
    <w:p>
      <w:pPr>
        <w:spacing w:after="120" w:line="276" w:lineRule="auto"/>
      </w:pPr>
      <w:r>
        <w:t>**Bandes de Bollinger** : Le cours (11 490 FCFA) évolue dans la moitié inférieure du canal, entre la borne inférieure (10 914,88 FCFA) et la borne supérieure (12 915,12 FCFA), sans contact avec les extrêmes. Cette position centrale traduit une **absence de signal directionnel fort**, cohérente avec la **décision Neutre**, la volatilité restant contenue dans les bandes.</w:t>
      </w:r>
    </w:p>
    <w:p>
      <w:pPr>
        <w:spacing w:after="120" w:line="276" w:lineRule="auto"/>
      </w:pPr>
      <w:r>
        <w:t>**MACD** : La valeur du MACD (-184,268) est **inférieure à son signal (-118,265)**, avec un histogramme négatif qui confirme un **momentum baissier persistant**. La divergence entre les deux lignes valide la **décision de Vente**, le croisement baissier n'ayant pas encore été résorbé.</w:t>
      </w:r>
    </w:p>
    <w:p>
      <w:pPr>
        <w:spacing w:after="120" w:line="276" w:lineRule="auto"/>
      </w:pPr>
      <w:r>
        <w:t>**RSI** : À **33,148**, l'indicateur se situe dans la zone neutre basse, proche du seuil de survente (30) sans l'atteindre. Cette configuration suggère que le titre n'est **ni survendu ni suracheté**, justifiant la **décision Neutre** — une légère pression vendeuse subsiste mais sans excès.</w:t>
      </w:r>
    </w:p>
    <w:p>
      <w:pPr>
        <w:spacing w:after="120" w:line="276" w:lineRule="auto"/>
      </w:pPr>
      <w:r>
        <w:t>**Stochastique** : Le %K (43,125) est légèrement inférieur au %D (45,625), sans croisement significatif ni divergence marquée. Les deux lignes évoluent en zone médiane, confirmant la **décision Neutre** et l'absence de signal d'achat ou de vente imminent.</w:t>
      </w:r>
    </w:p>
    <w:p>
      <w:pPr>
        <w:spacing w:after="120" w:line="276" w:lineRule="auto"/>
      </w:pPr>
      <w:r>
        <w:t>**Conclusion technique** : Les indicateurs techniques présentent un tableau **majoritairement baissier à neutre** — les moyennes mobiles et le MACD plaident pour la prudence, tandis que le RSI, les Bollinger et le Stochastique restent en zone neutre sans signal d'achat. Le titre se trouve dans une phase de consolidation post-rallye, avec un risque de poursuite du repli vers la borne inférieure des Bollinger (10 915 FCFA) tant que la résistance des MM20/MM50 (11 915-11 951 FCFA) n'est pas franchie.</w:t>
      </w:r>
    </w:p>
    <w:p>
      <w:pPr>
        <w:spacing w:after="120" w:line="276" w:lineRule="auto"/>
      </w:pPr>
      <w:r>
        <w:t>---</w:t>
      </w:r>
    </w:p>
    <w:p>
      <w:pPr>
        <w:spacing w:after="120" w:line="276" w:lineRule="auto"/>
      </w:pPr>
      <w:r>
        <w:t>## PARTIE 3 : ANALYSE FONDAMENTALE</w:t>
      </w:r>
    </w:p>
    <w:p>
      <w:pPr>
        <w:spacing w:after="120" w:line="276" w:lineRule="auto"/>
      </w:pPr>
      <w:r>
        <w:t>**Données structurées (exercice 2025)** : BOAC affiche un **PNB de 73 545 Mds FCFA** (équivalent du chiffre d'affaires bancaire), en légère hausse de +1,1% par rapport à 2024 (72 724 Mds FCFA), et un **résultat net de 35 540 Mds FCFA**, en progression de +10,9% (contre 32 045 Mds FCFA en 2024). La rentabilité est exceptionnelle avec un **ROE de 27,91%** (largement supérieur au seuil de 15% d'excellence) et un **ROA de 3,22%**, tandis que la **marge nette de 48,32%** témoigne d'une capacité remarquable à transformer le PNB en profit. En tant que banque, les indicateurs spécifiques confirment cette solidité : le **coefficient d'exploitation de 36,70%** (très inférieur au seuil de 60% d'efficacité) démontre une maîtrise des charges, et le **coût du risque de 6,67%** (provisions/charges financières) reste contenu malgré une hausse de +52,1% des créances en souffrance sur l'année. La structure bilancielle est saine avec des **dépôts clientèle de 850 548 Mds FCFA** face à des **créances clientèle de 430 433 Mds FCFA**, soit un ratio de transformation de 50,6% qui laisse une marge de déploiement importante. Les **capitaux propres de 127 340 Mds FCFA** progressent de +13,1% (contre 112 645 Mds FCFA en 2024), renforçant l'autonomie financière (11,54%) et la solvabilité générale (113,05%).</w:t>
      </w:r>
    </w:p>
    <w:p>
      <w:pPr>
        <w:spacing w:after="120" w:line="276" w:lineRule="auto"/>
      </w:pPr>
      <w:r>
        <w:t>**Estimations basées sur les rapports trimestriels** : Le rapport du **T1 2026 (arrêté au 31/03/2026)** indique un PNB de 18 960 Mds FCFA (+3,09% sur un an) et un résultat net de 10 801 Mds FCFA (+0,91%), mais signale une **dégradation brutale du coût du risque (+314,75%)** — un point de vigilance majeur. Le rapport du **S1 2025 (30/06/2025)** faisait état d'un PNB de 36,21 Mds FCFA (-0,35%) et d'un résultat net de 18,40 Mds FCFA (+4,29%), avec un coefficient d'exploitation stable à 33,43%. Sur la base de ces tendances, **on estime que l'exercice 2026 devrait enregistrer une croissance modérée du PNB (autour de +2-3%) et un résultat net stable à légèrement croissant**, sous réserve que la dégradation du coût du risque observée au T1 2026 ne se confirme pas sur les trimestres suivants. Le rapport annuel 2025 (publié le 31/12/2025) confirme la solidité fondamentale avec une **recommandation ACHAT** des analystes, saluant la croissance rentable, l'amélioration du coût du risque et la hausse du dividende (684 FCFA/action au titre de 2024, soit un rendement de ~5,95% au cours actuel).</w:t>
      </w:r>
    </w:p>
    <w:p>
      <w:pPr>
        <w:spacing w:after="120" w:line="276" w:lineRule="auto"/>
      </w:pPr>
      <w:r>
        <w:t>**Recommandation fondamentale** : **CONSERVER** — la solidité financière, la rentabilité exceptionnelle et la progression du dividende plaident pour la détention, mais la dégradation récente du coût du risque et la valorisation exigeante (EV/EBITDA 26,5x) invitent à la prudence à court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La **valorisation (Partie 0)** est modérée sur le PER (12,9x) mais exigeante sur l'EV/EBITDA (26,5x) et le P/B (3,61x), suggérant que le marché intègre déjà une prime de croissance significative. Le **comportement du cours (Partie 1)** affiche une tendance haussière impressionnante (+31,99% sur 100 jours) mais avec une volatilité modérée à élevée (27,8%) et une distribution platykurtique (kurtosis -1.465) qui limite le risque de pics extrêmes — un profil plutôt favorable. Les **signaux techniques (Partie 2)** sont majoritairement baissiers à neutres (MM et MACD en Vente, RSI/Bollinger/Stochastique en Neutre), indiquant une phase de consolidation post-rallye. Les **fondamentaux (Partie 3)** demeurent solides (ROE 27,9%, coefficient d'exploitation 36,7%, dividende en hausse), mais la dégradation du coût du risque au T1 2026 constitue un signal d'alerte. Les **prédictions IA (J+1 à J+10)** anticipent une **légère reprise progressive** (11 509 → 11 547 FCFA, soit +0,5% sur 10 jours), ce qui **contredit partiellement les signaux techniques baissiers** et suggère une stabilisation à court terme.</w:t>
      </w:r>
    </w:p>
    <w:p>
      <w:pPr>
        <w:spacing w:after="120" w:line="276" w:lineRule="auto"/>
      </w:pPr>
      <w:r>
        <w:t>**Recommandation finale : CONSERVER** — La convergence entre une valorisation modérée, des fondamentaux solides et une prédiction IA légèrement haussière soutient la détention du titre, mais la divergence avec les signaux techniques baissiers (MM, MACD) et la dégradation du coût du risque plaident contre un renforcement immédiat. **Niveau de confiance : Moyen** — les indicateurs sont partagés entre signaux positifs (fondamentaux, prédiction) et négatifs (technique, coût du risque). **Niveau de risque global : Moyen** — la volatilité modérée et la solidité financière limitent le risque, mais la valorisation exigeante et la dégradation récente du risque de crédit l'accentuent. **Horizon d'investissement optimal : Moyen terme (3-12 mois)** — le temps que la phase de consolidation technique s'achève et que les effets de la dégradation du coût du risque se clarifient dans les prochains rapports trimestriels.</w:t>
      </w:r>
    </w:p>
    <w:p>
      <w:pPr>
        <w:spacing w:after="120" w:line="276" w:lineRule="auto"/>
      </w:pPr>
      <w:r>
        <w:t>---</w:t>
      </w:r>
    </w:p>
    <w:p>
      <w:pPr>
        <w:spacing w:after="120" w:line="276" w:lineRule="auto"/>
      </w:pPr>
      <w:r>
        <w:t>*⚠️ Avertissement : Ce rapport est fourni à titre informatif et ne constitue pas un conseil en investissement. Les données passées ne préjugent pas des performances futures. L'investisseur doit procéder à sa propre analyse avant toute décision.*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167.17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6,449 titres</w:t>
            </w:r>
          </w:p>
        </w:tc>
        <w:tc>
          <w:tcPr>
            <w:tcW w:type="dxa" w:w="2268"/>
            <w:shd w:fill="FFF2CC" w:val="clear"/>
          </w:tcPr>
          <w:p>
            <w:r>
              <w:rPr>
                <w:b/>
                <w:color w:val="503200"/>
                <w:sz w:val="16"/>
              </w:rPr>
              <w:t xml:space="preserve">Cours actuel : </w:t>
            </w:r>
            <w:r>
              <w:rPr>
                <w:color w:val="000000"/>
                <w:sz w:val="17"/>
              </w:rPr>
              <w:t>6,090 FCFA</w:t>
            </w:r>
          </w:p>
          <w:p>
            <w:r>
              <w:rPr>
                <w:b/>
                <w:color w:val="503200"/>
                <w:sz w:val="16"/>
              </w:rPr>
              <w:t xml:space="preserve">Var. 100 jours : </w:t>
            </w:r>
            <w:r>
              <w:rPr>
                <w:b/>
                <w:color w:val="007800"/>
                <w:sz w:val="17"/>
              </w:rPr>
              <w:t>+29.57%</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13.96% (Moyenne) — μ=5,588 FCFA, σ=780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β=1.4350 (Agressif) — Cov=0.000097, Var(idx)=0.000068, ρ=0.430,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6,449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2026-10-05</w:t>
            </w:r>
          </w:p>
        </w:tc>
        <w:tc>
          <w:tcPr>
            <w:tcW w:type="dxa" w:w="1440"/>
            <w:shd w:fill="FFDCE0" w:val="clear"/>
          </w:tcPr>
          <w:p>
            <w:r>
              <w:rPr>
                <w:sz w:val="17"/>
              </w:rPr>
              <w:t>5,430</w:t>
            </w:r>
          </w:p>
        </w:tc>
        <w:tc>
          <w:tcPr>
            <w:tcW w:type="dxa" w:w="1440"/>
            <w:shd w:fill="FFDCE0" w:val="clear"/>
          </w:tcPr>
          <w:p>
            <w:r>
              <w:rPr>
                <w:b/>
                <w:sz w:val="17"/>
              </w:rPr>
              <w:t>5,913</w:t>
            </w:r>
          </w:p>
        </w:tc>
        <w:tc>
          <w:tcPr>
            <w:tcW w:type="dxa" w:w="1440"/>
            <w:shd w:fill="FFDCE0" w:val="clear"/>
          </w:tcPr>
          <w:p>
            <w:r>
              <w:rPr>
                <w:sz w:val="17"/>
              </w:rPr>
              <w:t>6,397</w:t>
            </w:r>
          </w:p>
        </w:tc>
        <w:tc>
          <w:tcPr>
            <w:tcW w:type="dxa" w:w="1440"/>
            <w:shd w:fill="FFDCE0" w:val="clear"/>
          </w:tcPr>
          <w:p>
            <w:r>
              <w:rPr>
                <w:b/>
                <w:color w:val="C00000"/>
                <w:sz w:val="17"/>
              </w:rPr>
              <w:t>-2.9%</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5,257</w:t>
            </w:r>
          </w:p>
        </w:tc>
        <w:tc>
          <w:tcPr>
            <w:tcW w:type="dxa" w:w="1440"/>
            <w:shd w:fill="FFDCE0" w:val="clear"/>
          </w:tcPr>
          <w:p>
            <w:r>
              <w:rPr>
                <w:b/>
                <w:sz w:val="17"/>
              </w:rPr>
              <w:t>5,842</w:t>
            </w:r>
          </w:p>
        </w:tc>
        <w:tc>
          <w:tcPr>
            <w:tcW w:type="dxa" w:w="1440"/>
            <w:shd w:fill="FFDCE0" w:val="clear"/>
          </w:tcPr>
          <w:p>
            <w:r>
              <w:rPr>
                <w:sz w:val="17"/>
              </w:rPr>
              <w:t>6,427</w:t>
            </w:r>
          </w:p>
        </w:tc>
        <w:tc>
          <w:tcPr>
            <w:tcW w:type="dxa" w:w="1440"/>
            <w:shd w:fill="FFDCE0" w:val="clear"/>
          </w:tcPr>
          <w:p>
            <w:r>
              <w:rPr>
                <w:b/>
                <w:color w:val="C00000"/>
                <w:sz w:val="17"/>
              </w:rPr>
              <w:t>-4.1%</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5,112</w:t>
            </w:r>
          </w:p>
        </w:tc>
        <w:tc>
          <w:tcPr>
            <w:tcW w:type="dxa" w:w="1440"/>
            <w:shd w:fill="FFDCE0" w:val="clear"/>
          </w:tcPr>
          <w:p>
            <w:r>
              <w:rPr>
                <w:b/>
                <w:sz w:val="17"/>
              </w:rPr>
              <w:t>5,780</w:t>
            </w:r>
          </w:p>
        </w:tc>
        <w:tc>
          <w:tcPr>
            <w:tcW w:type="dxa" w:w="1440"/>
            <w:shd w:fill="FFDCE0" w:val="clear"/>
          </w:tcPr>
          <w:p>
            <w:r>
              <w:rPr>
                <w:sz w:val="17"/>
              </w:rPr>
              <w:t>6,449</w:t>
            </w:r>
          </w:p>
        </w:tc>
        <w:tc>
          <w:tcPr>
            <w:tcW w:type="dxa" w:w="1440"/>
            <w:shd w:fill="FFDCE0" w:val="clear"/>
          </w:tcPr>
          <w:p>
            <w:r>
              <w:rPr>
                <w:b/>
                <w:color w:val="C00000"/>
                <w:sz w:val="17"/>
              </w:rPr>
              <w:t>-5.1%</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4,984</w:t>
            </w:r>
          </w:p>
        </w:tc>
        <w:tc>
          <w:tcPr>
            <w:tcW w:type="dxa" w:w="1440"/>
            <w:shd w:fill="FFDCE0" w:val="clear"/>
          </w:tcPr>
          <w:p>
            <w:r>
              <w:rPr>
                <w:b/>
                <w:sz w:val="17"/>
              </w:rPr>
              <w:t>5,724</w:t>
            </w:r>
          </w:p>
        </w:tc>
        <w:tc>
          <w:tcPr>
            <w:tcW w:type="dxa" w:w="1440"/>
            <w:shd w:fill="FFDCE0" w:val="clear"/>
          </w:tcPr>
          <w:p>
            <w:r>
              <w:rPr>
                <w:sz w:val="17"/>
              </w:rPr>
              <w:t>6,464</w:t>
            </w:r>
          </w:p>
        </w:tc>
        <w:tc>
          <w:tcPr>
            <w:tcW w:type="dxa" w:w="1440"/>
            <w:shd w:fill="FFDCE0" w:val="clear"/>
          </w:tcPr>
          <w:p>
            <w:r>
              <w:rPr>
                <w:b/>
                <w:color w:val="C00000"/>
                <w:sz w:val="17"/>
              </w:rPr>
              <w:t>-6.0%</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4,868</w:t>
            </w:r>
          </w:p>
        </w:tc>
        <w:tc>
          <w:tcPr>
            <w:tcW w:type="dxa" w:w="1440"/>
            <w:shd w:fill="FFDCE0" w:val="clear"/>
          </w:tcPr>
          <w:p>
            <w:r>
              <w:rPr>
                <w:b/>
                <w:sz w:val="17"/>
              </w:rPr>
              <w:t>5,671</w:t>
            </w:r>
          </w:p>
        </w:tc>
        <w:tc>
          <w:tcPr>
            <w:tcW w:type="dxa" w:w="1440"/>
            <w:shd w:fill="FFDCE0" w:val="clear"/>
          </w:tcPr>
          <w:p>
            <w:r>
              <w:rPr>
                <w:sz w:val="17"/>
              </w:rPr>
              <w:t>6,475</w:t>
            </w:r>
          </w:p>
        </w:tc>
        <w:tc>
          <w:tcPr>
            <w:tcW w:type="dxa" w:w="1440"/>
            <w:shd w:fill="FFDCE0" w:val="clear"/>
          </w:tcPr>
          <w:p>
            <w:r>
              <w:rPr>
                <w:b/>
                <w:color w:val="C00000"/>
                <w:sz w:val="17"/>
              </w:rPr>
              <w:t>-6.9%</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4,761</w:t>
            </w:r>
          </w:p>
        </w:tc>
        <w:tc>
          <w:tcPr>
            <w:tcW w:type="dxa" w:w="1440"/>
            <w:shd w:fill="FFDCE0" w:val="clear"/>
          </w:tcPr>
          <w:p>
            <w:r>
              <w:rPr>
                <w:b/>
                <w:sz w:val="17"/>
              </w:rPr>
              <w:t>5,621</w:t>
            </w:r>
          </w:p>
        </w:tc>
        <w:tc>
          <w:tcPr>
            <w:tcW w:type="dxa" w:w="1440"/>
            <w:shd w:fill="FFDCE0" w:val="clear"/>
          </w:tcPr>
          <w:p>
            <w:r>
              <w:rPr>
                <w:sz w:val="17"/>
              </w:rPr>
              <w:t>6,481</w:t>
            </w:r>
          </w:p>
        </w:tc>
        <w:tc>
          <w:tcPr>
            <w:tcW w:type="dxa" w:w="1440"/>
            <w:shd w:fill="FFDCE0" w:val="clear"/>
          </w:tcPr>
          <w:p>
            <w:r>
              <w:rPr>
                <w:b/>
                <w:color w:val="C00000"/>
                <w:sz w:val="17"/>
              </w:rPr>
              <w:t>-7.7%</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4,662</w:t>
            </w:r>
          </w:p>
        </w:tc>
        <w:tc>
          <w:tcPr>
            <w:tcW w:type="dxa" w:w="1440"/>
            <w:shd w:fill="FFDCE0" w:val="clear"/>
          </w:tcPr>
          <w:p>
            <w:r>
              <w:rPr>
                <w:b/>
                <w:sz w:val="17"/>
              </w:rPr>
              <w:t>5,574</w:t>
            </w:r>
          </w:p>
        </w:tc>
        <w:tc>
          <w:tcPr>
            <w:tcW w:type="dxa" w:w="1440"/>
            <w:shd w:fill="FFDCE0" w:val="clear"/>
          </w:tcPr>
          <w:p>
            <w:r>
              <w:rPr>
                <w:sz w:val="17"/>
              </w:rPr>
              <w:t>6,485</w:t>
            </w:r>
          </w:p>
        </w:tc>
        <w:tc>
          <w:tcPr>
            <w:tcW w:type="dxa" w:w="1440"/>
            <w:shd w:fill="FFDCE0" w:val="clear"/>
          </w:tcPr>
          <w:p>
            <w:r>
              <w:rPr>
                <w:b/>
                <w:color w:val="C00000"/>
                <w:sz w:val="17"/>
              </w:rPr>
              <w:t>-8.5%</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4,569</w:t>
            </w:r>
          </w:p>
        </w:tc>
        <w:tc>
          <w:tcPr>
            <w:tcW w:type="dxa" w:w="1440"/>
            <w:shd w:fill="FFDCE0" w:val="clear"/>
          </w:tcPr>
          <w:p>
            <w:r>
              <w:rPr>
                <w:b/>
                <w:sz w:val="17"/>
              </w:rPr>
              <w:t>5,528</w:t>
            </w:r>
          </w:p>
        </w:tc>
        <w:tc>
          <w:tcPr>
            <w:tcW w:type="dxa" w:w="1440"/>
            <w:shd w:fill="FFDCE0" w:val="clear"/>
          </w:tcPr>
          <w:p>
            <w:r>
              <w:rPr>
                <w:sz w:val="17"/>
              </w:rPr>
              <w:t>6,488</w:t>
            </w:r>
          </w:p>
        </w:tc>
        <w:tc>
          <w:tcPr>
            <w:tcW w:type="dxa" w:w="1440"/>
            <w:shd w:fill="FFDCE0" w:val="clear"/>
          </w:tcPr>
          <w:p>
            <w:r>
              <w:rPr>
                <w:b/>
                <w:color w:val="C00000"/>
                <w:sz w:val="17"/>
              </w:rPr>
              <w:t>-9.2%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4,482</w:t>
            </w:r>
          </w:p>
        </w:tc>
        <w:tc>
          <w:tcPr>
            <w:tcW w:type="dxa" w:w="1440"/>
            <w:shd w:fill="FFDCE0" w:val="clear"/>
          </w:tcPr>
          <w:p>
            <w:r>
              <w:rPr>
                <w:b/>
                <w:sz w:val="17"/>
              </w:rPr>
              <w:t>5,485</w:t>
            </w:r>
          </w:p>
        </w:tc>
        <w:tc>
          <w:tcPr>
            <w:tcW w:type="dxa" w:w="1440"/>
            <w:shd w:fill="FFDCE0" w:val="clear"/>
          </w:tcPr>
          <w:p>
            <w:r>
              <w:rPr>
                <w:sz w:val="17"/>
              </w:rPr>
              <w:t>6,488</w:t>
            </w:r>
          </w:p>
        </w:tc>
        <w:tc>
          <w:tcPr>
            <w:tcW w:type="dxa" w:w="1440"/>
            <w:shd w:fill="FFDCE0" w:val="clear"/>
          </w:tcPr>
          <w:p>
            <w:r>
              <w:rPr>
                <w:b/>
                <w:color w:val="C00000"/>
                <w:sz w:val="17"/>
              </w:rPr>
              <w:t>-9.9%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 📊 RAPPORT D'ANALYSE FINANCIÈRE — BOA MALI (BOAM)</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**167,17 milliards FCFA**, BOA Mali se positionne comme une valeur de taille intermédiaire sur la BRVM, représentant un poids significatif dans l'indice sectoriel bancaire. Le BPA de **404 FCFA/action** traduit la capacité bénéficiaire de la banque, tandis que le PER de **15,1x** situe le titre légèrement au-dessus de la moyenne du marché BRVM (8-12x), signalant une valorisation modérée mais non excessive au regard de la qualité des fondamentaux. Le ratio P/B de **3,36x** indique que le marché valorise l'action à plus de trois fois sa valeur comptable, traduisant une prime de croissance et de rentabilité (ROE &gt;22%) accordée par les investisseurs. Enfin, l'EV/EBITDA de **7,7x** demeure dans la fourchette raisonnable (5-10x), confirmant que la valeur d'entreprise reste cohérente avec la capacité opérationnelle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BOAM affiche une progression remarquable de **+29,57%**, bien que la dernière séance (J-1) enregistre un repli de **-0,90%**, signalant une légère prise de bénéfices après le rallye haussier. Le cours actuel de **6 090 FCFA** se situe dans la partie haute du range de trading, le plus haut ayant atteint **7 195 FCFA** et le plus bas **4 425 FCFA**, soit une amplitude de 62,6% qui témoigne d'une forte dynamique acheteuse sur la période. La tendance générale est donc clairement **haussière**, portée par des volumes moyens quotidiens de 6 449 titres. Les statistiques descriptives révèlent une moyenne de **5 588 FCFA** très proche de la médiane (**5 608 FCFA**), indiquant une distribution équilibrée sans asymétrie marquée, confirmée par un skewness de **0,294** (quasi-symétrique). L'écart-type de **784 FCFA** avec un coefficient de variation de **14,0%** traduit une dispersion modérée du cours autour de sa moyenne. Le kurtosis négatif de **-1,032** (distribution platykurtique) suggère une faible concentration des rendements et un risque de pics extrêmes limité. La volatilité annualisée de **43,6%** classe le titre dans la catégorie **élevée** (&gt;30%), ce qui est cohérent avec le profil de risque des valeurs bancaires de la zone UEMOA.</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**6 521 FCFA** et la MM50 à **6 225 FCFA**, toutes deux supérieures au cours actuel de 6 090 FCFA. Cette configuration indique que le titre évolue en dessous de ses moyennes court et moyen terme, suggérant une correction en cours. Cependant, la décision technique affichée est **Achat**, probablement en anticipation d'un rebond technique vers ces niveaux de résistance dynamique.</w:t>
      </w:r>
    </w:p>
    <w:p>
      <w:pPr>
        <w:spacing w:after="120" w:line="276" w:lineRule="auto"/>
      </w:pPr>
      <w:r>
        <w:t>**Bandes de Bollinger :** La borne supérieure est à **7 549 FCFA** et la borne inférieure à **5 493 FCFA**, avec un cours actuel de 6 090 FCFA positionné dans la moitié basse du canal. Cette position médiane-basse traduit une volatilité contenue et une absence de signal directionnel fort. La décision **Neutre** reflète l'équilibre actuel entre pression vendeuse et support acheteur.</w:t>
      </w:r>
    </w:p>
    <w:p>
      <w:pPr>
        <w:spacing w:after="120" w:line="276" w:lineRule="auto"/>
      </w:pPr>
      <w:r>
        <w:t>**MACD :** La valeur du MACD est de **-90,388** contre un signal à **-7,602**, générant une divergence baissière significative (MACD &lt; Signal). Cet écart négatif important indique un momentum baissier persistant, justifiant la décision **Vente**. La tendance de fond reste donc sous pression malgré le rebond récent du cours.</w:t>
      </w:r>
    </w:p>
    <w:p>
      <w:pPr>
        <w:spacing w:after="120" w:line="276" w:lineRule="auto"/>
      </w:pPr>
      <w:r>
        <w:t>**RSI :** À **32,333**, le RSI se situe juste au-dessus de la zone de survente (30), traduisant une faiblesse relative mais sans excès. La décision **Neutre** est appropriée car le titre n'est ni survendu ni suracheté, laissant la porte ouverte à une stabilisation ou un rebond technique.</w:t>
      </w:r>
    </w:p>
    <w:p>
      <w:pPr>
        <w:spacing w:after="120" w:line="276" w:lineRule="auto"/>
      </w:pPr>
      <w:r>
        <w:t>**Stochastique :** Le %K est à **38,154** et le %D à **36,256**, avec un croisement haussier naissant (%K &gt; %D). Cette configuration suggère une possible reprise du momentum à court terme, bien que les deux indicateurs restent en zone basse. La décision **Neutre** reflète cette incertitude.</w:t>
      </w:r>
    </w:p>
    <w:p>
      <w:pPr>
        <w:spacing w:after="120" w:line="276" w:lineRule="auto"/>
      </w:pPr>
      <w:r>
        <w:t>**Conclusion technique :** Les indicateurs techniques présentent un tableau **mitigé**. Les moyennes mobiles et le MACD plaident pour une poursuite de la correction, tandis que le RSI et le stochastique suggèrent un potentiel rebond technique. La divergence entre la décision "Achat" des MM et "Vente" du MACD illustre une phase de transition où le titre cherche une direction. Une cassure au-dessus de 6 500 FCFA (MM20) confirmerait un retour haussier, tandis qu'une rupture sous 5 500 FCFA (borne inférieure de Bollinger) validerait la poursuite baissière.</w:t>
      </w:r>
    </w:p>
    <w:p>
      <w:pPr>
        <w:spacing w:after="120" w:line="276" w:lineRule="auto"/>
      </w:pPr>
      <w:r>
        <w:t>---</w:t>
      </w:r>
    </w:p>
    <w:p>
      <w:pPr>
        <w:spacing w:after="120" w:line="276" w:lineRule="auto"/>
      </w:pPr>
      <w:r>
        <w:t>## PARTIE 3 : ANALYSE FONDAMENTALE</w:t>
      </w:r>
    </w:p>
    <w:p>
      <w:pPr>
        <w:spacing w:after="120" w:line="276" w:lineRule="auto"/>
      </w:pPr>
      <w:r>
        <w:t>**Données structurées (exercice 2025) :** BOA Mali affiche un **Produit Net Bancaire (PNB) de 37,996 milliards FCFA** en 2025, équivalent du chiffre d'affaires pour une banque, en croissance de **+5,08%**. Le **résultat net s'élève à 11,081 milliards FCFA**, générant un **ROE exceptionnel de 22,24%** (largement supérieur au seuil de 15% considéré comme excellent) et un **ROA de 1,87%**, confirmant l'efficacité de l'utilisation des actifs. Le **coefficient d'exploitation de 63,14%** reste légèrement au-dessus du seuil de 60% (banque efficace), indiquant une marge d'amélioration opérationnelle. Le **coût du risque rapporté aux charges financières s'établit à 43,39%**, un niveau élevé qui traduit un risque de crédit significatif, bien que les provisions (4,590 milliards FCFA) soient couvertes par le RBE de 14,004 milliards FCFA.</w:t>
      </w:r>
    </w:p>
    <w:p>
      <w:pPr>
        <w:spacing w:after="120" w:line="276" w:lineRule="auto"/>
      </w:pPr>
      <w:r>
        <w:t>**Structure financière :** La banque présente une **autonomie financière de 8,40%** (capitaux propres/total bilan), un niveau faible qui reflète le modèle bancaire fortement levieré, mais compensé par une **solvabilité générale de 109,16%** (actif/dettes &gt; 1). Le ratio de **dépôts clientèle (502,890 milliards FCFA) sur créances clientèle (253,648 milliards FCFA) de 198%** indique une surliquidité, la banque collectant près de deux fois plus qu'elle ne prête, ce qui limite le risque de liquidité mais pèse sur la marge d'intérêt. La **capacité de remboursement de 1,79 an** (dettes financières/CAF) est saine.</w:t>
      </w:r>
    </w:p>
    <w:p>
      <w:pPr>
        <w:spacing w:after="120" w:line="276" w:lineRule="auto"/>
      </w:pPr>
      <w:r>
        <w:t>**Estimations basées sur les rapports trimestriels :** Le rapport du **T1 2026 (publié le 31/03/2026)** révèle un **PNB de 10,322 milliards FCFA, en hausse de +22,97%** sur un an, marquant une accélération spectaculaire de la dynamique commerciale. Le rapport du **S1 2026 (publié le 30/06/2026)** confirme cette tendance avec un **PNB de 21,987 milliards FCFA, en croissance de +17,5%**. Sur la base de ces performances semestrielles, on peut **estimer que l'exercice 2026 devrait afficher un PNB annuel compris entre 42 et 44 milliards FCFA**, soit une croissance de 10-15% par rapport à 2025, et un résultat net potentiellement supérieur à 12 milliards FCFA si la maîtrise des coûts se poursuit. Les rapports antérieurs (**S1 2025 du 30/06/2025, T3 2025 du 30/09/2025**) montrent une trajectoire de résilience avec un résultat net en hausse de +28,8% au S1 2025 et +26,2% sur 9 mois, portée par la baisse du coût du risque (-32,7%).</w:t>
      </w:r>
    </w:p>
    <w:p>
      <w:pPr>
        <w:spacing w:after="120" w:line="276" w:lineRule="auto"/>
      </w:pPr>
      <w:r>
        <w:t>**Recommandation fondamentale :** BOA Mali présente des **fondamentaux solides** avec une rentabilité exceptionnelle (ROE &gt;22%), une croissance accélérée du PNB en 2026, et une structure financière maîtrisée malgré un levier élevé. Les principaux risques résident dans la **concentration géographique sur le Mali** (contexte sécuritaire et macroéconomique difficile), le **coût du risque élevé** (43,4% des charges financières), et la **faible autonomie financière** (8,4%). La dynamique des rapports trimestriels 2026 est très encourageante et suggère une poursuite de l'amélioration des performances.</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contrasté**. Sur le plan de la **valorisation (Partie 0)** , le PER de 15,1x et le P/B de 3,36x indiquent une valorisation modérée à légèrement élevée, justifiée par la qualité des fondamentaux mais offrant peu de marge de sécurité. Le **comportement du cours (Partie 1)** est haussier sur 100 jours (+29,57%) mais montre des signes d'essoufflement (repli J-1, volatilité élevée à 43,6%, distribution platykurtique). Les **signaux techniques (Partie 2)** sont divergents : les moyennes mobiles suggèrent un achat, mais le MACD confirme une vente, tandis que le RSI et le stochastique restent neutres, créant une incertitude directionnelle. Les **fondamentaux (Partie 3)** sont le point fort du dossier : ROE de 22,24%, croissance du PNB de +22,97% au T1 2026 et +17,5% au S1 2026, résultat net en forte progression, et une trajectoire de résilience confirmée par les rapports trimestriels. Les **prédictions IA (J+1 à J+10)** anticipent une **baisse progressive de 6 090 FCFA à 5 671 FCFA (-6,9%)** , ce qui contredit la dynamique fondamentale mais s'aligne sur le momentum baissier du MACD.</w:t>
      </w:r>
    </w:p>
    <w:p>
      <w:pPr>
        <w:spacing w:after="120" w:line="276" w:lineRule="auto"/>
      </w:pPr>
      <w:r>
        <w:t>**Recommandation finale : CONSERVER**</w:t>
      </w:r>
    </w:p>
    <w:p>
      <w:pPr>
        <w:spacing w:after="120" w:line="276" w:lineRule="auto"/>
      </w:pPr>
      <w:r>
        <w:t>Cette recommandation reflète la **divergence entre des fondamentaux solides et une technique affaiblie**. La valorisation n'offre pas de décote suffisante pour justifier un achat agressif, tandis que les prédictions baissières à court terme et le MACD négatif incitent à la prudence. Cependant, la qualité des résultats (ROE &gt;22%, croissance à deux chiffres du PNB en 2026) et la résilience démontrée dans un contexte difficile plaident contre une vente. **Niveau de confiance : Moyen** (en raison de la divergence des signaux). **Niveau de risque global : Moyen à Élevé** (volatilité de 43,6%, concentration géographique, coût du risque élevé). **Horizon d'investissement optimal : Moyen terme (3-12 mois)** , en attendant la confirmation de la tendance haussière par une cassure des moyennes mobiles et une amélioration du MACD, tout en surveillant les prochains rapports trimestriels pour valider la poursuite de la croissance.</w:t>
      </w:r>
    </w:p>
    <w:p>
      <w:pPr>
        <w:spacing w:after="120" w:line="276" w:lineRule="auto"/>
      </w:pPr>
      <w:r>
        <w: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9,009 titres</w:t>
            </w:r>
          </w:p>
        </w:tc>
        <w:tc>
          <w:tcPr>
            <w:tcW w:type="dxa" w:w="2268"/>
            <w:shd w:fill="FFF2CC" w:val="clear"/>
          </w:tcPr>
          <w:p>
            <w:r>
              <w:rPr>
                <w:b/>
                <w:color w:val="503200"/>
                <w:sz w:val="16"/>
              </w:rPr>
              <w:t xml:space="preserve">Cours actuel : </w:t>
            </w:r>
            <w:r>
              <w:rPr>
                <w:color w:val="000000"/>
                <w:sz w:val="17"/>
              </w:rPr>
              <w:t>5,000 FCFA</w:t>
            </w:r>
          </w:p>
          <w:p>
            <w:r>
              <w:rPr>
                <w:b/>
                <w:color w:val="503200"/>
                <w:sz w:val="16"/>
              </w:rPr>
              <w:t xml:space="preserve">Var. 100 jours : </w:t>
            </w:r>
            <w:r>
              <w:rPr>
                <w:b/>
                <w:color w:val="007800"/>
                <w:sz w:val="17"/>
              </w:rPr>
              <w:t>+43.47%</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16.02% (Élevée) — μ=4,652 FCFA, σ=745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β=1.3659 (Agressif) — Cov=0.000092, Var(idx)=0.000068, ρ=0.430,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9,009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2026-10-05</w:t>
            </w:r>
          </w:p>
        </w:tc>
        <w:tc>
          <w:tcPr>
            <w:tcW w:type="dxa" w:w="1440"/>
            <w:shd w:fill="C6EFCE" w:val="clear"/>
          </w:tcPr>
          <w:p>
            <w:r>
              <w:rPr>
                <w:sz w:val="17"/>
              </w:rPr>
              <w:t>4,775</w:t>
            </w:r>
          </w:p>
        </w:tc>
        <w:tc>
          <w:tcPr>
            <w:tcW w:type="dxa" w:w="1440"/>
            <w:shd w:fill="C6EFCE" w:val="clear"/>
          </w:tcPr>
          <w:p>
            <w:r>
              <w:rPr>
                <w:b/>
                <w:sz w:val="17"/>
              </w:rPr>
              <w:t>5,176</w:t>
            </w:r>
          </w:p>
        </w:tc>
        <w:tc>
          <w:tcPr>
            <w:tcW w:type="dxa" w:w="1440"/>
            <w:shd w:fill="C6EFCE" w:val="clear"/>
          </w:tcPr>
          <w:p>
            <w:r>
              <w:rPr>
                <w:sz w:val="17"/>
              </w:rPr>
              <w:t>5,577</w:t>
            </w:r>
          </w:p>
        </w:tc>
        <w:tc>
          <w:tcPr>
            <w:tcW w:type="dxa" w:w="1440"/>
            <w:shd w:fill="C6EFCE" w:val="clear"/>
          </w:tcPr>
          <w:p>
            <w:r>
              <w:rPr>
                <w:b/>
                <w:color w:val="008000"/>
                <w:sz w:val="17"/>
              </w:rPr>
              <w:t>+3.5%</w:t>
            </w:r>
          </w:p>
        </w:tc>
      </w:tr>
      <w:tr>
        <w:tc>
          <w:tcPr>
            <w:tcW w:type="dxa" w:w="1440"/>
            <w:shd w:fill="C6EFCE" w:val="clear"/>
          </w:tcPr>
          <w:p>
            <w:r>
              <w:rPr>
                <w:sz w:val="17"/>
              </w:rPr>
              <w:t>J+2  ⭐</w:t>
            </w:r>
          </w:p>
        </w:tc>
        <w:tc>
          <w:tcPr>
            <w:tcW w:type="dxa" w:w="1440"/>
            <w:shd w:fill="C6EFCE" w:val="clear"/>
          </w:tcPr>
          <w:p>
            <w:r>
              <w:rPr>
                <w:sz w:val="17"/>
              </w:rPr>
              <w:t>2026-10-06</w:t>
            </w:r>
          </w:p>
        </w:tc>
        <w:tc>
          <w:tcPr>
            <w:tcW w:type="dxa" w:w="1440"/>
            <w:shd w:fill="C6EFCE" w:val="clear"/>
          </w:tcPr>
          <w:p>
            <w:r>
              <w:rPr>
                <w:sz w:val="17"/>
              </w:rPr>
              <w:t>4,699</w:t>
            </w:r>
          </w:p>
        </w:tc>
        <w:tc>
          <w:tcPr>
            <w:tcW w:type="dxa" w:w="1440"/>
            <w:shd w:fill="C6EFCE" w:val="clear"/>
          </w:tcPr>
          <w:p>
            <w:r>
              <w:rPr>
                <w:b/>
                <w:sz w:val="17"/>
              </w:rPr>
              <w:t>5,192</w:t>
            </w:r>
          </w:p>
        </w:tc>
        <w:tc>
          <w:tcPr>
            <w:tcW w:type="dxa" w:w="1440"/>
            <w:shd w:fill="C6EFCE" w:val="clear"/>
          </w:tcPr>
          <w:p>
            <w:r>
              <w:rPr>
                <w:sz w:val="17"/>
              </w:rPr>
              <w:t>5,685</w:t>
            </w:r>
          </w:p>
        </w:tc>
        <w:tc>
          <w:tcPr>
            <w:tcW w:type="dxa" w:w="1440"/>
            <w:shd w:fill="C6EFCE" w:val="clear"/>
          </w:tcPr>
          <w:p>
            <w:r>
              <w:rPr>
                <w:b/>
                <w:color w:val="008000"/>
                <w:sz w:val="17"/>
              </w:rPr>
              <w:t>+3.8%</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4,641</w:t>
            </w:r>
          </w:p>
        </w:tc>
        <w:tc>
          <w:tcPr>
            <w:tcW w:type="dxa" w:w="1440"/>
            <w:shd w:fill="C6EFCE" w:val="clear"/>
          </w:tcPr>
          <w:p>
            <w:r>
              <w:rPr>
                <w:b/>
                <w:sz w:val="17"/>
              </w:rPr>
              <w:t>5,212</w:t>
            </w:r>
          </w:p>
        </w:tc>
        <w:tc>
          <w:tcPr>
            <w:tcW w:type="dxa" w:w="1440"/>
            <w:shd w:fill="C6EFCE" w:val="clear"/>
          </w:tcPr>
          <w:p>
            <w:r>
              <w:rPr>
                <w:sz w:val="17"/>
              </w:rPr>
              <w:t>5,784</w:t>
            </w:r>
          </w:p>
        </w:tc>
        <w:tc>
          <w:tcPr>
            <w:tcW w:type="dxa" w:w="1440"/>
            <w:shd w:fill="C6EFCE" w:val="clear"/>
          </w:tcPr>
          <w:p>
            <w:r>
              <w:rPr>
                <w:b/>
                <w:color w:val="008000"/>
                <w:sz w:val="17"/>
              </w:rPr>
              <w:t>+4.2%</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4,592</w:t>
            </w:r>
          </w:p>
        </w:tc>
        <w:tc>
          <w:tcPr>
            <w:tcW w:type="dxa" w:w="1440"/>
            <w:shd w:fill="C6EFCE" w:val="clear"/>
          </w:tcPr>
          <w:p>
            <w:r>
              <w:rPr>
                <w:b/>
                <w:sz w:val="17"/>
              </w:rPr>
              <w:t>5,233</w:t>
            </w:r>
          </w:p>
        </w:tc>
        <w:tc>
          <w:tcPr>
            <w:tcW w:type="dxa" w:w="1440"/>
            <w:shd w:fill="C6EFCE" w:val="clear"/>
          </w:tcPr>
          <w:p>
            <w:r>
              <w:rPr>
                <w:sz w:val="17"/>
              </w:rPr>
              <w:t>5,874</w:t>
            </w:r>
          </w:p>
        </w:tc>
        <w:tc>
          <w:tcPr>
            <w:tcW w:type="dxa" w:w="1440"/>
            <w:shd w:fill="C6EFCE" w:val="clear"/>
          </w:tcPr>
          <w:p>
            <w:r>
              <w:rPr>
                <w:b/>
                <w:color w:val="008000"/>
                <w:sz w:val="17"/>
              </w:rPr>
              <w:t>+4.7%</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4,548</w:t>
            </w:r>
          </w:p>
        </w:tc>
        <w:tc>
          <w:tcPr>
            <w:tcW w:type="dxa" w:w="1440"/>
            <w:shd w:fill="C6EFCE" w:val="clear"/>
          </w:tcPr>
          <w:p>
            <w:r>
              <w:rPr>
                <w:b/>
                <w:sz w:val="17"/>
              </w:rPr>
              <w:t>5,253</w:t>
            </w:r>
          </w:p>
        </w:tc>
        <w:tc>
          <w:tcPr>
            <w:tcW w:type="dxa" w:w="1440"/>
            <w:shd w:fill="C6EFCE" w:val="clear"/>
          </w:tcPr>
          <w:p>
            <w:r>
              <w:rPr>
                <w:sz w:val="17"/>
              </w:rPr>
              <w:t>5,958</w:t>
            </w:r>
          </w:p>
        </w:tc>
        <w:tc>
          <w:tcPr>
            <w:tcW w:type="dxa" w:w="1440"/>
            <w:shd w:fill="C6EFCE" w:val="clear"/>
          </w:tcPr>
          <w:p>
            <w:r>
              <w:rPr>
                <w:b/>
                <w:color w:val="008000"/>
                <w:sz w:val="17"/>
              </w:rPr>
              <w:t>+5.1%</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4,509</w:t>
            </w:r>
          </w:p>
        </w:tc>
        <w:tc>
          <w:tcPr>
            <w:tcW w:type="dxa" w:w="1440"/>
            <w:shd w:fill="C6EFCE" w:val="clear"/>
          </w:tcPr>
          <w:p>
            <w:r>
              <w:rPr>
                <w:b/>
                <w:sz w:val="17"/>
              </w:rPr>
              <w:t>5,273</w:t>
            </w:r>
          </w:p>
        </w:tc>
        <w:tc>
          <w:tcPr>
            <w:tcW w:type="dxa" w:w="1440"/>
            <w:shd w:fill="C6EFCE" w:val="clear"/>
          </w:tcPr>
          <w:p>
            <w:r>
              <w:rPr>
                <w:sz w:val="17"/>
              </w:rPr>
              <w:t>6,037</w:t>
            </w:r>
          </w:p>
        </w:tc>
        <w:tc>
          <w:tcPr>
            <w:tcW w:type="dxa" w:w="1440"/>
            <w:shd w:fill="C6EFCE" w:val="clear"/>
          </w:tcPr>
          <w:p>
            <w:r>
              <w:rPr>
                <w:b/>
                <w:color w:val="008000"/>
                <w:sz w:val="17"/>
              </w:rPr>
              <w:t>+5.5%</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4,472</w:t>
            </w:r>
          </w:p>
        </w:tc>
        <w:tc>
          <w:tcPr>
            <w:tcW w:type="dxa" w:w="1440"/>
            <w:shd w:fill="C6EFCE" w:val="clear"/>
          </w:tcPr>
          <w:p>
            <w:r>
              <w:rPr>
                <w:b/>
                <w:sz w:val="17"/>
              </w:rPr>
              <w:t>5,292</w:t>
            </w:r>
          </w:p>
        </w:tc>
        <w:tc>
          <w:tcPr>
            <w:tcW w:type="dxa" w:w="1440"/>
            <w:shd w:fill="C6EFCE" w:val="clear"/>
          </w:tcPr>
          <w:p>
            <w:r>
              <w:rPr>
                <w:sz w:val="17"/>
              </w:rPr>
              <w:t>6,112</w:t>
            </w:r>
          </w:p>
        </w:tc>
        <w:tc>
          <w:tcPr>
            <w:tcW w:type="dxa" w:w="1440"/>
            <w:shd w:fill="C6EFCE" w:val="clear"/>
          </w:tcPr>
          <w:p>
            <w:r>
              <w:rPr>
                <w:b/>
                <w:color w:val="008000"/>
                <w:sz w:val="17"/>
              </w:rPr>
              <w:t>+5.8%</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4,439</w:t>
            </w:r>
          </w:p>
        </w:tc>
        <w:tc>
          <w:tcPr>
            <w:tcW w:type="dxa" w:w="1440"/>
            <w:shd w:fill="C6EFCE" w:val="clear"/>
          </w:tcPr>
          <w:p>
            <w:r>
              <w:rPr>
                <w:b/>
                <w:sz w:val="17"/>
              </w:rPr>
              <w:t>5,311</w:t>
            </w:r>
          </w:p>
        </w:tc>
        <w:tc>
          <w:tcPr>
            <w:tcW w:type="dxa" w:w="1440"/>
            <w:shd w:fill="C6EFCE" w:val="clear"/>
          </w:tcPr>
          <w:p>
            <w:r>
              <w:rPr>
                <w:sz w:val="17"/>
              </w:rPr>
              <w:t>6,184</w:t>
            </w:r>
          </w:p>
        </w:tc>
        <w:tc>
          <w:tcPr>
            <w:tcW w:type="dxa" w:w="1440"/>
            <w:shd w:fill="C6EFCE" w:val="clear"/>
          </w:tcPr>
          <w:p>
            <w:r>
              <w:rPr>
                <w:b/>
                <w:color w:val="008000"/>
                <w:sz w:val="17"/>
              </w:rPr>
              <w:t>+6.2%</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4,407</w:t>
            </w:r>
          </w:p>
        </w:tc>
        <w:tc>
          <w:tcPr>
            <w:tcW w:type="dxa" w:w="1440"/>
            <w:shd w:fill="C6EFCE" w:val="clear"/>
          </w:tcPr>
          <w:p>
            <w:r>
              <w:rPr>
                <w:b/>
                <w:sz w:val="17"/>
              </w:rPr>
              <w:t>5,330</w:t>
            </w:r>
          </w:p>
        </w:tc>
        <w:tc>
          <w:tcPr>
            <w:tcW w:type="dxa" w:w="1440"/>
            <w:shd w:fill="C6EFCE" w:val="clear"/>
          </w:tcPr>
          <w:p>
            <w:r>
              <w:rPr>
                <w:sz w:val="17"/>
              </w:rPr>
              <w:t>6,254</w:t>
            </w:r>
          </w:p>
        </w:tc>
        <w:tc>
          <w:tcPr>
            <w:tcW w:type="dxa" w:w="1440"/>
            <w:shd w:fill="C6EFCE" w:val="clear"/>
          </w:tcPr>
          <w:p>
            <w:r>
              <w:rPr>
                <w:b/>
                <w:color w:val="008000"/>
                <w:sz w:val="17"/>
              </w:rPr>
              <w:t>+6.6%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104,00 Mds FCFA, BOAN se situe dans la catégorie des valeurs moyennes de la cote BRVM, loin des poids lourds comme Sonatel ou ETIT. Le BPA de 20 FCFA/action traduit un bénéfice net par titre extrêmement faible, conséquence directe de l'effondrement du résultat net 2025 à 409 millions FCFA. Le PER de 254,3x est aberrrant au regard de la moyenne BRVM (~8-12x) : les investisseurs paient plus de 250 fois les bénéfices actuels, ce qui traduit soit une anticipation de rebond spectaculaire, soit une décorrélation totale entre le cours et les fondamentaux présents. Le P/B de 2,88x indique que le marché valorise la banque près de trois fois ses fonds propres comptables (36,06 Mds FCFA), soit une prime de croissance significative difficile à justifier en l'état. Enfin, l'EV/EBITDA de 39,1x (très supérieur au seuil de 15x) confirme que la valeur d'entreprise intègre des anticipations de redressement opérationnel que les résultats actuels ne soutiennent pas encore.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BOAN affiche une progression spectaculaire de +43,47%, portée par un rally haussier qui a propulsé le titre de 3 395 FCFA à un sommet de 5 645 FCFA, avant une correction marquée de -5,66% lors de la dernière séance, ramenant le cours à 5 000 FCFA. Le range de trading de 2 250 FCFA (soit 66% du plus bas) témoigne d'une volatilité directionnelle intense. La tendance générale reste haussière sur la période, mais la récente consolidation interroge sur la durabilité du mouvement. Les statistiques descriptives révèlent une moyenne (4 652 FCFA) inférieure à la médiane (5 088 FCFA), signe d'une distribution légèrement asymétrique à gauche, avec un mode à 3 700 FCFA suggérant que le cours a longtemps stagné avant l'envolée récente. L'écart-type de 749 FCFA (CV=16,1%) indique une dispersion modérée, tandis que le kurtosis négatif (-1,562, distribution platykurtique) signale une faible concentration des rendements et un risque de pics limité. Le skewness de -0,340, qualifié de symétrique, confirme l'absence de biais directionnel marqué. La volatilité annualisée de 41,5% classe le titre dans la catégorie des valeurs très volatiles (&gt;30%), ce qui implique un risque de correction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(5 282,75 FCFA) et la MM50 (5 276,10 FCFA) sont quasi confondues et positionnées au-dessus du cours actuel (5 000 FCFA), ce qui place le titre en dessous de ses supports dynamiques. Cette configuration suggère une pression baissière à court terme, bien que la décision affichée soit "Achat" — probablement basée sur la tendance haussière de fond. La convergence des deux moyennes indique une phase de consolidation.</w:t>
      </w:r>
    </w:p>
    <w:p>
      <w:pPr>
        <w:spacing w:after="120" w:line="276" w:lineRule="auto"/>
      </w:pPr>
      <w:r>
        <w:t>**Bandes de Bollinger** : Le cours (5 000 FCFA) évolue dans la partie basse de la bande (borne inférieure à 4 723,94 FCFA, borne supérieure à 5 841,56 FCFA), sans atteindre la zone de survente. La largeur des bandes reflète une volatilité élevée, et la décision "Neutre" traduit l'absence de signal directionnel fort. Un retour vers la borne inférieure pourrait constituer une opportunité d'achat tactique.</w:t>
      </w:r>
    </w:p>
    <w:p>
      <w:pPr>
        <w:spacing w:after="120" w:line="276" w:lineRule="auto"/>
      </w:pPr>
      <w:r>
        <w:t>**MACD** : La valeur du MACD (-40,164) est inférieure à son signal (-25,023), confirmant un momentum baissier. La divergence négative entre les deux lignes indique que la pression vendeuse s'accentue, justifiant la décision "Vente". Un croisement haussier serait nécessaire pour inverser ce signal.</w:t>
      </w:r>
    </w:p>
    <w:p>
      <w:pPr>
        <w:spacing w:after="120" w:line="276" w:lineRule="auto"/>
      </w:pPr>
      <w:r>
        <w:t>**RSI** : À 38,171, le RSI se situe en zone neutre basse, sans atteindre la survente (&lt;30). La décision "Neutre" reflète l'absence de signal extrême, mais la proximité de la zone de survente suggère qu'une capitulation pourrait précéder un rebond.</w:t>
      </w:r>
    </w:p>
    <w:p>
      <w:pPr>
        <w:spacing w:after="120" w:line="276" w:lineRule="auto"/>
      </w:pPr>
      <w:r>
        <w:t>**Stochastique** : Le %K (43,902) est inférieur au %D (64,076), configuration baissière indiquant que le momentum court terme faiblit. La décision "Neutre" masque une divergence baissière naissante, avec un croisement potentiel à surveiller.</w:t>
      </w:r>
    </w:p>
    <w:p>
      <w:pPr>
        <w:spacing w:after="120" w:line="276" w:lineRule="auto"/>
      </w:pPr>
      <w:r>
        <w:t>**Conclusion technique** : Les indicateurs techniques présentent une divergence préoccupante : les moyennes mobiles et le MACD émettent des signaux baissiers, tandis que le RSI et le stochastique restent neutres. Le titre se situe sous ses supports dynamiques, avec un momentum négatif. La correction de -5,66% en J-1 pourrait marquer le début d'une consolidation plus profonde, mais la tendance haussière de fond n'est pas encore invalidée. Une prudence s'impose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2025 de BOAN (exercice clos le 31 décembre 2025) révèlent une situation profondément dégradée. Le Produit Net Bancaire (PNB), équivalent du chiffre d'affaires pour une banque, s'établit à 21 125 millions FCFA, en repli de -1,2% sur un an (21 380 millions en 2024). Le résultat net s'effondre à 409 millions FCFA, contre 5 002 millions en 2024, soit une chute vertigineuse de -91,8%. Cette débâcle s'explique par un coût du risque qui plus que double (+121,5%, à -6 016 millions FCFA), incluant une provision exceptionnelle de 4,8 milliards FCFA liée au taux de sinistralité sectoriel de 24% au Niger. Les ratios de rentabilité sont catastrophiques : ROE de 1,13% (contre 11,39% en 2024) et ROA de 0,14% (contre 1,49% en 2024), très loin des standards d'excellence (&gt;15% pour le ROE). Le coefficient d'exploitation, bien qu'en amélioration à 74,37% (contre 66,8% au T1 2025), reste supérieur au seuil de 60% qui caractérise une banque efficace. La structure financière demeure fragile avec une autonomie financière de 12,36% (très inférieure au seuil sain de 30%) et un ratio d'endettement de 178,61%. Le ratio de solvabilité (14,06%) et le coefficient de liquidité (123,95%) restent conformes aux exigences UEMOA, mais proches des seuils réglementaires. Les dépôts clientèle progressent modestement (+4,0% à 189 867 millions FCFA), tandis que les crédits reculent volontairement de -20,9% à 128 447 millions FCFA, traduisant une politique de réduction sélective des risques. Le rapport du T1 2026 (publié le 31 mars 2026) confirme un début de redressement : PNB en hausse de +7,9% à 5 170 millions FCFA, résultat net en progression de +28,9% à 1 467,3 millions FCFA, et coefficient d'exploitation ramené à 56,2% (contre 66,8% un an plus tôt). Sur la base de ce rapport trimestriel, on peut estimer que l'exercice 2026 devrait marquer une reprise, avec un PNB annualisé autour de 22 327 millions FCFA (+6,4%) et un résultat net potentiellement multiplié par 6, sous réserve de la confirmation de la baisse du coût du risque. La recommandation fondamentale est donc "CONSERVER" avec une surveillance rapprochée : la solidité financière reste précaire, mais les perspectives de redressement sont crédibles si le contexte macroéconomique nigérien s'améliore.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complexe et contradictoire. La valorisation (Partie 0) est extrêmement tendue : PER de 254,3x, P/B de 2,88x et EV/EBITDA de 39,1x intègrent des anticipations de rebond que les fondamentaux actuels ne justifient pas encore, suggérant une surévaluation manifeste. Le comportement du cours (Partie 1) est haussier sur 100 jours (+43,47%) mais montre des signes de fatigue avec une correction de -5,66% en J-1, une volatilité élevée (41,5%) et une distribution platykurtique (kurtosis -1,562) qui limite les risques de pics extrêmes. Les signaux techniques (Partie 2) sont majoritairement baissiers à court terme : cours sous les MM20/MM50, MACD en divergence négative, stochastique baissier, bien que le RSI (38,17) approche la zone de survente. Les fondamentaux (Partie 3) sont très dégradés pour 2025 (ROE 1,13%, résultat net -91,8%), mais le rapport T1 2026 (publié le 31 mars 2026) montre un redressement encourageant (+28,9% de résultat net, coefficient d'exploitation à 56,2%). Les prédictions IA (J+1 à J+10) anticipent une trajectoire haussière modérée vers 5 253 FCFA (+5,1% depuis 5 000 FCFA), ce qui contredit les signaux techniques baissiers à court terme mais s'aligne sur les perspectives fondamentales de reprise. **Recommandation finale : CONSERVER**. La convergence entre le redressement opérationnel du T1 2026, les prédictions IA haussières et la tendance de fond positive justifie une position attentiste, mais la surévaluation manifeste (PER 254x) et les risques baissiers techniques à court terme interdisent un achat agressif. Le niveau de confiance est **Moyen** (les données T1 2026 sont encourageantes mais un seul trimestre ne suffit pas à confirmer la tendance), et le niveau de risque global est **Élevé** (volatilité 41,5%, contexte macroéconomique nigérien instable, ratio d'endettement 178,6%). L'horizon d'investissement optimal est le **moyen terme (3-12 mois)**, en attendant la confirmation du redressement sur au moins deux trimestres supplémentaires et une amélioration durable du coût du risque.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294.30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11,606 titres</w:t>
            </w:r>
          </w:p>
        </w:tc>
        <w:tc>
          <w:tcPr>
            <w:tcW w:type="dxa" w:w="2268"/>
            <w:shd w:fill="FFF2CC" w:val="clear"/>
          </w:tcPr>
          <w:p>
            <w:r>
              <w:rPr>
                <w:b/>
                <w:color w:val="503200"/>
                <w:sz w:val="16"/>
              </w:rPr>
              <w:t xml:space="preserve">Cours actuel : </w:t>
            </w:r>
            <w:r>
              <w:rPr>
                <w:color w:val="000000"/>
                <w:sz w:val="17"/>
              </w:rPr>
              <w:t>8,175 FCFA</w:t>
            </w:r>
          </w:p>
          <w:p>
            <w:r>
              <w:rPr>
                <w:b/>
                <w:color w:val="503200"/>
                <w:sz w:val="16"/>
              </w:rPr>
              <w:t xml:space="preserve">Var. 100 jours : </w:t>
            </w:r>
            <w:r>
              <w:rPr>
                <w:b/>
                <w:color w:val="007800"/>
                <w:sz w:val="17"/>
              </w:rPr>
              <w:t>+10.62%</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4.72% (Faible) — μ=7,729 FCFA, σ=364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β=0.6119 (Défensif) — Cov=0.000041, Var(idx)=0.000068, ρ=0.301,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11,606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σ_j=1.67%/j (Stable) — Vol. annualisée≈26.5%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2026-10-05</w:t>
            </w:r>
          </w:p>
        </w:tc>
        <w:tc>
          <w:tcPr>
            <w:tcW w:type="dxa" w:w="1440"/>
            <w:shd w:fill="FFDCE0" w:val="clear"/>
          </w:tcPr>
          <w:p>
            <w:r>
              <w:rPr>
                <w:sz w:val="17"/>
              </w:rPr>
              <w:t>7,523</w:t>
            </w:r>
          </w:p>
        </w:tc>
        <w:tc>
          <w:tcPr>
            <w:tcW w:type="dxa" w:w="1440"/>
            <w:shd w:fill="FFDCE0" w:val="clear"/>
          </w:tcPr>
          <w:p>
            <w:r>
              <w:rPr>
                <w:b/>
                <w:sz w:val="17"/>
              </w:rPr>
              <w:t>7,860</w:t>
            </w:r>
          </w:p>
        </w:tc>
        <w:tc>
          <w:tcPr>
            <w:tcW w:type="dxa" w:w="1440"/>
            <w:shd w:fill="FFDCE0" w:val="clear"/>
          </w:tcPr>
          <w:p>
            <w:r>
              <w:rPr>
                <w:sz w:val="17"/>
              </w:rPr>
              <w:t>8,197</w:t>
            </w:r>
          </w:p>
        </w:tc>
        <w:tc>
          <w:tcPr>
            <w:tcW w:type="dxa" w:w="1440"/>
            <w:shd w:fill="FFDCE0" w:val="clear"/>
          </w:tcPr>
          <w:p>
            <w:r>
              <w:rPr>
                <w:b/>
                <w:color w:val="C00000"/>
                <w:sz w:val="17"/>
              </w:rPr>
              <w:t>-3.9%</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7,339</w:t>
            </w:r>
          </w:p>
        </w:tc>
        <w:tc>
          <w:tcPr>
            <w:tcW w:type="dxa" w:w="1440"/>
            <w:shd w:fill="FFDCE0" w:val="clear"/>
          </w:tcPr>
          <w:p>
            <w:r>
              <w:rPr>
                <w:b/>
                <w:sz w:val="17"/>
              </w:rPr>
              <w:t>7,745</w:t>
            </w:r>
          </w:p>
        </w:tc>
        <w:tc>
          <w:tcPr>
            <w:tcW w:type="dxa" w:w="1440"/>
            <w:shd w:fill="FFDCE0" w:val="clear"/>
          </w:tcPr>
          <w:p>
            <w:r>
              <w:rPr>
                <w:sz w:val="17"/>
              </w:rPr>
              <w:t>8,152</w:t>
            </w:r>
          </w:p>
        </w:tc>
        <w:tc>
          <w:tcPr>
            <w:tcW w:type="dxa" w:w="1440"/>
            <w:shd w:fill="FFDCE0" w:val="clear"/>
          </w:tcPr>
          <w:p>
            <w:r>
              <w:rPr>
                <w:b/>
                <w:color w:val="C00000"/>
                <w:sz w:val="17"/>
              </w:rPr>
              <w:t>-5.3%</w:t>
            </w:r>
          </w:p>
        </w:tc>
      </w:tr>
      <w:tr>
        <w:tc>
          <w:tcPr>
            <w:tcW w:type="dxa" w:w="1440"/>
            <w:shd w:fill="FFDCE0" w:val="clear"/>
          </w:tcPr>
          <w:p>
            <w:r>
              <w:rPr>
                <w:sz w:val="17"/>
              </w:rPr>
              <w:t>J+3  Moyenne</w:t>
            </w:r>
          </w:p>
        </w:tc>
        <w:tc>
          <w:tcPr>
            <w:tcW w:type="dxa" w:w="1440"/>
            <w:shd w:fill="FFDCE0" w:val="clear"/>
          </w:tcPr>
          <w:p>
            <w:r>
              <w:rPr>
                <w:sz w:val="17"/>
              </w:rPr>
              <w:t>2026-10-07</w:t>
            </w:r>
          </w:p>
        </w:tc>
        <w:tc>
          <w:tcPr>
            <w:tcW w:type="dxa" w:w="1440"/>
            <w:shd w:fill="FFDCE0" w:val="clear"/>
          </w:tcPr>
          <w:p>
            <w:r>
              <w:rPr>
                <w:sz w:val="17"/>
              </w:rPr>
              <w:t>7,178</w:t>
            </w:r>
          </w:p>
        </w:tc>
        <w:tc>
          <w:tcPr>
            <w:tcW w:type="dxa" w:w="1440"/>
            <w:shd w:fill="FFDCE0" w:val="clear"/>
          </w:tcPr>
          <w:p>
            <w:r>
              <w:rPr>
                <w:b/>
                <w:sz w:val="17"/>
              </w:rPr>
              <w:t>7,641</w:t>
            </w:r>
          </w:p>
        </w:tc>
        <w:tc>
          <w:tcPr>
            <w:tcW w:type="dxa" w:w="1440"/>
            <w:shd w:fill="FFDCE0" w:val="clear"/>
          </w:tcPr>
          <w:p>
            <w:r>
              <w:rPr>
                <w:sz w:val="17"/>
              </w:rPr>
              <w:t>8,104</w:t>
            </w:r>
          </w:p>
        </w:tc>
        <w:tc>
          <w:tcPr>
            <w:tcW w:type="dxa" w:w="1440"/>
            <w:shd w:fill="FFDCE0" w:val="clear"/>
          </w:tcPr>
          <w:p>
            <w:r>
              <w:rPr>
                <w:b/>
                <w:color w:val="C00000"/>
                <w:sz w:val="17"/>
              </w:rPr>
              <w:t>-6.5%</w:t>
            </w:r>
          </w:p>
        </w:tc>
      </w:tr>
      <w:tr>
        <w:tc>
          <w:tcPr>
            <w:tcW w:type="dxa" w:w="1440"/>
            <w:shd w:fill="FFDCE0" w:val="clear"/>
          </w:tcPr>
          <w:p>
            <w:r>
              <w:rPr>
                <w:sz w:val="17"/>
              </w:rPr>
              <w:t>J+4  Moyenne</w:t>
            </w:r>
          </w:p>
        </w:tc>
        <w:tc>
          <w:tcPr>
            <w:tcW w:type="dxa" w:w="1440"/>
            <w:shd w:fill="FFDCE0" w:val="clear"/>
          </w:tcPr>
          <w:p>
            <w:r>
              <w:rPr>
                <w:sz w:val="17"/>
              </w:rPr>
              <w:t>2026-10-08</w:t>
            </w:r>
          </w:p>
        </w:tc>
        <w:tc>
          <w:tcPr>
            <w:tcW w:type="dxa" w:w="1440"/>
            <w:shd w:fill="FFDCE0" w:val="clear"/>
          </w:tcPr>
          <w:p>
            <w:r>
              <w:rPr>
                <w:sz w:val="17"/>
              </w:rPr>
              <w:t>7,032</w:t>
            </w:r>
          </w:p>
        </w:tc>
        <w:tc>
          <w:tcPr>
            <w:tcW w:type="dxa" w:w="1440"/>
            <w:shd w:fill="FFDCE0" w:val="clear"/>
          </w:tcPr>
          <w:p>
            <w:r>
              <w:rPr>
                <w:b/>
                <w:sz w:val="17"/>
              </w:rPr>
              <w:t>7,543</w:t>
            </w:r>
          </w:p>
        </w:tc>
        <w:tc>
          <w:tcPr>
            <w:tcW w:type="dxa" w:w="1440"/>
            <w:shd w:fill="FFDCE0" w:val="clear"/>
          </w:tcPr>
          <w:p>
            <w:r>
              <w:rPr>
                <w:sz w:val="17"/>
              </w:rPr>
              <w:t>8,054</w:t>
            </w:r>
          </w:p>
        </w:tc>
        <w:tc>
          <w:tcPr>
            <w:tcW w:type="dxa" w:w="1440"/>
            <w:shd w:fill="FFDCE0" w:val="clear"/>
          </w:tcPr>
          <w:p>
            <w:r>
              <w:rPr>
                <w:b/>
                <w:color w:val="C00000"/>
                <w:sz w:val="17"/>
              </w:rPr>
              <w:t>-7.7%</w:t>
            </w:r>
          </w:p>
        </w:tc>
      </w:tr>
      <w:tr>
        <w:tc>
          <w:tcPr>
            <w:tcW w:type="dxa" w:w="1440"/>
            <w:shd w:fill="FFDCE0" w:val="clear"/>
          </w:tcPr>
          <w:p>
            <w:r>
              <w:rPr>
                <w:sz w:val="17"/>
              </w:rPr>
              <w:t>J+5  Moyenne</w:t>
            </w:r>
          </w:p>
        </w:tc>
        <w:tc>
          <w:tcPr>
            <w:tcW w:type="dxa" w:w="1440"/>
            <w:shd w:fill="FFDCE0" w:val="clear"/>
          </w:tcPr>
          <w:p>
            <w:r>
              <w:rPr>
                <w:sz w:val="17"/>
              </w:rPr>
              <w:t>2026-10-09</w:t>
            </w:r>
          </w:p>
        </w:tc>
        <w:tc>
          <w:tcPr>
            <w:tcW w:type="dxa" w:w="1440"/>
            <w:shd w:fill="FFDCE0" w:val="clear"/>
          </w:tcPr>
          <w:p>
            <w:r>
              <w:rPr>
                <w:sz w:val="17"/>
              </w:rPr>
              <w:t>6,897</w:t>
            </w:r>
          </w:p>
        </w:tc>
        <w:tc>
          <w:tcPr>
            <w:tcW w:type="dxa" w:w="1440"/>
            <w:shd w:fill="FFDCE0" w:val="clear"/>
          </w:tcPr>
          <w:p>
            <w:r>
              <w:rPr>
                <w:b/>
                <w:sz w:val="17"/>
              </w:rPr>
              <w:t>7,450</w:t>
            </w:r>
          </w:p>
        </w:tc>
        <w:tc>
          <w:tcPr>
            <w:tcW w:type="dxa" w:w="1440"/>
            <w:shd w:fill="FFDCE0" w:val="clear"/>
          </w:tcPr>
          <w:p>
            <w:r>
              <w:rPr>
                <w:sz w:val="17"/>
              </w:rPr>
              <w:t>8,002</w:t>
            </w:r>
          </w:p>
        </w:tc>
        <w:tc>
          <w:tcPr>
            <w:tcW w:type="dxa" w:w="1440"/>
            <w:shd w:fill="FFDCE0" w:val="clear"/>
          </w:tcPr>
          <w:p>
            <w:r>
              <w:rPr>
                <w:b/>
                <w:color w:val="C00000"/>
                <w:sz w:val="17"/>
              </w:rPr>
              <w:t>-8.9%</w:t>
            </w:r>
          </w:p>
        </w:tc>
      </w:tr>
      <w:tr>
        <w:tc>
          <w:tcPr>
            <w:tcW w:type="dxa" w:w="1440"/>
            <w:shd w:fill="FFDCE0" w:val="clear"/>
          </w:tcPr>
          <w:p>
            <w:r>
              <w:rPr>
                <w:sz w:val="17"/>
              </w:rPr>
              <w:t>J+6  Moyenne</w:t>
            </w:r>
          </w:p>
        </w:tc>
        <w:tc>
          <w:tcPr>
            <w:tcW w:type="dxa" w:w="1440"/>
            <w:shd w:fill="FFDCE0" w:val="clear"/>
          </w:tcPr>
          <w:p>
            <w:r>
              <w:rPr>
                <w:sz w:val="17"/>
              </w:rPr>
              <w:t>2026-10-12</w:t>
            </w:r>
          </w:p>
        </w:tc>
        <w:tc>
          <w:tcPr>
            <w:tcW w:type="dxa" w:w="1440"/>
            <w:shd w:fill="FFDCE0" w:val="clear"/>
          </w:tcPr>
          <w:p>
            <w:r>
              <w:rPr>
                <w:sz w:val="17"/>
              </w:rPr>
              <w:t>6,771</w:t>
            </w:r>
          </w:p>
        </w:tc>
        <w:tc>
          <w:tcPr>
            <w:tcW w:type="dxa" w:w="1440"/>
            <w:shd w:fill="FFDCE0" w:val="clear"/>
          </w:tcPr>
          <w:p>
            <w:r>
              <w:rPr>
                <w:b/>
                <w:sz w:val="17"/>
              </w:rPr>
              <w:t>7,361</w:t>
            </w:r>
          </w:p>
        </w:tc>
        <w:tc>
          <w:tcPr>
            <w:tcW w:type="dxa" w:w="1440"/>
            <w:shd w:fill="FFDCE0" w:val="clear"/>
          </w:tcPr>
          <w:p>
            <w:r>
              <w:rPr>
                <w:sz w:val="17"/>
              </w:rPr>
              <w:t>7,951</w:t>
            </w:r>
          </w:p>
        </w:tc>
        <w:tc>
          <w:tcPr>
            <w:tcW w:type="dxa" w:w="1440"/>
            <w:shd w:fill="FFDCE0" w:val="clear"/>
          </w:tcPr>
          <w:p>
            <w:r>
              <w:rPr>
                <w:b/>
                <w:color w:val="C00000"/>
                <w:sz w:val="17"/>
              </w:rPr>
              <w:t>-10.0%</w:t>
            </w:r>
          </w:p>
        </w:tc>
      </w:tr>
      <w:tr>
        <w:tc>
          <w:tcPr>
            <w:tcW w:type="dxa" w:w="1440"/>
            <w:shd w:fill="FFDCE0" w:val="clear"/>
          </w:tcPr>
          <w:p>
            <w:r>
              <w:rPr>
                <w:sz w:val="17"/>
              </w:rPr>
              <w:t>J+7  Moyenne</w:t>
            </w:r>
          </w:p>
        </w:tc>
        <w:tc>
          <w:tcPr>
            <w:tcW w:type="dxa" w:w="1440"/>
            <w:shd w:fill="FFDCE0" w:val="clear"/>
          </w:tcPr>
          <w:p>
            <w:r>
              <w:rPr>
                <w:sz w:val="17"/>
              </w:rPr>
              <w:t>2026-10-13</w:t>
            </w:r>
          </w:p>
        </w:tc>
        <w:tc>
          <w:tcPr>
            <w:tcW w:type="dxa" w:w="1440"/>
            <w:shd w:fill="FFDCE0" w:val="clear"/>
          </w:tcPr>
          <w:p>
            <w:r>
              <w:rPr>
                <w:sz w:val="17"/>
              </w:rPr>
              <w:t>6,652</w:t>
            </w:r>
          </w:p>
        </w:tc>
        <w:tc>
          <w:tcPr>
            <w:tcW w:type="dxa" w:w="1440"/>
            <w:shd w:fill="FFDCE0" w:val="clear"/>
          </w:tcPr>
          <w:p>
            <w:r>
              <w:rPr>
                <w:b/>
                <w:sz w:val="17"/>
              </w:rPr>
              <w:t>7,276</w:t>
            </w:r>
          </w:p>
        </w:tc>
        <w:tc>
          <w:tcPr>
            <w:tcW w:type="dxa" w:w="1440"/>
            <w:shd w:fill="FFDCE0" w:val="clear"/>
          </w:tcPr>
          <w:p>
            <w:r>
              <w:rPr>
                <w:sz w:val="17"/>
              </w:rPr>
              <w:t>7,899</w:t>
            </w:r>
          </w:p>
        </w:tc>
        <w:tc>
          <w:tcPr>
            <w:tcW w:type="dxa" w:w="1440"/>
            <w:shd w:fill="FFDCE0" w:val="clear"/>
          </w:tcPr>
          <w:p>
            <w:r>
              <w:rPr>
                <w:b/>
                <w:color w:val="C00000"/>
                <w:sz w:val="17"/>
              </w:rPr>
              <w:t>-11.0%</w:t>
            </w:r>
          </w:p>
        </w:tc>
      </w:tr>
      <w:tr>
        <w:tc>
          <w:tcPr>
            <w:tcW w:type="dxa" w:w="1440"/>
            <w:shd w:fill="FFDCE0" w:val="clear"/>
          </w:tcPr>
          <w:p>
            <w:r>
              <w:rPr>
                <w:sz w:val="17"/>
              </w:rPr>
              <w:t>J+8  Moyenne</w:t>
            </w:r>
          </w:p>
        </w:tc>
        <w:tc>
          <w:tcPr>
            <w:tcW w:type="dxa" w:w="1440"/>
            <w:shd w:fill="FFDCE0" w:val="clear"/>
          </w:tcPr>
          <w:p>
            <w:r>
              <w:rPr>
                <w:sz w:val="17"/>
              </w:rPr>
              <w:t>2026-10-14</w:t>
            </w:r>
          </w:p>
        </w:tc>
        <w:tc>
          <w:tcPr>
            <w:tcW w:type="dxa" w:w="1440"/>
            <w:shd w:fill="FFDCE0" w:val="clear"/>
          </w:tcPr>
          <w:p>
            <w:r>
              <w:rPr>
                <w:sz w:val="17"/>
              </w:rPr>
              <w:t>6,541</w:t>
            </w:r>
          </w:p>
        </w:tc>
        <w:tc>
          <w:tcPr>
            <w:tcW w:type="dxa" w:w="1440"/>
            <w:shd w:fill="FFDCE0" w:val="clear"/>
          </w:tcPr>
          <w:p>
            <w:r>
              <w:rPr>
                <w:b/>
                <w:sz w:val="17"/>
              </w:rPr>
              <w:t>7,195</w:t>
            </w:r>
          </w:p>
        </w:tc>
        <w:tc>
          <w:tcPr>
            <w:tcW w:type="dxa" w:w="1440"/>
            <w:shd w:fill="FFDCE0" w:val="clear"/>
          </w:tcPr>
          <w:p>
            <w:r>
              <w:rPr>
                <w:sz w:val="17"/>
              </w:rPr>
              <w:t>7,849</w:t>
            </w:r>
          </w:p>
        </w:tc>
        <w:tc>
          <w:tcPr>
            <w:tcW w:type="dxa" w:w="1440"/>
            <w:shd w:fill="FFDCE0" w:val="clear"/>
          </w:tcPr>
          <w:p>
            <w:r>
              <w:rPr>
                <w:b/>
                <w:color w:val="C00000"/>
                <w:sz w:val="17"/>
              </w:rPr>
              <w:t>-12.0%</w:t>
            </w:r>
          </w:p>
        </w:tc>
      </w:tr>
      <w:tr>
        <w:tc>
          <w:tcPr>
            <w:tcW w:type="dxa" w:w="1440"/>
            <w:shd w:fill="FFDCE0" w:val="clear"/>
          </w:tcPr>
          <w:p>
            <w:r>
              <w:rPr>
                <w:sz w:val="17"/>
              </w:rPr>
              <w:t>J+9  Moyenne</w:t>
            </w:r>
          </w:p>
        </w:tc>
        <w:tc>
          <w:tcPr>
            <w:tcW w:type="dxa" w:w="1440"/>
            <w:shd w:fill="FFDCE0" w:val="clear"/>
          </w:tcPr>
          <w:p>
            <w:r>
              <w:rPr>
                <w:sz w:val="17"/>
              </w:rPr>
              <w:t>2026-10-15</w:t>
            </w:r>
          </w:p>
        </w:tc>
        <w:tc>
          <w:tcPr>
            <w:tcW w:type="dxa" w:w="1440"/>
            <w:shd w:fill="FFDCE0" w:val="clear"/>
          </w:tcPr>
          <w:p>
            <w:r>
              <w:rPr>
                <w:sz w:val="17"/>
              </w:rPr>
              <w:t>6,435</w:t>
            </w:r>
          </w:p>
        </w:tc>
        <w:tc>
          <w:tcPr>
            <w:tcW w:type="dxa" w:w="1440"/>
            <w:shd w:fill="FFDCE0" w:val="clear"/>
          </w:tcPr>
          <w:p>
            <w:r>
              <w:rPr>
                <w:b/>
                <w:sz w:val="17"/>
              </w:rPr>
              <w:t>7,117</w:t>
            </w:r>
          </w:p>
        </w:tc>
        <w:tc>
          <w:tcPr>
            <w:tcW w:type="dxa" w:w="1440"/>
            <w:shd w:fill="FFDCE0" w:val="clear"/>
          </w:tcPr>
          <w:p>
            <w:r>
              <w:rPr>
                <w:sz w:val="17"/>
              </w:rPr>
              <w:t>7,799</w:t>
            </w:r>
          </w:p>
        </w:tc>
        <w:tc>
          <w:tcPr>
            <w:tcW w:type="dxa" w:w="1440"/>
            <w:shd w:fill="FFDCE0" w:val="clear"/>
          </w:tcPr>
          <w:p>
            <w:r>
              <w:rPr>
                <w:b/>
                <w:color w:val="C00000"/>
                <w:sz w:val="17"/>
              </w:rPr>
              <w:t>-12.9%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294,30 milliards FCFA, BOAS s'impose comme l'une des valeurs bancaires de référence de la cote BRVM, témoignant d'une liquidité et d'une profondeur de marché appréciables pour un titre régional. Le BPA de 608 FCFA par action signifie que chaque titre génère près de 608 FCFA de bénéfice net, un niveau de rentabilité par action robuste qui soutient la qualité du titre. Le PER de 13,4x situe le titre légèrement au-dessus de la moyenne du marché BRVM (8-12x), ce qui traduit une prime de qualité justifiée par la régularité des résultats et la solidité du dividende, sans pour autant basculer dans une zone de surévaluation manifeste. Le P/B de 3,05x indique que le marché valorise la banque à environ trois fois ses fonds propres comptables, une prime de croissance cohérente avec un ROE supérieur à 22%. Enfin, l'EV/EBITDA de 8,7x, dans la fourchette raisonnable de 5-10x, confirme que la valeur d'entreprise reste proportionnée à la capacité opérationnelle de génération de cash-flows, l'ensemble de ces ratios dessinant un profil de valorisation équilibré, ni décoté ni excessif.</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BOAS affiche une progression totale de +10,62%, avec une dernière séance en hausse de +0,37%, confirmant une dynamique haussière de fond. Le cours actuel de 8 175 FCFA évolue dans un range de trading compris entre 7 250 FCFA (plus bas) et 8 500 FCFA (plus haut), soit une amplitude d'environ 17%, le titre se situant actuellement dans la partie haute de cette fourchette, à environ 96% du plus haut. La tendance générale est donc clairement haussière, soutenue par un volume moyen quotidien de 11 606 titres qui témoigne d'une liquidité correcte. Les statistiques descriptives révèlent une moyenne de 7 729 FCFA légèrement supérieure à la médiane de 7 695 FCFA, avec un mode à 7 700 FCFA : cet écart marginal entre moyenne et médiane, combiné à un skewness de 0,415 (distribution qualifiée de symétrique), indique une répartition équilibrée des cours sans biais extrême. L'écart-type de 366 FCFA et le coefficient de variation de 4,7% traduisent une dispersion modérée du cours autour de sa moyenne, tandis que le kurtosis de -1,131 (distribution platykurtique) signale une faible concentration des valeurs et un risque de pics extrêmes limité — un profil rassurant pour la gestion du risque. La volatilité annualisée de 26,5% place le titre dans la catégorie des valeurs à volatilité modérée (15-30%), cohérente avec son statut de valeur bancaire de qualité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8 134,0 FCFA et la MM50 à 8 007,1 FCFA, toutes deux inférieures au cours actuel de 8 175 FCFA, ce qui place le titre au-dessus de ses deux moyennes mobiles — configuration classique de tendance haussière. La MM20 étant elle-même supérieure à la MM50, le croisement des moyennes confirme la dynamique positive, justifiant la décision technique d'**Achat**.</w:t>
      </w:r>
    </w:p>
    <w:p>
      <w:pPr>
        <w:spacing w:after="120" w:line="276" w:lineRule="auto"/>
      </w:pPr>
      <w:r>
        <w:t>**Bandes de Bollinger** : Les bornes supérieure et inférieure se situent respectivement à 8 489,655 FCFA et 7 778,345 FCFA, encadrant le cours actuel de 8 175 FCFA qui évolue dans la partie médiane-haute du canal. L'absence de contact avec les bornes traduit une volatilité contenue et l'absence de signal de surachat ou de survente, d'où la décision **Neutre** qui invite à la prudence sans pour autant remettre en cause la tendance.</w:t>
      </w:r>
    </w:p>
    <w:p>
      <w:pPr>
        <w:spacing w:after="120" w:line="276" w:lineRule="auto"/>
      </w:pPr>
      <w:r>
        <w:t>**MACD** : La valeur du MACD (9,524) est inférieure à celle de son signal (16,132), configuration baissière caractéristique d'un momentum en perte de vitesse, bien que les deux lignes restent en territoire positif. Cette divergence négative, bien que modérée, justifie la décision technique de **Vente** à court terme, signalant un essoufflement possible de la dynamique haussière.</w:t>
      </w:r>
    </w:p>
    <w:p>
      <w:pPr>
        <w:spacing w:after="120" w:line="276" w:lineRule="auto"/>
      </w:pPr>
      <w:r>
        <w:t>**RSI** : À 49,091, l'indice de force relative se situe parfaitement dans la zone neutre (30-70), à mi-chemin entre surachat et survente. Cette position centrale indique un équilibre entre acheteurs et vendeurs, sans pression directionnelle dominante, ce qui justifie la décision **Neutre** et suggère une phase de consolidation.</w:t>
      </w:r>
    </w:p>
    <w:p>
      <w:pPr>
        <w:spacing w:after="120" w:line="276" w:lineRule="auto"/>
      </w:pPr>
      <w:r>
        <w:t>**Stochastique** : Le %K (75,0) est légèrement supérieur au %D (72,143), avec les deux indicateurs en zone haute mais sans franchissement des seuils de surachat extrême (80-100). L'absence de croisement baissier net et la position élevée des deux lignes suggèrent une poursuite possible de la hausse à court terme, mais la proximité de la zone de surachat invite à la vigilance, d'où la décision **Neutre**.</w:t>
      </w:r>
    </w:p>
    <w:p>
      <w:pPr>
        <w:spacing w:after="120" w:line="276" w:lineRule="auto"/>
      </w:pPr>
      <w:r>
        <w:t>**Conclusion technique** : Les indicateurs présentent un tableau mitigé — les moyennes mobiles confirment une tendance haussière de fond, tandis que le MACD signale un essoufflement du momentum et que le RSI, le stochastique et les bandes de Bollinger affichent une configuration neutre. Cette divergence entre tendance de fond haussière et signaux de court terme neutres à baissiers suggère une phase de consolidation probable avant une éventuelle reprise, le titre évoluant dans une zone d'équilibre technique nécessitant une confirmation directionnelle.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(base brvm_donnees_financieres) révèlent une banque solide et rentable : le Produit Net Bancaire (équivalent du chiffre d'affaires pour une banque) s'établit à 51,926 milliards FCFA, générant un résultat net de 21,905 milliards FCFA, soit une marge nette exceptionnelle de 42,19%. Le ROE de 22,69% (largement supérieur au seuil d'excellence de 15%) et le ROA de 2,62% témoignent d'une rentabilité des fonds propres et des actifs remarquable. Le coefficient d'exploitation de 44,02% (inférieur au seuil de 60% et même de 50%) confirme l'efficacité opérationnelle de la banque, tandis que le coût du risque de 23,31% (provisions/charges financières) mérite une surveillance attentive, bien qu'il reste maîtrisé. La structure bilancielle affiche un total actif de 836,158 milliards FCFA, des dépôts clientèle de 686,927 milliards FCFA (principale ressource) et des créances clientèle de 386,424 milliards FCFA, soit un ratio de transformation (crédits/dépôts) de 56,3%, indiquant une marge de progression dans l'utilisation des dépôts. Les rapports trimestriels récents confirment la dynamique : le rapport du T1 2026 (publié en 2026) fait état d'un PNB de 12 580 millions FCFA en hausse de 6,82% et d'un résultat net de 5 741 millions FCFA en progression de 9,78%, avec un coefficient d'exploitation amélioré à 42,1%. Le rapport du S1 2026 (publié en 2026) mentionne un PNB semestriel de 27 206 millions FCFA en hausse, tandis que le rapport du T3 2025 (daté du 30 septembre 2025) indiquait un PNB cumulé de 37,44 milliards FCFA (+6,71%) et un résultat net de 16,37 milliards FCFA (+10,01%), avec un coût du risque en baisse à -0,5% du PNB. Sur la base de ces tendances, on peut estimer que l'exercice 2026 devrait enregistrer une croissance du PNB de l'ordre de 6-7% et une progression du résultat net de 8-10%, poursuivant la trajectoire des exercices précédents (croissance du résultat net de 44,4% en 2021, puis ralentissement progressif vers une croissance plus mature). La recommandation fondamentale est **solide** : la banque affiche une rentabilité élevée, une efficacité opérationnelle confirmée, une collecte de dépôts dynamique (+13,6% au T1 2026) et une gestion prudente des risques, avec pour principaux risques la concentration sur le marché sénégalais et l'exposition au risque de crédit dans un environnement économique incertain.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Sur le plan de la **valorisation (Partie 0)**, les ratios PER (13,4x), P/B (3,05x) et EV/EBITDA (8,7x) indiquent une valorisation raisonnable, légèrement supérieure à la moyenne du marché BRVM mais justifiée par la qualité des fondamentaux, sans surévaluation manifeste. Le **comportement du cours (Partie 1)** est favorable : tendance haussière de +10,62% sur 100 jours, volatilité modérée (26,5%), distribution équilibrée (skewness 0,415) et risque de pics limité (kurtosis -1,131), bien que le titre évolue proche de ses plus hauts. Les **signaux techniques (Partie 2)** sont mitigés : les moyennes mobiles confirment la tendance haussière (décision Achat), mais le MACD signale un essoufflement (Vente) et le RSI, le stochastique et les bandes de Bollinger affichent une configuration neutre, suggérant une consolidation. Les **fondamentaux (Partie 3)** sont excellents : ROE de 22,69%, coefficient d'exploitation de 44,02%, croissance régulière du PNB et du résultat net confirmée par les rapports T1 2026 (+9,78% de résultat net) et S1 2026, avec des perspectives estimées de croissance de 6-10% pour 2026. Les **prédictions IA (J+1 à J+10)** contredisent toutefois cette dynamique en anticipant une baisse progressive du cours de 7 860 FCFA (J+1) à 7 450 FCFA (J+10), soit une correction d'environ 8,9% depuis le cours actuel de 8 175 FCFA. Cette divergence entre fondamentaux solides et prédiction baissière à court terme suggère une correction technique probable après la hausse récente, sans remise en cause de la tendance de fond. **Recommandation finale : CONSERVER**, avec un biais positif pour les investisseurs déjà positionnés. La convergence entre valorisation raisonnable, fondamentaux solides et tendance haussière de fond est tempérée par les signaux techniques de court terme neutres à baissiers et la prédiction IA baissière, ce qui justifie une attitude prudente à court terme. Le **niveau de confiance est Moyen** (les fondamentaux sont solides mais les signaux techniques et la prédiction divergent), le **niveau de risque global est Moyen** (volatilité modérée, concentration géographique, risque de crédit), et l'**horizon d'investissement optimal est le moyen terme (3-12 mois)**, permettant de traverser la consolidation attendue et de bénéficier de la poursuite de la croissance des bénéfices.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20.10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2,049 titres</w:t>
            </w:r>
          </w:p>
        </w:tc>
        <w:tc>
          <w:tcPr>
            <w:tcW w:type="dxa" w:w="2268"/>
            <w:shd w:fill="FFF2CC" w:val="clear"/>
          </w:tcPr>
          <w:p>
            <w:r>
              <w:rPr>
                <w:b/>
                <w:color w:val="503200"/>
                <w:sz w:val="16"/>
              </w:rPr>
              <w:t xml:space="preserve">Cours actuel : </w:t>
            </w:r>
            <w:r>
              <w:rPr>
                <w:color w:val="000000"/>
                <w:sz w:val="17"/>
              </w:rPr>
              <w:t>3,395 FCFA</w:t>
            </w:r>
          </w:p>
          <w:p>
            <w:r>
              <w:rPr>
                <w:b/>
                <w:color w:val="503200"/>
                <w:sz w:val="16"/>
              </w:rPr>
              <w:t xml:space="preserve">Var. 100 jours : </w:t>
            </w:r>
            <w:r>
              <w:rPr>
                <w:b/>
                <w:color w:val="B40000"/>
                <w:sz w:val="17"/>
              </w:rPr>
              <w:t>-3.00%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3,190 FCFA</w:t>
            </w:r>
          </w:p>
          <w:p>
            <w:r>
              <w:rPr>
                <w:b/>
                <w:color w:val="503200"/>
                <w:sz w:val="16"/>
              </w:rPr>
              <w:t xml:space="preserve">Volatilité ann. : </w:t>
            </w:r>
            <w:r>
              <w:rPr>
                <w:color w:val="000000"/>
                <w:sz w:val="17"/>
              </w:rPr>
              <w:t>45.0%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7.85% (Moyenne) — μ=3,682 FCFA, σ=289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β=0.3501 (Défensif) — Cov=0.000024, Var(idx)=0.000068, ρ=0.102,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3,229</w:t>
            </w:r>
          </w:p>
        </w:tc>
        <w:tc>
          <w:tcPr>
            <w:tcW w:type="dxa" w:w="1440"/>
            <w:shd w:fill="FAFAFA" w:val="clear"/>
          </w:tcPr>
          <w:p>
            <w:r>
              <w:rPr>
                <w:b/>
                <w:sz w:val="17"/>
              </w:rPr>
              <w:t>3,376</w:t>
            </w:r>
          </w:p>
        </w:tc>
        <w:tc>
          <w:tcPr>
            <w:tcW w:type="dxa" w:w="1440"/>
            <w:shd w:fill="FAFAFA" w:val="clear"/>
          </w:tcPr>
          <w:p>
            <w:r>
              <w:rPr>
                <w:sz w:val="17"/>
              </w:rPr>
              <w:t>3,522</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3,187</w:t>
            </w:r>
          </w:p>
        </w:tc>
        <w:tc>
          <w:tcPr>
            <w:tcW w:type="dxa" w:w="1440"/>
            <w:shd w:fill="FAFAFA" w:val="clear"/>
          </w:tcPr>
          <w:p>
            <w:r>
              <w:rPr>
                <w:b/>
                <w:sz w:val="17"/>
              </w:rPr>
              <w:t>3,366</w:t>
            </w:r>
          </w:p>
        </w:tc>
        <w:tc>
          <w:tcPr>
            <w:tcW w:type="dxa" w:w="1440"/>
            <w:shd w:fill="FAFAFA" w:val="clear"/>
          </w:tcPr>
          <w:p>
            <w:r>
              <w:rPr>
                <w:sz w:val="17"/>
              </w:rPr>
              <w:t>3,545</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2026-10-07</w:t>
            </w:r>
          </w:p>
        </w:tc>
        <w:tc>
          <w:tcPr>
            <w:tcW w:type="dxa" w:w="1440"/>
            <w:shd w:fill="FAFAFA" w:val="clear"/>
          </w:tcPr>
          <w:p>
            <w:r>
              <w:rPr>
                <w:sz w:val="17"/>
              </w:rPr>
              <w:t>3,151</w:t>
            </w:r>
          </w:p>
        </w:tc>
        <w:tc>
          <w:tcPr>
            <w:tcW w:type="dxa" w:w="1440"/>
            <w:shd w:fill="FAFAFA" w:val="clear"/>
          </w:tcPr>
          <w:p>
            <w:r>
              <w:rPr>
                <w:b/>
                <w:sz w:val="17"/>
              </w:rPr>
              <w:t>3,357</w:t>
            </w:r>
          </w:p>
        </w:tc>
        <w:tc>
          <w:tcPr>
            <w:tcW w:type="dxa" w:w="1440"/>
            <w:shd w:fill="FAFAFA" w:val="clear"/>
          </w:tcPr>
          <w:p>
            <w:r>
              <w:rPr>
                <w:sz w:val="17"/>
              </w:rPr>
              <w:t>3,563</w:t>
            </w:r>
          </w:p>
        </w:tc>
        <w:tc>
          <w:tcPr>
            <w:tcW w:type="dxa" w:w="1440"/>
            <w:shd w:fill="FAFAFA" w:val="clear"/>
          </w:tcPr>
          <w:p>
            <w:r>
              <w:rPr>
                <w:b/>
                <w:color w:val="C00000"/>
                <w:sz w:val="17"/>
              </w:rPr>
              <w:t>-1.1%</w:t>
            </w:r>
          </w:p>
        </w:tc>
      </w:tr>
      <w:tr>
        <w:tc>
          <w:tcPr>
            <w:tcW w:type="dxa" w:w="1440"/>
            <w:shd w:fill="FAFAFA" w:val="clear"/>
          </w:tcPr>
          <w:p>
            <w:r>
              <w:rPr>
                <w:sz w:val="17"/>
              </w:rPr>
              <w:t>J+4  Moyenne</w:t>
            </w:r>
          </w:p>
        </w:tc>
        <w:tc>
          <w:tcPr>
            <w:tcW w:type="dxa" w:w="1440"/>
            <w:shd w:fill="FAFAFA" w:val="clear"/>
          </w:tcPr>
          <w:p>
            <w:r>
              <w:rPr>
                <w:sz w:val="17"/>
              </w:rPr>
              <w:t>2026-10-08</w:t>
            </w:r>
          </w:p>
        </w:tc>
        <w:tc>
          <w:tcPr>
            <w:tcW w:type="dxa" w:w="1440"/>
            <w:shd w:fill="FAFAFA" w:val="clear"/>
          </w:tcPr>
          <w:p>
            <w:r>
              <w:rPr>
                <w:sz w:val="17"/>
              </w:rPr>
              <w:t>3,120</w:t>
            </w:r>
          </w:p>
        </w:tc>
        <w:tc>
          <w:tcPr>
            <w:tcW w:type="dxa" w:w="1440"/>
            <w:shd w:fill="FAFAFA" w:val="clear"/>
          </w:tcPr>
          <w:p>
            <w:r>
              <w:rPr>
                <w:b/>
                <w:sz w:val="17"/>
              </w:rPr>
              <w:t>3,350</w:t>
            </w:r>
          </w:p>
        </w:tc>
        <w:tc>
          <w:tcPr>
            <w:tcW w:type="dxa" w:w="1440"/>
            <w:shd w:fill="FAFAFA" w:val="clear"/>
          </w:tcPr>
          <w:p>
            <w:r>
              <w:rPr>
                <w:sz w:val="17"/>
              </w:rPr>
              <w:t>3,580</w:t>
            </w:r>
          </w:p>
        </w:tc>
        <w:tc>
          <w:tcPr>
            <w:tcW w:type="dxa" w:w="1440"/>
            <w:shd w:fill="FAFAFA" w:val="clear"/>
          </w:tcPr>
          <w:p>
            <w:r>
              <w:rPr>
                <w:b/>
                <w:color w:val="C00000"/>
                <w:sz w:val="17"/>
              </w:rPr>
              <w:t>-1.3%</w:t>
            </w:r>
          </w:p>
        </w:tc>
      </w:tr>
      <w:tr>
        <w:tc>
          <w:tcPr>
            <w:tcW w:type="dxa" w:w="1440"/>
            <w:shd w:fill="FAFAFA" w:val="clear"/>
          </w:tcPr>
          <w:p>
            <w:r>
              <w:rPr>
                <w:sz w:val="17"/>
              </w:rPr>
              <w:t>J+5  Moyenne</w:t>
            </w:r>
          </w:p>
        </w:tc>
        <w:tc>
          <w:tcPr>
            <w:tcW w:type="dxa" w:w="1440"/>
            <w:shd w:fill="FAFAFA" w:val="clear"/>
          </w:tcPr>
          <w:p>
            <w:r>
              <w:rPr>
                <w:sz w:val="17"/>
              </w:rPr>
              <w:t>2026-10-09</w:t>
            </w:r>
          </w:p>
        </w:tc>
        <w:tc>
          <w:tcPr>
            <w:tcW w:type="dxa" w:w="1440"/>
            <w:shd w:fill="FAFAFA" w:val="clear"/>
          </w:tcPr>
          <w:p>
            <w:r>
              <w:rPr>
                <w:sz w:val="17"/>
              </w:rPr>
              <w:t>3,093</w:t>
            </w:r>
          </w:p>
        </w:tc>
        <w:tc>
          <w:tcPr>
            <w:tcW w:type="dxa" w:w="1440"/>
            <w:shd w:fill="FAFAFA" w:val="clear"/>
          </w:tcPr>
          <w:p>
            <w:r>
              <w:rPr>
                <w:b/>
                <w:sz w:val="17"/>
              </w:rPr>
              <w:t>3,344</w:t>
            </w:r>
          </w:p>
        </w:tc>
        <w:tc>
          <w:tcPr>
            <w:tcW w:type="dxa" w:w="1440"/>
            <w:shd w:fill="FAFAFA" w:val="clear"/>
          </w:tcPr>
          <w:p>
            <w:r>
              <w:rPr>
                <w:sz w:val="17"/>
              </w:rPr>
              <w:t>3,596</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2026-10-12</w:t>
            </w:r>
          </w:p>
        </w:tc>
        <w:tc>
          <w:tcPr>
            <w:tcW w:type="dxa" w:w="1440"/>
            <w:shd w:fill="FAFAFA" w:val="clear"/>
          </w:tcPr>
          <w:p>
            <w:r>
              <w:rPr>
                <w:sz w:val="17"/>
              </w:rPr>
              <w:t>3,069</w:t>
            </w:r>
          </w:p>
        </w:tc>
        <w:tc>
          <w:tcPr>
            <w:tcW w:type="dxa" w:w="1440"/>
            <w:shd w:fill="FAFAFA" w:val="clear"/>
          </w:tcPr>
          <w:p>
            <w:r>
              <w:rPr>
                <w:b/>
                <w:sz w:val="17"/>
              </w:rPr>
              <w:t>3,340</w:t>
            </w:r>
          </w:p>
        </w:tc>
        <w:tc>
          <w:tcPr>
            <w:tcW w:type="dxa" w:w="1440"/>
            <w:shd w:fill="FAFAFA" w:val="clear"/>
          </w:tcPr>
          <w:p>
            <w:r>
              <w:rPr>
                <w:sz w:val="17"/>
              </w:rPr>
              <w:t>3,612</w:t>
            </w:r>
          </w:p>
        </w:tc>
        <w:tc>
          <w:tcPr>
            <w:tcW w:type="dxa" w:w="1440"/>
            <w:shd w:fill="FAFAFA" w:val="clear"/>
          </w:tcPr>
          <w:p>
            <w:r>
              <w:rPr>
                <w:b/>
                <w:color w:val="C00000"/>
                <w:sz w:val="17"/>
              </w:rPr>
              <w:t>-1.6%</w:t>
            </w:r>
          </w:p>
        </w:tc>
      </w:tr>
      <w:tr>
        <w:tc>
          <w:tcPr>
            <w:tcW w:type="dxa" w:w="1440"/>
            <w:shd w:fill="FAFAFA" w:val="clear"/>
          </w:tcPr>
          <w:p>
            <w:r>
              <w:rPr>
                <w:sz w:val="17"/>
              </w:rPr>
              <w:t>J+7  Moyenne</w:t>
            </w:r>
          </w:p>
        </w:tc>
        <w:tc>
          <w:tcPr>
            <w:tcW w:type="dxa" w:w="1440"/>
            <w:shd w:fill="FAFAFA" w:val="clear"/>
          </w:tcPr>
          <w:p>
            <w:r>
              <w:rPr>
                <w:sz w:val="17"/>
              </w:rPr>
              <w:t>2026-10-13</w:t>
            </w:r>
          </w:p>
        </w:tc>
        <w:tc>
          <w:tcPr>
            <w:tcW w:type="dxa" w:w="1440"/>
            <w:shd w:fill="FAFAFA" w:val="clear"/>
          </w:tcPr>
          <w:p>
            <w:r>
              <w:rPr>
                <w:sz w:val="17"/>
              </w:rPr>
              <w:t>3,048</w:t>
            </w:r>
          </w:p>
        </w:tc>
        <w:tc>
          <w:tcPr>
            <w:tcW w:type="dxa" w:w="1440"/>
            <w:shd w:fill="FAFAFA" w:val="clear"/>
          </w:tcPr>
          <w:p>
            <w:r>
              <w:rPr>
                <w:b/>
                <w:sz w:val="17"/>
              </w:rPr>
              <w:t>3,338</w:t>
            </w:r>
          </w:p>
        </w:tc>
        <w:tc>
          <w:tcPr>
            <w:tcW w:type="dxa" w:w="1440"/>
            <w:shd w:fill="FAFAFA" w:val="clear"/>
          </w:tcPr>
          <w:p>
            <w:r>
              <w:rPr>
                <w:sz w:val="17"/>
              </w:rPr>
              <w:t>3,628</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2026-10-14</w:t>
            </w:r>
          </w:p>
        </w:tc>
        <w:tc>
          <w:tcPr>
            <w:tcW w:type="dxa" w:w="1440"/>
            <w:shd w:fill="FAFAFA" w:val="clear"/>
          </w:tcPr>
          <w:p>
            <w:r>
              <w:rPr>
                <w:sz w:val="17"/>
              </w:rPr>
              <w:t>3,028</w:t>
            </w:r>
          </w:p>
        </w:tc>
        <w:tc>
          <w:tcPr>
            <w:tcW w:type="dxa" w:w="1440"/>
            <w:shd w:fill="FAFAFA" w:val="clear"/>
          </w:tcPr>
          <w:p>
            <w:r>
              <w:rPr>
                <w:b/>
                <w:sz w:val="17"/>
              </w:rPr>
              <w:t>3,335</w:t>
            </w:r>
          </w:p>
        </w:tc>
        <w:tc>
          <w:tcPr>
            <w:tcW w:type="dxa" w:w="1440"/>
            <w:shd w:fill="FAFAFA" w:val="clear"/>
          </w:tcPr>
          <w:p>
            <w:r>
              <w:rPr>
                <w:sz w:val="17"/>
              </w:rPr>
              <w:t>3,643</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2026-10-15</w:t>
            </w:r>
          </w:p>
        </w:tc>
        <w:tc>
          <w:tcPr>
            <w:tcW w:type="dxa" w:w="1440"/>
            <w:shd w:fill="FAFAFA" w:val="clear"/>
          </w:tcPr>
          <w:p>
            <w:r>
              <w:rPr>
                <w:sz w:val="17"/>
              </w:rPr>
              <w:t>3,010</w:t>
            </w:r>
          </w:p>
        </w:tc>
        <w:tc>
          <w:tcPr>
            <w:tcW w:type="dxa" w:w="1440"/>
            <w:shd w:fill="FAFAFA" w:val="clear"/>
          </w:tcPr>
          <w:p>
            <w:r>
              <w:rPr>
                <w:b/>
                <w:sz w:val="17"/>
              </w:rPr>
              <w:t>3,334</w:t>
            </w:r>
          </w:p>
        </w:tc>
        <w:tc>
          <w:tcPr>
            <w:tcW w:type="dxa" w:w="1440"/>
            <w:shd w:fill="FAFAFA" w:val="clear"/>
          </w:tcPr>
          <w:p>
            <w:r>
              <w:rPr>
                <w:sz w:val="17"/>
              </w:rPr>
              <w:t>3,657</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 RAPPORT D'ANALYSE FINANCIÈRE — CABC (SICABLE)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20,10 milliards FCFA, CABC se positionne comme une valeur de petite capitalisation sur la BRVM, ce qui la rend plus sensible aux mouvements de marché et moins liquide que les grandes valeurs comme SONATEL ou les banques de premier rang. Le BPA de 243 FCFA/action indique que chaque titre génère un bénéfice net de 243 FCFA, ce qui, rapporté au cours actuel de 3 395 FCFA, donne un PER de 14,0x — un niveau modéré mais supérieur à la moyenne du marché BRVM (généralement comprise entre 8 et 12x), suggérant que les investisseurs paient une légère prime pour cette valeur. Le P/B de 2,15x montre que le marché valorise l'entreprise à plus du double de sa valeur comptable (capitaux propres de 9,346 Mds FCFA pour une capitalisation de 20,10 Mds FCFA), ce qui traduit une prime de croissance accordée par le marché, bien que cette prime soit à relativiser au regard des défis opérationnels récents. Enfin, l'EV/EBITDA de 7,0x situe la valeur d'entreprise (capitalisation + dettes nettes) à 7 fois la capacité opérationnelle, un niveau raisonnable qui n'indique ni surévaluation flagrante ni décote excessive.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CABC affiche une variation totale de -3,00%, avec une dernière séance (J-1) stable à +0,00%, traduisant une phase de consolidation sans direction claire. Le cours actuel de 3 395 FCFA se situe dans la partie médiane du range de trading, qui s'étend du plus bas de 3 190 FCFA au plus haut de 4 500 FCFA — un écart de 1 310 FCFA (soit près de 41% du cours actuel) qui témoigne d'une volatilité intra-période significative. La tendance générale est baissière sur la période, le cours ayant perdu du terrain depuis les sommets de 4 500 FCFA, sans pour autant retomber sur les plus bas, ce qui suggère une pression vendeuse modérée mais persistante. Les statistiques descriptives révèlent une moyenne de 3 682 FCFA supérieure à la médiane de 3 592 FCFA, avec un mode à 3 500 FCFA — cet écart entre moyenne et médiane, conjugué à un skewness positif de 0,963, indique une asymétrie positive avec davantage de journées de trading sous la moyenne, ce qui signifie que le cours a passé plus de temps dans la partie basse de sa distribution malgré quelques pics haussiers. L'écart-type de 290 FCFA (CV de 7,9%) traduit une dispersion modérée du cours autour de sa moyenne, tandis que le kurtosis de 0,484 (mésokurtique) suggère une distribution proche de la normale, sans risque excessif de pics extrêmes. La volatilité annualisée de 45,0% classe ce titre dans la catégorie des valeurs à volatilité élevée (&gt;30%), ce qui implique un risque de perte en capital significatif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(3 411,25 FCFA) et la MM50 (3 516,20 FCFA) se situent toutes deux au-dessus du cours actuel (3 395 FCFA), avec la MM20 en dessous de la MM50 — une configuration baissière classique qui indique que la tendance de court terme est plus faible que la tendance de moyen terme. Le cours évoluant sous ses deux moyennes mobiles, la pression vendeuse reste dominante, ce qui justifie la décision technique de **Vente** émise par le système.</w:t>
      </w:r>
    </w:p>
    <w:p>
      <w:pPr>
        <w:spacing w:after="120" w:line="276" w:lineRule="auto"/>
      </w:pPr>
      <w:r>
        <w:t>**Bandes de Bollinger** : Le cours actuel (3 395 FCFA) se situe légèrement au-dessus de la borne inférieure (3 201,64 FCFA) et bien en dessous de la borne supérieure (3 620,86 FCFA), dans la partie basse du canal de Bollinger. Cette position suggère que le titre évolue dans une zone de faiblesse relative, sans être encore en situation de survente extrême, ce qui explique la décision **Neutre** — le marché n'est ni en phase d'achat agressif ni de vente panique.</w:t>
      </w:r>
    </w:p>
    <w:p>
      <w:pPr>
        <w:spacing w:after="120" w:line="276" w:lineRule="auto"/>
      </w:pPr>
      <w:r>
        <w:t>**MACD** : La valeur du MACD (-54,162) est supérieure à son signal (-66,148), formant un croisement haussier (MACD au-dessus du signal) qui indique un début de retournement du momentum à la hausse. Bien que les deux lignes restent en territoire négatif, cette divergence positive suggère que la pression baissière s'atténue, justifiant la décision d'**Achat** technique — un signal précoce de reprise potentielle.</w:t>
      </w:r>
    </w:p>
    <w:p>
      <w:pPr>
        <w:spacing w:after="120" w:line="276" w:lineRule="auto"/>
      </w:pPr>
      <w:r>
        <w:t>**RSI** : À 42,553, le RSI se situe dans la zone neutre (entre 30 et 70), sans atteindre les seuils de survente (&lt;30) ou de surachat (&gt;70). Cette valeur indique un équilibre relatif entre acheteurs et vendeurs, sans force directionnelle marquée, ce qui confirme la décision **Neutre** — le titre n'offre pas de signal clair d'entrée ou de sortie à court terme.</w:t>
      </w:r>
    </w:p>
    <w:p>
      <w:pPr>
        <w:spacing w:after="120" w:line="276" w:lineRule="auto"/>
      </w:pPr>
      <w:r>
        <w:t>**Stochastique** : Les lignes %K et %D sont toutes deux à 66,129, en zone neutre-haute mais sans croisement significatif ni divergence. Cette configuration indique que le titre évolue dans une phase de consolidation, sans momentum haussier ou baissier dominant, ce qui justifie la décision **Neutre** — le stochastique ne fournit pas de signal directionnel fort.</w:t>
      </w:r>
    </w:p>
    <w:p>
      <w:pPr>
        <w:spacing w:after="120" w:line="276" w:lineRule="auto"/>
      </w:pPr>
      <w:r>
        <w:t>**Conclusion technique** : Les indicateurs techniques présentent une configuration **mitigée** : les moyennes mobiles restent baissières (cours sous MM20 et MM50), les Bandes de Bollinger et le RSI sont neutres, mais le MACD affiche un croisement haussier précoce qui pourrait annoncer un retournement. Cette divergence entre tendance de fond (baissière) et momentum (haussier naissant) suggère une phase de transition incertaine, où le titre pourrait soit rebondir vers 3 500-3 600 FCFA, soit poursuivre sa consolidation baissière vers 3 200 FCFA. La prudence est de mise en l'absence de confirmation par les volumes.</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CABC a réalisé un chiffre d'affaires de 21 263 Mds FCFA (contre 19 125 Mds FCFA en 2024, soit +11,2%), avec un résultat net de 1 439 Mds FCFA (contre 1 375 Mds FCFA en 2024, soit +4,7%). Le ROE s'établit à 15,40% (excellent, supérieur au seuil de 15%), le ROA à 6,10%, et la marge nette à 6,77% — des niveaux corrects mais sous pression. La structure financière est saine avec une autonomie financière de 39,58% (capitaux propres/total bilan &gt;30%), une liquidité générale de 242,60% (actif circulant/passif circulant &gt;1), et une trésorerie nette de 5 139 Mds FCFA. Cependant, deux points d'alerte majeurs émergent : **le délai clients de 144,69 jours** (créances clients de 8 429 Mds FCFA, en hausse de 22,4% vs 2024) et **la durée de stockage de 152,12 jours** (stocks de 7 400 Mds FCFA, en hausse de 36,9% vs 2024), qui immobilisent massivement du capital et expliquent le **flux opérationnel négatif de -819,66 M FCFA** et le **Free Cash Flow de -982,71 M FCFA** en 2025. Le BFR de 7 186 Mds FCFA (positif) confirme cette tension sur le besoin en fonds de roulement, bien que le fonds de roulement de 12 325 Mds FCFA couvre largement ce besoin.</w:t>
      </w:r>
    </w:p>
    <w:p>
      <w:pPr>
        <w:spacing w:after="120" w:line="276" w:lineRule="auto"/>
      </w:pPr>
      <w:r>
        <w:t>**Estimations basées sur les rapports trimestriels** : Le rapport du **3ème trimestre 2025 (daté du 30 septembre 2025)** indique un chiffre d'affaires cumulé de 16 630 M FCFA (+13,7% vs 9 mois 2024) et un résultat net de 1 329,5 M FCFA (+26,0%), avec une marge nette de 8,0% — nettement supérieure à la marge annuelle de 6,77%, ce qui suggère que le 4ème trimestre 2025 a été moins performant (ralentissement saisonnier ou charges exceptionnelles). Le rapport du **1er semestre 2025 (daté du 30 juin 2025)** confirme cette dynamique avec un CA de 10 772,9 M FCFA (+12,0%) et un résultat net de 851,5 M FCFA (+55,3%), porté par des conditions de marché favorables (cours des métaux, demande électorale). **Cependant, le rapport du T1 2026 (daté de 2026) révèle une dégradation brutale** : chiffre d'affaires en baisse de 26,5% à 3 794 M FCFA, perte d'exploitation de -237 M FCFA (contre un bénéfice de 432 M FCFA au T1 2025), et résultat net déficitaire de -221,7 M FCFA. Cette contre-performance est attribuée à une maintenance planifiée du parc machines et à l'inflation des cours des métaux (+23% en 3 mois), mais elle soulève des inquiétudes sur la capacité de l'entreprise à maintenir sa rentabilité en 2026. **On estime donc que l'exercice 2026 pourrait être difficile**, avec un risque de retour à une perte nette si la reprise attendue au T2 2026 ne se matérialise pas.</w:t>
      </w:r>
    </w:p>
    <w:p>
      <w:pPr>
        <w:spacing w:after="120" w:line="276" w:lineRule="auto"/>
      </w:pPr>
      <w:r>
        <w:t>**Recommandation fondamentale** : CABC présente un profil **contrasté** — des fondamentaux solides en 2025 (croissance du CA, ROE &gt;15%, trésorerie confortable) mais des **signaux de fragilité** (délais clients et stocks élevés, flux opérationnel négatif, dépendance aux matières premières). La dégradation du T1 2026 et l'absence de dividendes depuis 2021 (le dernier DPA remonte à 88,42 FCFA/action en 2023, non versé en 2024-2025) renforcent le risque. La recommandation fondamentale est **CONSERVER avec vigilance**, en surveillant impérativement la reprise au T2 2026 et l'évolution des marges.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à risque élevé, avec des signaux divergents**. La **valorisation (Partie 0)** indique une légère surévaluation relative (PER de 14,0x &gt; moyenne BRVM de 8-12x, P/B de 2,15x), mais l'EV/EBITDA de 7,0x reste raisonnable — le marché intègre déjà une prime de croissance qui pourrait être remise en question si les résultats 2026 déçoivent. Le **comportement du cours (Partie 1)** est préoccupant : tendance baissière sur 100 jours (-3,00%), volatilité élevée (45,0%), skewness positif (0,963) indiquant une pression vendeuse persistante, et cours sous les moyennes mobiles — autant de signaux défavorables à court terme. Les **signaux techniques (Partie 2)** sont mitigés : le MACD haussier contraste avec des moyennes mobiles baissières et des indicateurs neutres (RSI, Stochastique, Bollinger), suggérant une phase de transition incertaine sans direction claire. Les **fondamentaux (Partie 3)** sont solides pour 2025 (CA +11,2%, ROE 15,40%, trésorerie de 5 139 Mds FCFA) mais fragilisés par des délais clients/stocks élevés, un flux opérationnel négatif, et surtout **la dégradation brutale du T1 2026** (perte nette de -221,7 M FCFA) qui remet en cause la trajectoire de croissance. Enfin, les **prédictions IA (J+1 à J+10)** anticipent une **baisse continue** du cours, de 3 376 FCFA (J+1) à 3 344 FCFA (J+10), soit une perte de -1,5% sur 10 jours — cette trajectoire baissière **confirme les signaux techniques baissiers** (moyennes mobiles, Bandes de Bollinger) et **contredit le signal haussier du MACD**, suggérant que le rebond technique anticipé ne se matérialisera pas à court terme.</w:t>
      </w:r>
    </w:p>
    <w:p>
      <w:pPr>
        <w:spacing w:after="120" w:line="276" w:lineRule="auto"/>
      </w:pPr>
      <w:r>
        <w:t>**Recommandation finale** : **VENTE** (avec possibilité de CONSERVER pour les investisseurs déjà positionnés et prêts à assumer le risque). La convergence des signaux baissiers (tendance du cours, prédictions IA, dégradation du T1 2026) l'emporte sur les signaux positifs (MACD haussier, fondamentaux 2025 solides). Le niveau de confiance est **Moyen** — les données sont contradictoires et la visibilité sur 2026 est limitée. Le niveau de risque global est **Élevé** (volatilité de 45%, dépendance aux matières premières, dégradation récente des résultats). L'horizon d'investissement optimal est **court terme (&lt;3 mois)** pour les traders cherchant à profiter de la volatilité, ou **attendre une stabilisation des résultats au T2 2026** avant d'envisager une position acheteuse pour le moyen/long terme. Les investisseurs averses au risque devraient privilégier des valeurs plus stables de la BRVM (SONATEL, banques de premier rang) en attendant une clarification de la situation financière de CABC.</w:t>
      </w:r>
    </w:p>
    <w:p>
      <w:pPr>
        <w:spacing w:after="120" w:line="276" w:lineRule="auto"/>
      </w:pPr>
      <w:r>
        <w:t>---</w:t>
      </w:r>
    </w:p>
    <w:p>
      <w:pPr>
        <w:spacing w:after="120" w:line="276" w:lineRule="auto"/>
      </w:pPr>
      <w:r>
        <w:t>*Rapport généré le 4 octobre 2026 — Basé sur les données BRVM, les états financiers 2025, les rapports trimestriels 2025-2026, et les prédictions IA à 10 jours. Les performances passées ne préjugent pas des performances futures.*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969.60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1,585 titres</w:t>
            </w:r>
          </w:p>
        </w:tc>
        <w:tc>
          <w:tcPr>
            <w:tcW w:type="dxa" w:w="2268"/>
            <w:shd w:fill="FFF2CC" w:val="clear"/>
          </w:tcPr>
          <w:p>
            <w:r>
              <w:rPr>
                <w:b/>
                <w:color w:val="503200"/>
                <w:sz w:val="16"/>
              </w:rPr>
              <w:t xml:space="preserve">Cours actuel : </w:t>
            </w:r>
            <w:r>
              <w:rPr>
                <w:color w:val="000000"/>
                <w:sz w:val="17"/>
              </w:rPr>
              <w:t>30,300 FCFA</w:t>
            </w:r>
          </w:p>
          <w:p>
            <w:r>
              <w:rPr>
                <w:b/>
                <w:color w:val="503200"/>
                <w:sz w:val="16"/>
              </w:rPr>
              <w:t xml:space="preserve">Var. 100 jours : </w:t>
            </w:r>
            <w:r>
              <w:rPr>
                <w:b/>
                <w:color w:val="007800"/>
                <w:sz w:val="17"/>
              </w:rPr>
              <w:t>+80.36%</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16,800 FCFA</w:t>
            </w:r>
          </w:p>
          <w:p>
            <w:r>
              <w:rPr>
                <w:b/>
                <w:color w:val="503200"/>
                <w:sz w:val="16"/>
              </w:rPr>
              <w:t xml:space="preserve">Volatilité ann. : </w:t>
            </w:r>
            <w:r>
              <w:rPr>
                <w:color w:val="000000"/>
                <w:sz w:val="17"/>
              </w:rPr>
              <w:t>46.0%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17.55% (Élevée) — μ=26,618 FCFA, σ=4,671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β=1.6043 (Agressif) — Cov=0.000108, Var(idx)=0.000068, ρ=0.455,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σ_j=2.90%/j (Stable) — Vol. annualisée≈46.0%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27,470</w:t>
            </w:r>
          </w:p>
        </w:tc>
        <w:tc>
          <w:tcPr>
            <w:tcW w:type="dxa" w:w="1440"/>
            <w:shd w:fill="FAFAFA" w:val="clear"/>
          </w:tcPr>
          <w:p>
            <w:r>
              <w:rPr>
                <w:b/>
                <w:sz w:val="17"/>
              </w:rPr>
              <w:t>29,702</w:t>
            </w:r>
          </w:p>
        </w:tc>
        <w:tc>
          <w:tcPr>
            <w:tcW w:type="dxa" w:w="1440"/>
            <w:shd w:fill="FAFAFA" w:val="clear"/>
          </w:tcPr>
          <w:p>
            <w:r>
              <w:rPr>
                <w:sz w:val="17"/>
              </w:rPr>
              <w:t>31,934</w:t>
            </w:r>
          </w:p>
        </w:tc>
        <w:tc>
          <w:tcPr>
            <w:tcW w:type="dxa" w:w="1440"/>
            <w:shd w:fill="FAFAFA" w:val="clear"/>
          </w:tcPr>
          <w:p>
            <w:r>
              <w:rPr>
                <w:b/>
                <w:color w:val="C00000"/>
                <w:sz w:val="17"/>
              </w:rPr>
              <w:t>-2.0%</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26,783</w:t>
            </w:r>
          </w:p>
        </w:tc>
        <w:tc>
          <w:tcPr>
            <w:tcW w:type="dxa" w:w="1440"/>
            <w:shd w:fill="FFDCE0" w:val="clear"/>
          </w:tcPr>
          <w:p>
            <w:r>
              <w:rPr>
                <w:b/>
                <w:sz w:val="17"/>
              </w:rPr>
              <w:t>29,498</w:t>
            </w:r>
          </w:p>
        </w:tc>
        <w:tc>
          <w:tcPr>
            <w:tcW w:type="dxa" w:w="1440"/>
            <w:shd w:fill="FFDCE0" w:val="clear"/>
          </w:tcPr>
          <w:p>
            <w:r>
              <w:rPr>
                <w:sz w:val="17"/>
              </w:rPr>
              <w:t>32,213</w:t>
            </w:r>
          </w:p>
        </w:tc>
        <w:tc>
          <w:tcPr>
            <w:tcW w:type="dxa" w:w="1440"/>
            <w:shd w:fill="FFDCE0" w:val="clear"/>
          </w:tcPr>
          <w:p>
            <w:r>
              <w:rPr>
                <w:b/>
                <w:color w:val="C00000"/>
                <w:sz w:val="17"/>
              </w:rPr>
              <w:t>-2.6%</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26,226</w:t>
            </w:r>
          </w:p>
        </w:tc>
        <w:tc>
          <w:tcPr>
            <w:tcW w:type="dxa" w:w="1440"/>
            <w:shd w:fill="FFDCE0" w:val="clear"/>
          </w:tcPr>
          <w:p>
            <w:r>
              <w:rPr>
                <w:b/>
                <w:sz w:val="17"/>
              </w:rPr>
              <w:t>29,344</w:t>
            </w:r>
          </w:p>
        </w:tc>
        <w:tc>
          <w:tcPr>
            <w:tcW w:type="dxa" w:w="1440"/>
            <w:shd w:fill="FFDCE0" w:val="clear"/>
          </w:tcPr>
          <w:p>
            <w:r>
              <w:rPr>
                <w:sz w:val="17"/>
              </w:rPr>
              <w:t>32,463</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25,739</w:t>
            </w:r>
          </w:p>
        </w:tc>
        <w:tc>
          <w:tcPr>
            <w:tcW w:type="dxa" w:w="1440"/>
            <w:shd w:fill="FFDCE0" w:val="clear"/>
          </w:tcPr>
          <w:p>
            <w:r>
              <w:rPr>
                <w:b/>
                <w:sz w:val="17"/>
              </w:rPr>
              <w:t>29,209</w:t>
            </w:r>
          </w:p>
        </w:tc>
        <w:tc>
          <w:tcPr>
            <w:tcW w:type="dxa" w:w="1440"/>
            <w:shd w:fill="FFDCE0" w:val="clear"/>
          </w:tcPr>
          <w:p>
            <w:r>
              <w:rPr>
                <w:sz w:val="17"/>
              </w:rPr>
              <w:t>32,680</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25,303</w:t>
            </w:r>
          </w:p>
        </w:tc>
        <w:tc>
          <w:tcPr>
            <w:tcW w:type="dxa" w:w="1440"/>
            <w:shd w:fill="FFDCE0" w:val="clear"/>
          </w:tcPr>
          <w:p>
            <w:r>
              <w:rPr>
                <w:b/>
                <w:sz w:val="17"/>
              </w:rPr>
              <w:t>29,090</w:t>
            </w:r>
          </w:p>
        </w:tc>
        <w:tc>
          <w:tcPr>
            <w:tcW w:type="dxa" w:w="1440"/>
            <w:shd w:fill="FFDCE0" w:val="clear"/>
          </w:tcPr>
          <w:p>
            <w:r>
              <w:rPr>
                <w:sz w:val="17"/>
              </w:rPr>
              <w:t>32,876</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24,909</w:t>
            </w:r>
          </w:p>
        </w:tc>
        <w:tc>
          <w:tcPr>
            <w:tcW w:type="dxa" w:w="1440"/>
            <w:shd w:fill="FFDCE0" w:val="clear"/>
          </w:tcPr>
          <w:p>
            <w:r>
              <w:rPr>
                <w:b/>
                <w:sz w:val="17"/>
              </w:rPr>
              <w:t>28,983</w:t>
            </w:r>
          </w:p>
        </w:tc>
        <w:tc>
          <w:tcPr>
            <w:tcW w:type="dxa" w:w="1440"/>
            <w:shd w:fill="FFDCE0" w:val="clear"/>
          </w:tcPr>
          <w:p>
            <w:r>
              <w:rPr>
                <w:sz w:val="17"/>
              </w:rPr>
              <w:t>33,058</w:t>
            </w:r>
          </w:p>
        </w:tc>
        <w:tc>
          <w:tcPr>
            <w:tcW w:type="dxa" w:w="1440"/>
            <w:shd w:fill="FFDCE0" w:val="clear"/>
          </w:tcPr>
          <w:p>
            <w:r>
              <w:rPr>
                <w:b/>
                <w:color w:val="C00000"/>
                <w:sz w:val="17"/>
              </w:rPr>
              <w:t>-4.3%</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24,547</w:t>
            </w:r>
          </w:p>
        </w:tc>
        <w:tc>
          <w:tcPr>
            <w:tcW w:type="dxa" w:w="1440"/>
            <w:shd w:fill="FFDCE0" w:val="clear"/>
          </w:tcPr>
          <w:p>
            <w:r>
              <w:rPr>
                <w:b/>
                <w:sz w:val="17"/>
              </w:rPr>
              <w:t>28,889</w:t>
            </w:r>
          </w:p>
        </w:tc>
        <w:tc>
          <w:tcPr>
            <w:tcW w:type="dxa" w:w="1440"/>
            <w:shd w:fill="FFDCE0" w:val="clear"/>
          </w:tcPr>
          <w:p>
            <w:r>
              <w:rPr>
                <w:sz w:val="17"/>
              </w:rPr>
              <w:t>33,230</w:t>
            </w:r>
          </w:p>
        </w:tc>
        <w:tc>
          <w:tcPr>
            <w:tcW w:type="dxa" w:w="1440"/>
            <w:shd w:fill="FFDCE0" w:val="clear"/>
          </w:tcPr>
          <w:p>
            <w:r>
              <w:rPr>
                <w:b/>
                <w:color w:val="C00000"/>
                <w:sz w:val="17"/>
              </w:rPr>
              <w:t>-4.7%</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24,212</w:t>
            </w:r>
          </w:p>
        </w:tc>
        <w:tc>
          <w:tcPr>
            <w:tcW w:type="dxa" w:w="1440"/>
            <w:shd w:fill="FFDCE0" w:val="clear"/>
          </w:tcPr>
          <w:p>
            <w:r>
              <w:rPr>
                <w:b/>
                <w:sz w:val="17"/>
              </w:rPr>
              <w:t>28,804</w:t>
            </w:r>
          </w:p>
        </w:tc>
        <w:tc>
          <w:tcPr>
            <w:tcW w:type="dxa" w:w="1440"/>
            <w:shd w:fill="FFDCE0" w:val="clear"/>
          </w:tcPr>
          <w:p>
            <w:r>
              <w:rPr>
                <w:sz w:val="17"/>
              </w:rPr>
              <w:t>33,396</w:t>
            </w:r>
          </w:p>
        </w:tc>
        <w:tc>
          <w:tcPr>
            <w:tcW w:type="dxa" w:w="1440"/>
            <w:shd w:fill="FFDCE0" w:val="clear"/>
          </w:tcPr>
          <w:p>
            <w:r>
              <w:rPr>
                <w:b/>
                <w:color w:val="C00000"/>
                <w:sz w:val="17"/>
              </w:rPr>
              <w:t>-4.9%</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23,901</w:t>
            </w:r>
          </w:p>
        </w:tc>
        <w:tc>
          <w:tcPr>
            <w:tcW w:type="dxa" w:w="1440"/>
            <w:shd w:fill="FFDCE0" w:val="clear"/>
          </w:tcPr>
          <w:p>
            <w:r>
              <w:rPr>
                <w:b/>
                <w:sz w:val="17"/>
              </w:rPr>
              <w:t>28,728</w:t>
            </w:r>
          </w:p>
        </w:tc>
        <w:tc>
          <w:tcPr>
            <w:tcW w:type="dxa" w:w="1440"/>
            <w:shd w:fill="FFDCE0" w:val="clear"/>
          </w:tcPr>
          <w:p>
            <w:r>
              <w:rPr>
                <w:sz w:val="17"/>
              </w:rPr>
              <w:t>33,555</w:t>
            </w:r>
          </w:p>
        </w:tc>
        <w:tc>
          <w:tcPr>
            <w:tcW w:type="dxa" w:w="1440"/>
            <w:shd w:fill="FFDCE0" w:val="clear"/>
          </w:tcPr>
          <w:p>
            <w:r>
              <w:rPr>
                <w:b/>
                <w:color w:val="C00000"/>
                <w:sz w:val="17"/>
              </w:rPr>
              <w:t>-5.2%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(CBIBF)**</w:t>
        <w:br/>
        <w:t>*Marché : BRVM | Secteur : Banque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969,60 milliards FCFA, CBIBF s'impose comme l'une des plus importantes capitalisations de la BRVM, ce qui témoigne de sa stature de valeur de premier plan (blue chip) au sein de l'UEMOA. Le Bénéfice Par Action (BPA) s'élève à 2 047 FCFA, ce qui signifie que chaque titre détenu génère près de 2 047 FCFA de profit net pour l'actionnaire. Le PER de 14,8x indique que les investisseurs paient environ 15 fois les bénéfices annuels, un niveau modéré mais légèrement supérieur à la moyenne du marché BRVM (8-12x), suggérant que le marché intègre déjà une prime de qualité et de croissance. Le ratio EV/EBITDA de 11,0x, situé dans la fourchette 10-15x, signale une valorisation élevée de la capacité opérationnelle, cohérente avec la rentabilité exceptionnelle de la banque. En l'absence de données sur le P/B (Price-to-Book), on ne peut évaluer la prime sur la valeur comptable, mais la forte rentabilité (ROA de 2,18%) et la croissance du résultat net justifient une prime de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enregistré une performance spectaculaire de +80,36%, clôturant à 30 300 FCFA après une légère hausse de +0,80% lors de la dernière séance. Le titre a évolué dans un range très large, entre un plus bas de 16 800 FCFA et un plus haut de 34 450 FCFA, reflétant une tendance nettement haussière portée par l'amélioration des fondamentaux et la confiance des investisseurs. La moyenne du cours (26 618 FCFA) est inférieure à la médiane (27 848 FCFA), ce qui indique une distribution légèrement asymétrique avec une prédominance des cours élevés en fin de période. L'écart-type de 4 694 FCFA (CV de 17,6%) traduit une dispersion modérée du cours autour de sa moyenne, tandis que le kurtosis négatif (-1,084, distribution platykurtique) suggère une faible concentration des variations et un risque de pics extrêmes limité. Le skewness quasi nul (-0,138) confirme une distribution symétrique, sans biais marqué vers la hausse ou la baisse. Avec une volatilité annualisée de 46,0%, le titre présente un profil de risque élevé (&gt;30%), typique des valeurs à forte croissance mais exposées aux incertitudes du marché.</w:t>
      </w:r>
    </w:p>
    <w:p>
      <w:pPr>
        <w:spacing w:after="120" w:line="276" w:lineRule="auto"/>
      </w:pPr>
      <w:r>
        <w:t>---</w:t>
      </w:r>
    </w:p>
    <w:p>
      <w:pPr>
        <w:spacing w:after="120" w:line="276" w:lineRule="auto"/>
      </w:pPr>
      <w:r>
        <w:t>### **PARTIE 2 : ANALYSE TECHNIQUE DÉTAILLÉE**</w:t>
      </w:r>
    </w:p>
    <w:p>
      <w:pPr>
        <w:spacing w:after="120" w:line="276" w:lineRule="auto"/>
      </w:pPr>
      <w:r>
        <w:t>**Moyennes Mobiles** : La MM20 (32 548 FCFA) est supérieure à la MM50 (30 266,8 FCFA), et le cours actuel (30 300 FCFA) se situe juste au-dessus de la MM50 mais en dessous de la MM20. Cette configuration indique une tendance haussière de moyen terme, mais un essoufflement à court terme. La décision technique est à l'**Achat**, soutenue par le croisement haussier des moyennes.</w:t>
      </w:r>
    </w:p>
    <w:p>
      <w:pPr>
        <w:spacing w:after="120" w:line="276" w:lineRule="auto"/>
      </w:pPr>
      <w:r>
        <w:t>**Bandes de Bollinger** : Le cours (30 300 FCFA) évolue dans la partie basse de la bande, entre la borne inférieure (29 214,8 FCFA) et la borne supérieure (35 881,2 FCFA). Cette position suggère une pression baissière récente, mais la largeur des bandes indique une volatilité élevée. La décision est **Neutre**, le cours n'étant ni en surachat ni en survente.</w:t>
      </w:r>
    </w:p>
    <w:p>
      <w:pPr>
        <w:spacing w:after="120" w:line="276" w:lineRule="auto"/>
      </w:pPr>
      <w:r>
        <w:t>**MACD** : La valeur du MACD (76,276) est nettement inférieure à son signal (513,099), générant une divergence baissière. Le momentum s'affaiblit, ce qui justifie une décision de **Vente** à court terme, bien que la tendance de fond reste haussière.</w:t>
      </w:r>
    </w:p>
    <w:p>
      <w:pPr>
        <w:spacing w:after="120" w:line="276" w:lineRule="auto"/>
      </w:pPr>
      <w:r>
        <w:t>**RSI** : À 35,591, le RSI se situe dans la zone neutre basse (30-70), sans atteindre la zone de survente (&lt;30). Cela indique une absence de pression vendeuse excessive, mais aussi un manque de dynamisme haussier. La décision est **Neutre**.</w:t>
      </w:r>
    </w:p>
    <w:p>
      <w:pPr>
        <w:spacing w:after="120" w:line="276" w:lineRule="auto"/>
      </w:pPr>
      <w:r>
        <w:t>**Stochastique** : Le %K (28,139) est inférieur au %D (39,394), signalant une dynamique baissière à court terme. Le croisement des lignes reste en zone neutre, sans signal clair de retournement. La décision est **Neutre**.</w:t>
      </w:r>
    </w:p>
    <w:p>
      <w:pPr>
        <w:spacing w:after="120" w:line="276" w:lineRule="auto"/>
      </w:pPr>
      <w:r>
        <w:t>**Conclusion technique** : Les indicateurs techniques sont mitigés. Si la tendance de moyen terme reste haussière (MM20 &gt; MM50), le MACD et le stochastique signalent un essoufflement à court terme. Le RSI et les bandes de Bollinger confirment une absence de signal directionnel fort. Une consolidation est probable avant une reprise durable.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Coris Bank International a réalisé un Produit Net Bancaire (PNB) de 138,986 milliards FCFA, en croissance de 6,11% sur un an, et un résultat net de 65,495 milliards FCFA, en forte hausse de 36,6% par rapport à 2024 (47,937 milliards FCFA). Le coefficient d'exploitation s'établit à 36,39%, un niveau excellent (&lt;50%) qui témoigne d'une grande efficacité opérationnelle. Le ROA ressort à 2,18%, et la marge nette atteint 47,12%, confirmant la rentabilité élevée de la banque. Le coût du risque, bien qu'élevé en valeur absolue (16,5 milliards FCFA), s'est amélioré de 59,3% sur un an, traduisant une meilleure maîtrise de la qualité du portefeuille. La structure bilancielle est solide, avec des dépôts clientèle de 2 015,3 milliards FCFA (+14,9%) et des créances clientèle de 1 326,98 milliards FCFA (+5,4%), soit un ratio de transformation (crédits/dépôts) de 65,8%, indiquant une capacité de prêt encore sous-utilisée.</w:t>
      </w:r>
    </w:p>
    <w:p>
      <w:pPr>
        <w:spacing w:after="120" w:line="276" w:lineRule="auto"/>
      </w:pPr>
      <w:r>
        <w:t>**Estimations basées sur les rapports trimestriels** : Le rapport du T1 2026 (publié le 31 mars 2026) révèle une accélération remarquable : le PNB atteint 36,8 milliards FCFA (+28,5% sur un an) et le résultat net 21,5 milliards FCFA (+22,2%). Les dépôts clientèle bondissent de 37,9% à 2 365,1 milliards FCFA, tandis que les crédits progressent plus modérément (+3,8% à 1 307,2 milliards FCFA). Sur la base de ces tendances, on peut estimer que l'exercice 2026 devrait afficher un PNB supérieur à 150 milliards FCFA et un résultat net proche de 75-80 milliards FCFA, confirmant la dynamique de croissance. Le rapport annuel 2024 (publié en 2025) soulignait déjà l'assainissement du portefeuille et la maîtrise des coûts, des efforts qui portent leurs fruits en 2025-2026.</w:t>
      </w:r>
    </w:p>
    <w:p>
      <w:pPr>
        <w:spacing w:after="120" w:line="276" w:lineRule="auto"/>
      </w:pPr>
      <w:r>
        <w:t>**Recommandation fondamentale** : La banque affiche une solidité financière exceptionnelle, une croissance soutenue et une efficacité opérationnelle parmi les meilleures du secteur. Les risques identifiés (environnement sécuritaire au Burkina Faso, incertitudes géopolitiques régionales) sont réels mais atténués par la diversification géographique et la qualité de la gouvernance. La recommandation fondamentale est à l'**Achat**, avec un potentiel de revalorisation à moyen terme.</w:t>
      </w:r>
    </w:p>
    <w:p>
      <w:pPr>
        <w:spacing w:after="120" w:line="276" w:lineRule="auto"/>
      </w:pPr>
      <w:r>
        <w:t>---</w:t>
      </w:r>
    </w:p>
    <w:p>
      <w:pPr>
        <w:spacing w:after="120" w:line="276" w:lineRule="auto"/>
      </w:pPr>
      <w:r>
        <w:t>### **PARTIE 4 : CONCLUSION D'INVESTISSEMENT**</w:t>
      </w:r>
    </w:p>
    <w:p>
      <w:pPr>
        <w:spacing w:after="120" w:line="276" w:lineRule="auto"/>
      </w:pPr>
      <w:r>
        <w:t>La valorisation de CBIBF (PER de 14,8x, EV/EBITDA de 11,0x) est modérée à élevée, reflétant une prime de qualité justifiée par la rentabilité et la croissance. Le comportement du cours sur 100 jours (+80,36%) est exceptionnel, mais la volatilité élevée (46%) et la distribution platykurtique (kurtosis -1,084) suggèrent une possible consolidation après une telle performance. Les signaux techniques sont mitigés : la tendance de moyen terme reste haussière (MM20 &gt; MM50), mais le MACD et le stochastique signalent un essoufflement à court terme, avec une décision de vente sur le MACD. Les fondamentaux sont excellents : PNB de 138,986 milliards FCFA en 2025, résultat net de 65,495 milliards FCFA (+36,6%), coefficient d'exploitation de 36,39% et ROA de 2,18%. Les rapports trimestriels (T1 2026) confirment une accélération avec un PNB en hausse de 28,5% et un résultat net de 21,5 milliards FCFA. Les prédictions IA (J+1 à J+10) anticipent une légère baisse vers 29 090 FCFA, ce qui contredit la tendance haussière de fond mais confirme la consolidation à court terme. Sur la base de cette synthèse, la recommandation finale est **ACHAT**, avec un niveau de confiance **Moyen** (les signaux techniques à court terme étant baissiers) et un risque global **Moyen** (volatilité élevée mais fondamentaux solides). L'horizon d'investissement optimal est le **moyen terme (3-12 mois)**, pour profiter de la croissance des bénéfices et de la revalorisation potentielle du titre.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275.69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3,539 titres</w:t>
            </w:r>
          </w:p>
        </w:tc>
        <w:tc>
          <w:tcPr>
            <w:tcW w:type="dxa" w:w="2268"/>
            <w:shd w:fill="FFF2CC" w:val="clear"/>
          </w:tcPr>
          <w:p>
            <w:r>
              <w:rPr>
                <w:b/>
                <w:color w:val="503200"/>
                <w:sz w:val="16"/>
              </w:rPr>
              <w:t xml:space="preserve">Cours actuel : </w:t>
            </w:r>
            <w:r>
              <w:rPr>
                <w:color w:val="000000"/>
                <w:sz w:val="17"/>
              </w:rPr>
              <w:t>1,520 FCFA</w:t>
            </w:r>
          </w:p>
          <w:p>
            <w:r>
              <w:rPr>
                <w:b/>
                <w:color w:val="503200"/>
                <w:sz w:val="16"/>
              </w:rPr>
              <w:t xml:space="preserve">Var. 100 jours : </w:t>
            </w:r>
            <w:r>
              <w:rPr>
                <w:b/>
                <w:color w:val="007800"/>
                <w:sz w:val="17"/>
              </w:rPr>
              <w:t>+9.75%</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1,380 FCFA</w:t>
            </w:r>
          </w:p>
          <w:p>
            <w:r>
              <w:rPr>
                <w:b/>
                <w:color w:val="503200"/>
                <w:sz w:val="16"/>
              </w:rPr>
              <w:t xml:space="preserve">Volatilité ann. : </w:t>
            </w:r>
            <w:r>
              <w:rPr>
                <w:color w:val="000000"/>
                <w:sz w:val="17"/>
              </w:rPr>
              <w:t>46.4%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5.96% (Moyenne) — μ=1,633 FCFA, σ=97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β=1.1341 (Neutre (suit le marché)) — Cov=0.000077, Var(idx)=0.000068, ρ=0.319,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1,459</w:t>
            </w:r>
          </w:p>
        </w:tc>
        <w:tc>
          <w:tcPr>
            <w:tcW w:type="dxa" w:w="1440"/>
            <w:shd w:fill="FAFAFA" w:val="clear"/>
          </w:tcPr>
          <w:p>
            <w:r>
              <w:rPr>
                <w:b/>
                <w:sz w:val="17"/>
              </w:rPr>
              <w:t>1,548</w:t>
            </w:r>
          </w:p>
        </w:tc>
        <w:tc>
          <w:tcPr>
            <w:tcW w:type="dxa" w:w="1440"/>
            <w:shd w:fill="FAFAFA" w:val="clear"/>
          </w:tcPr>
          <w:p>
            <w:r>
              <w:rPr>
                <w:sz w:val="17"/>
              </w:rPr>
              <w:t>1,638</w:t>
            </w:r>
          </w:p>
        </w:tc>
        <w:tc>
          <w:tcPr>
            <w:tcW w:type="dxa" w:w="1440"/>
            <w:shd w:fill="FAFAFA" w:val="clear"/>
          </w:tcPr>
          <w:p>
            <w:r>
              <w:rPr>
                <w:b/>
                <w:color w:val="008000"/>
                <w:sz w:val="17"/>
              </w:rPr>
              <w:t>+1.9%</w:t>
            </w:r>
          </w:p>
        </w:tc>
      </w:tr>
      <w:tr>
        <w:tc>
          <w:tcPr>
            <w:tcW w:type="dxa" w:w="1440"/>
            <w:shd w:fill="C6EFCE" w:val="clear"/>
          </w:tcPr>
          <w:p>
            <w:r>
              <w:rPr>
                <w:sz w:val="17"/>
              </w:rPr>
              <w:t>J+2  Moyenne</w:t>
            </w:r>
          </w:p>
        </w:tc>
        <w:tc>
          <w:tcPr>
            <w:tcW w:type="dxa" w:w="1440"/>
            <w:shd w:fill="C6EFCE" w:val="clear"/>
          </w:tcPr>
          <w:p>
            <w:r>
              <w:rPr>
                <w:sz w:val="17"/>
              </w:rPr>
              <w:t>2026-10-06</w:t>
            </w:r>
          </w:p>
        </w:tc>
        <w:tc>
          <w:tcPr>
            <w:tcW w:type="dxa" w:w="1440"/>
            <w:shd w:fill="C6EFCE" w:val="clear"/>
          </w:tcPr>
          <w:p>
            <w:r>
              <w:rPr>
                <w:sz w:val="17"/>
              </w:rPr>
              <w:t>1,443</w:t>
            </w:r>
          </w:p>
        </w:tc>
        <w:tc>
          <w:tcPr>
            <w:tcW w:type="dxa" w:w="1440"/>
            <w:shd w:fill="C6EFCE" w:val="clear"/>
          </w:tcPr>
          <w:p>
            <w:r>
              <w:rPr>
                <w:b/>
                <w:sz w:val="17"/>
              </w:rPr>
              <w:t>1,552</w:t>
            </w:r>
          </w:p>
        </w:tc>
        <w:tc>
          <w:tcPr>
            <w:tcW w:type="dxa" w:w="1440"/>
            <w:shd w:fill="C6EFCE" w:val="clear"/>
          </w:tcPr>
          <w:p>
            <w:r>
              <w:rPr>
                <w:sz w:val="17"/>
              </w:rPr>
              <w:t>1,662</w:t>
            </w:r>
          </w:p>
        </w:tc>
        <w:tc>
          <w:tcPr>
            <w:tcW w:type="dxa" w:w="1440"/>
            <w:shd w:fill="C6EFCE" w:val="clear"/>
          </w:tcPr>
          <w:p>
            <w:r>
              <w:rPr>
                <w:b/>
                <w:color w:val="008000"/>
                <w:sz w:val="17"/>
              </w:rPr>
              <w:t>+2.1%</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1,430</w:t>
            </w:r>
          </w:p>
        </w:tc>
        <w:tc>
          <w:tcPr>
            <w:tcW w:type="dxa" w:w="1440"/>
            <w:shd w:fill="C6EFCE" w:val="clear"/>
          </w:tcPr>
          <w:p>
            <w:r>
              <w:rPr>
                <w:b/>
                <w:sz w:val="17"/>
              </w:rPr>
              <w:t>1,557</w:t>
            </w:r>
          </w:p>
        </w:tc>
        <w:tc>
          <w:tcPr>
            <w:tcW w:type="dxa" w:w="1440"/>
            <w:shd w:fill="C6EFCE" w:val="clear"/>
          </w:tcPr>
          <w:p>
            <w:r>
              <w:rPr>
                <w:sz w:val="17"/>
              </w:rPr>
              <w:t>1,683</w:t>
            </w:r>
          </w:p>
        </w:tc>
        <w:tc>
          <w:tcPr>
            <w:tcW w:type="dxa" w:w="1440"/>
            <w:shd w:fill="C6EFCE" w:val="clear"/>
          </w:tcPr>
          <w:p>
            <w:r>
              <w:rPr>
                <w:b/>
                <w:color w:val="008000"/>
                <w:sz w:val="17"/>
              </w:rPr>
              <w:t>+2.4%</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1,419</w:t>
            </w:r>
          </w:p>
        </w:tc>
        <w:tc>
          <w:tcPr>
            <w:tcW w:type="dxa" w:w="1440"/>
            <w:shd w:fill="C6EFCE" w:val="clear"/>
          </w:tcPr>
          <w:p>
            <w:r>
              <w:rPr>
                <w:b/>
                <w:sz w:val="17"/>
              </w:rPr>
              <w:t>1,561</w:t>
            </w:r>
          </w:p>
        </w:tc>
        <w:tc>
          <w:tcPr>
            <w:tcW w:type="dxa" w:w="1440"/>
            <w:shd w:fill="C6EFCE" w:val="clear"/>
          </w:tcPr>
          <w:p>
            <w:r>
              <w:rPr>
                <w:sz w:val="17"/>
              </w:rPr>
              <w:t>1,703</w:t>
            </w:r>
          </w:p>
        </w:tc>
        <w:tc>
          <w:tcPr>
            <w:tcW w:type="dxa" w:w="1440"/>
            <w:shd w:fill="C6EFCE" w:val="clear"/>
          </w:tcPr>
          <w:p>
            <w:r>
              <w:rPr>
                <w:b/>
                <w:color w:val="008000"/>
                <w:sz w:val="17"/>
              </w:rPr>
              <w:t>+2.7%</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1,409</w:t>
            </w:r>
          </w:p>
        </w:tc>
        <w:tc>
          <w:tcPr>
            <w:tcW w:type="dxa" w:w="1440"/>
            <w:shd w:fill="C6EFCE" w:val="clear"/>
          </w:tcPr>
          <w:p>
            <w:r>
              <w:rPr>
                <w:b/>
                <w:sz w:val="17"/>
              </w:rPr>
              <w:t>1,565</w:t>
            </w:r>
          </w:p>
        </w:tc>
        <w:tc>
          <w:tcPr>
            <w:tcW w:type="dxa" w:w="1440"/>
            <w:shd w:fill="C6EFCE" w:val="clear"/>
          </w:tcPr>
          <w:p>
            <w:r>
              <w:rPr>
                <w:sz w:val="17"/>
              </w:rPr>
              <w:t>1,721</w:t>
            </w:r>
          </w:p>
        </w:tc>
        <w:tc>
          <w:tcPr>
            <w:tcW w:type="dxa" w:w="1440"/>
            <w:shd w:fill="C6EFCE" w:val="clear"/>
          </w:tcPr>
          <w:p>
            <w:r>
              <w:rPr>
                <w:b/>
                <w:color w:val="008000"/>
                <w:sz w:val="17"/>
              </w:rPr>
              <w:t>+3.0%</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1,400</w:t>
            </w:r>
          </w:p>
        </w:tc>
        <w:tc>
          <w:tcPr>
            <w:tcW w:type="dxa" w:w="1440"/>
            <w:shd w:fill="C6EFCE" w:val="clear"/>
          </w:tcPr>
          <w:p>
            <w:r>
              <w:rPr>
                <w:b/>
                <w:sz w:val="17"/>
              </w:rPr>
              <w:t>1,569</w:t>
            </w:r>
          </w:p>
        </w:tc>
        <w:tc>
          <w:tcPr>
            <w:tcW w:type="dxa" w:w="1440"/>
            <w:shd w:fill="C6EFCE" w:val="clear"/>
          </w:tcPr>
          <w:p>
            <w:r>
              <w:rPr>
                <w:sz w:val="17"/>
              </w:rPr>
              <w:t>1,738</w:t>
            </w:r>
          </w:p>
        </w:tc>
        <w:tc>
          <w:tcPr>
            <w:tcW w:type="dxa" w:w="1440"/>
            <w:shd w:fill="C6EFCE" w:val="clear"/>
          </w:tcPr>
          <w:p>
            <w:r>
              <w:rPr>
                <w:b/>
                <w:color w:val="008000"/>
                <w:sz w:val="17"/>
              </w:rPr>
              <w:t>+3.2%</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1,392</w:t>
            </w:r>
          </w:p>
        </w:tc>
        <w:tc>
          <w:tcPr>
            <w:tcW w:type="dxa" w:w="1440"/>
            <w:shd w:fill="C6EFCE" w:val="clear"/>
          </w:tcPr>
          <w:p>
            <w:r>
              <w:rPr>
                <w:b/>
                <w:sz w:val="17"/>
              </w:rPr>
              <w:t>1,573</w:t>
            </w:r>
          </w:p>
        </w:tc>
        <w:tc>
          <w:tcPr>
            <w:tcW w:type="dxa" w:w="1440"/>
            <w:shd w:fill="C6EFCE" w:val="clear"/>
          </w:tcPr>
          <w:p>
            <w:r>
              <w:rPr>
                <w:sz w:val="17"/>
              </w:rPr>
              <w:t>1,754</w:t>
            </w:r>
          </w:p>
        </w:tc>
        <w:tc>
          <w:tcPr>
            <w:tcW w:type="dxa" w:w="1440"/>
            <w:shd w:fill="C6EFCE" w:val="clear"/>
          </w:tcPr>
          <w:p>
            <w:r>
              <w:rPr>
                <w:b/>
                <w:color w:val="008000"/>
                <w:sz w:val="17"/>
              </w:rPr>
              <w:t>+3.5%</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1,384</w:t>
            </w:r>
          </w:p>
        </w:tc>
        <w:tc>
          <w:tcPr>
            <w:tcW w:type="dxa" w:w="1440"/>
            <w:shd w:fill="C6EFCE" w:val="clear"/>
          </w:tcPr>
          <w:p>
            <w:r>
              <w:rPr>
                <w:b/>
                <w:sz w:val="17"/>
              </w:rPr>
              <w:t>1,577</w:t>
            </w:r>
          </w:p>
        </w:tc>
        <w:tc>
          <w:tcPr>
            <w:tcW w:type="dxa" w:w="1440"/>
            <w:shd w:fill="C6EFCE" w:val="clear"/>
          </w:tcPr>
          <w:p>
            <w:r>
              <w:rPr>
                <w:sz w:val="17"/>
              </w:rPr>
              <w:t>1,770</w:t>
            </w:r>
          </w:p>
        </w:tc>
        <w:tc>
          <w:tcPr>
            <w:tcW w:type="dxa" w:w="1440"/>
            <w:shd w:fill="C6EFCE" w:val="clear"/>
          </w:tcPr>
          <w:p>
            <w:r>
              <w:rPr>
                <w:b/>
                <w:color w:val="008000"/>
                <w:sz w:val="17"/>
              </w:rPr>
              <w:t>+3.7%</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1,377</w:t>
            </w:r>
          </w:p>
        </w:tc>
        <w:tc>
          <w:tcPr>
            <w:tcW w:type="dxa" w:w="1440"/>
            <w:shd w:fill="C6EFCE" w:val="clear"/>
          </w:tcPr>
          <w:p>
            <w:r>
              <w:rPr>
                <w:b/>
                <w:sz w:val="17"/>
              </w:rPr>
              <w:t>1,581</w:t>
            </w:r>
          </w:p>
        </w:tc>
        <w:tc>
          <w:tcPr>
            <w:tcW w:type="dxa" w:w="1440"/>
            <w:shd w:fill="C6EFCE" w:val="clear"/>
          </w:tcPr>
          <w:p>
            <w:r>
              <w:rPr>
                <w:sz w:val="17"/>
              </w:rPr>
              <w:t>1,784</w:t>
            </w:r>
          </w:p>
        </w:tc>
        <w:tc>
          <w:tcPr>
            <w:tcW w:type="dxa" w:w="1440"/>
            <w:shd w:fill="C6EFCE" w:val="clear"/>
          </w:tcPr>
          <w:p>
            <w:r>
              <w:rPr>
                <w:b/>
                <w:color w:val="008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Secteur Automobile &amp; Distribution*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275,69 milliards FCFA, CFAC figure parmi les valeurs les plus capitalisées de la BRVM, ce qui lui confère une liquidité relative et une visibilité institutionnelle appréciables. Le BPA s'établit à 26 FCFA/action pour 2024, un niveau modeste qui traduit la faible marge nette du groupe (2,96%) malgré un chiffre d'affaires de 158,31 milliards FCFA. Le PER de 58,7x est très nettement supérieur à la moyenne du marché BRVM (8-12x), signalant que les investisseurs paient une prime spéculative très élevée pour chaque franc de bénéfice — situation qui exige une prudence marquée. Le P/B de 14,17x (largement au-dessus du seuil de 4x) indique que le marché valorise l'entreprise à plus de 14 fois sa valeur comptable, une prime exigeante qui n'est justifiable que par des perspectives de croissance exceptionnelles. Enfin, l'EV/EBITDA de 30,0x (contre un seuil d'alerte de 15x) confirme que la valeur d'entreprise intègre une anticipation de rentabilité opérationnelle très optimiste, laissant peu de marge d'erreur en cas de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variation totale positive de +9,75%, mais la dernière séance (J-1) s'est soldée par un repli de -1,62%, signalant un essoufflement de la dynamique haussière à court terme. Le cours actuel de 1 520 FCFA se situe dans la partie basse du range de trading établi entre un plus bas de 1 380 FCFA et un plus haut de 1 825 FCFA, ce qui traduit une tendance générale haussière sur la période mais avec une correction récente marquée depuis les sommets. Les statistiques descriptives révèlent une moyenne de 1 633 FCFA légèrement supérieure à la médiane de 1 642 FCFA — un écart faible qui, combiné à un skewness de -0,435 (distribution symétrique selon l'interprétation fournie), indique une distribution quasi équilibrée des cours sans biais directionnel fort. L'écart-type de 98 FCFA avec un coefficient de variation de 6,0% traduit une dispersion modérée autour de la moyenne, tandis que le kurtosis de -0,368 (mésokurtique, proche d'une distribution normale) suggère une absence de pics extrêmes — un profil rassurant pour la gestion du risque. La volatilité annualisée de 46,4% classe toutefois ce titre dans la catégorie des valeurs à volatilité élevée (&gt;30%), ce qui implique un risque de fluctuation important et justifie une approche prudente en termes de sizing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(1 639 FCFA) et la MM50 (1 668,6 FCFA) se situent toutes deux au-dessus du cours actuel (1 520 FCFA), avec la MM20 sous la MM50 — configuration baissière classique. Le cours évoluant sous ses deux moyennes mobiles, la pression vendeuse domine et justifie la décision technique de **Vente**.</w:t>
      </w:r>
    </w:p>
    <w:p>
      <w:pPr>
        <w:spacing w:after="120" w:line="276" w:lineRule="auto"/>
      </w:pPr>
      <w:r>
        <w:t>**Bandes de Bollinger** : Le cours (1 520 FCFA) se situe dans la moitié inférieure de la bande, entre la borne inférieure (1 475,05 FCFA) et la borne supérieure (1 802,95 FCFA), sans franchissement des extrêmes. Cette position médiane-basse avec un écart-type de 98 FCFA indique une volatilité contenue mais une orientation baissière, justifiant la décision **Neutre** (pas de signal extrême de survente).</w:t>
      </w:r>
    </w:p>
    <w:p>
      <w:pPr>
        <w:spacing w:after="120" w:line="276" w:lineRule="auto"/>
      </w:pPr>
      <w:r>
        <w:t>**MACD** : La valeur du MACD (-40,793) est inférieure à son signal (-29,693), confirmant une divergence baissière avec un momentum négatif. Le croisement MACD sous sa ligne de signal traduit une perte de vitesse de la tendance haussière antérieure, justifiant la décision de **Vente**.</w:t>
      </w:r>
    </w:p>
    <w:p>
      <w:pPr>
        <w:spacing w:after="120" w:line="276" w:lineRule="auto"/>
      </w:pPr>
      <w:r>
        <w:t>**RSI** : À 31,683, le RSI se situe juste au-dessus du seuil de survente (30), dans la zone neutre basse. Cette valeur indique que le titre n'est pas encore techniquement survendu mais s'en approche, ce qui justifie la décision **Neutre** — un rebond technique n'est pas exclu mais n'est pas encore confirmé.</w:t>
      </w:r>
    </w:p>
    <w:p>
      <w:pPr>
        <w:spacing w:after="120" w:line="276" w:lineRule="auto"/>
      </w:pPr>
      <w:r>
        <w:t>**Stochastique** : Le %K (16,0) est nettement inférieur au %D (30,0), avec un %K en zone de survente (&lt;20). Cette configuration suggère un possible retournement haussier à court terme si un croisement %K au-dessus de %D se confirme, justifiant la décision d'**Achat** — seul indicateur positif du tableau technique.</w:t>
      </w:r>
    </w:p>
    <w:p>
      <w:pPr>
        <w:spacing w:after="120" w:line="276" w:lineRule="auto"/>
      </w:pPr>
      <w:r>
        <w:t>**Conclusion technique** : Les indicateurs techniques présentent un tableau majoritairement baissier (MM, MACD en Vente ; Bollinger et RSI en Neutre), avec le Stochastique comme unique signal d'achat contrarien en zone de survente. Cette divergence entre momentum baissier et signal de retournement potentiel suggère une phase de consolidation ou de rebond technique imminent, mais la prédominance des signaux négatifs invite à la prudence avant toute entrée.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révèlent un chiffre d'affaires de 158,313 milliards FCFA, en recul de -12,13% par rapport à 2023, et un résultat net de 4,693 milliards FCFA, en baisse de -26,7% (rapport « ETATS FINANCIERS 2024 » du 31/12/2024). Le ROE reste néanmoins élevé à 24,13% (bien supérieur au seuil de 15% considéré comme excellent), tandis que le ROA s'établit à 5,52%, traduisant une bonne rentabilité des fonds propres mais une efficacité limitée des actifs. En tant qu'entreprise non bancaire du secteur automobile, les délais d'exploitation sont préoccupants : délai clients de 36,64 jours (risque de trésorerie modéré), délai fournisseurs de 81,75 jours (favorable à la trésorerie) et durée de stockage de 88,35 jours (immobilisation de capital significative). Le BFR est négatif à -3,482 milliards FCFA — un point positif qui signifie que l'entreprise finance son cycle d'exploitation par ses fournisseurs. Toutefois, la structure financière est fragile : l'autonomie financière de 22,88% est inférieure au seuil sain de 30%, la liquidité générale de 93,63% est sous l'unité (tension de trésorerie), et la trésorerie nette est négative à -624,20 millions FCFA. Les rapports trimestriels 2025 (T1 du 31/03/2025, S1 du 30/06/2025, T3 du 30/09/2025) montrent un net redressement : au T1 2025, le CA progresse de +14,5% à 46,161 milliards FCFA et le résultat net bondit de +279,7% à 3,836 milliards FCFA ; au S1 2025, le CA atteint 91,182 milliards FCFA (+18,4%) et le résultat net 5,420 milliards FCFA (+152,7%) ; au T3 2025, le CA trimestriel s'élève à 43,580 milliards FCFA (+18,3%) avec un résultat net de 1,489 milliard FCFA (+38,1%). Sur la base de ces tendances, on peut estimer que l'exercice 2025 devrait afficher un chiffre d'affaires annuel d'environ 175-180 milliards FCFA et un résultat net de l'ordre de 9-10 milliards FCFA, soit une reprise significative après l'exercice 2024 difficile. Le rapport annuel 2024 (31/12/2024) mentionne des perspectives positives pour 2025 avec le développement du réseau (showroom Cocody), la diversification (SHACMAN, LOVOL, BYD e-mobilité) et l'amélioration du SAV. En synthèse, CFAC présente une solidité fondamentale contrastée : excellente rentabilité des fonds propres (ROE 24,13%), leader incontesté du marché automobile ivoirien (part de marché ~43%), mais des fragilités structurelles (autonomie financière faible, trésorerie tendue, valorisation boursière extrêmement exigeante) et une sensibilité cyclique élevée.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manifestement surévaluée : le PER de 58,7x, le P/B de 14,17x et l'EV/EBITDA de 30,0x intègrent des anticipations de croissance très optimistes qui laissent peu de marge d'erreur, surtout après un exercice 2024 en recul. Le comportement du cours (Partie 1) est mitigé : tendance haussière sur 100 jours (+9,75%) mais correction récente (-1,62% en J-1), volatilité élevée (46,4%) et distribution symétrique sans biais extrême (kurtosis -0,368, skewness -0,435) — un profil qui n'offre pas de signal directionnel fort. Les signaux techniques (Partie 2) sont majoritairement baissiers (MM, MACD en Vente ; Bollinger, RSI en Neutre) avec un unique signal d'achat contrarien (Stochastique en survente), suggérant une possible consolidation avant rebond. Les fondamentaux (Partie 3) montrent un redressement spectaculaire en 2025 (CA +18,4% au S1, résultat net +152,7%) qui contraste avec la contraction de 2024, mais les fragilités structurelles (autonomie financière 22,88%, trésorerie nette négative) et la valorisation extrême tempèrent l'enthousiasme. Les prédictions IA (J+1 à J+10) anticipent une trajectoire haussière modérée de 1 548 à 1 565 FCFA (+1,8% à +3,0%), ce qui confirme le signal d'achat contrarien du Stochastique mais contredit la majorité des indicateurs techniques baissiers. **Recommandation finale : CONSERVER** — la convergence entre le redressement fondamental 2025 et les prédictions haussières est contrebalancée par une valorisation boursière très exigeante et des signaux techniques majoritairement négatifs. Le niveau de confiance est **Moyen** (divergence entre technique et fondamental) et le niveau de risque global est **Élevé** (volatilité 46,4%, PER 58,7x, trésorerie tendue). L'horizon d'investissement optimal est le **moyen terme (3-12 mois)**, le temps que les résultats 2025 se matérialisent et que la valorisation se normalise, avec un suivi rapproché des marges et de la trésorerie.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364.00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6,863 titres</w:t>
            </w:r>
          </w:p>
        </w:tc>
        <w:tc>
          <w:tcPr>
            <w:tcW w:type="dxa" w:w="2268"/>
            <w:shd w:fill="FFF2CC" w:val="clear"/>
          </w:tcPr>
          <w:p>
            <w:r>
              <w:rPr>
                <w:b/>
                <w:color w:val="503200"/>
                <w:sz w:val="16"/>
              </w:rPr>
              <w:t xml:space="preserve">Cours actuel : </w:t>
            </w:r>
            <w:r>
              <w:rPr>
                <w:color w:val="000000"/>
                <w:sz w:val="17"/>
              </w:rPr>
              <w:t>6,500 FCFA</w:t>
            </w:r>
          </w:p>
          <w:p>
            <w:r>
              <w:rPr>
                <w:b/>
                <w:color w:val="503200"/>
                <w:sz w:val="16"/>
              </w:rPr>
              <w:t xml:space="preserve">Var. 100 jours : </w:t>
            </w:r>
            <w:r>
              <w:rPr>
                <w:b/>
                <w:color w:val="007800"/>
                <w:sz w:val="17"/>
              </w:rPr>
              <w:t>+95.20%</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3,200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19.23% (Élevée) — μ=5,444 FCFA, σ=1,047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β=0.6793 (Défensif) — Cov=0.000046, Var(idx)=0.000068, ρ=0.178,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2026-10-05</w:t>
            </w:r>
          </w:p>
        </w:tc>
        <w:tc>
          <w:tcPr>
            <w:tcW w:type="dxa" w:w="1440"/>
            <w:shd w:fill="FFDCE0" w:val="clear"/>
          </w:tcPr>
          <w:p>
            <w:r>
              <w:rPr>
                <w:sz w:val="17"/>
              </w:rPr>
              <w:t>5,884</w:t>
            </w:r>
          </w:p>
        </w:tc>
        <w:tc>
          <w:tcPr>
            <w:tcW w:type="dxa" w:w="1440"/>
            <w:shd w:fill="FFDCE0" w:val="clear"/>
          </w:tcPr>
          <w:p>
            <w:r>
              <w:rPr>
                <w:b/>
                <w:sz w:val="17"/>
              </w:rPr>
              <w:t>6,297</w:t>
            </w:r>
          </w:p>
        </w:tc>
        <w:tc>
          <w:tcPr>
            <w:tcW w:type="dxa" w:w="1440"/>
            <w:shd w:fill="FFDCE0" w:val="clear"/>
          </w:tcPr>
          <w:p>
            <w:r>
              <w:rPr>
                <w:sz w:val="17"/>
              </w:rPr>
              <w:t>6,710</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5,738</w:t>
            </w:r>
          </w:p>
        </w:tc>
        <w:tc>
          <w:tcPr>
            <w:tcW w:type="dxa" w:w="1440"/>
            <w:shd w:fill="FFDCE0" w:val="clear"/>
          </w:tcPr>
          <w:p>
            <w:r>
              <w:rPr>
                <w:b/>
                <w:sz w:val="17"/>
              </w:rPr>
              <w:t>6,240</w:t>
            </w:r>
          </w:p>
        </w:tc>
        <w:tc>
          <w:tcPr>
            <w:tcW w:type="dxa" w:w="1440"/>
            <w:shd w:fill="FFDCE0" w:val="clear"/>
          </w:tcPr>
          <w:p>
            <w:r>
              <w:rPr>
                <w:sz w:val="17"/>
              </w:rPr>
              <w:t>6,741</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5,633</w:t>
            </w:r>
          </w:p>
        </w:tc>
        <w:tc>
          <w:tcPr>
            <w:tcW w:type="dxa" w:w="1440"/>
            <w:shd w:fill="FFDCE0" w:val="clear"/>
          </w:tcPr>
          <w:p>
            <w:r>
              <w:rPr>
                <w:b/>
                <w:sz w:val="17"/>
              </w:rPr>
              <w:t>6,209</w:t>
            </w:r>
          </w:p>
        </w:tc>
        <w:tc>
          <w:tcPr>
            <w:tcW w:type="dxa" w:w="1440"/>
            <w:shd w:fill="FFDCE0" w:val="clear"/>
          </w:tcPr>
          <w:p>
            <w:r>
              <w:rPr>
                <w:sz w:val="17"/>
              </w:rPr>
              <w:t>6,786</w:t>
            </w:r>
          </w:p>
        </w:tc>
        <w:tc>
          <w:tcPr>
            <w:tcW w:type="dxa" w:w="1440"/>
            <w:shd w:fill="FFDCE0" w:val="clear"/>
          </w:tcPr>
          <w:p>
            <w:r>
              <w:rPr>
                <w:b/>
                <w:color w:val="C00000"/>
                <w:sz w:val="17"/>
              </w:rPr>
              <w:t>-4.5%</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5,548</w:t>
            </w:r>
          </w:p>
        </w:tc>
        <w:tc>
          <w:tcPr>
            <w:tcW w:type="dxa" w:w="1440"/>
            <w:shd w:fill="FFDCE0" w:val="clear"/>
          </w:tcPr>
          <w:p>
            <w:r>
              <w:rPr>
                <w:b/>
                <w:sz w:val="17"/>
              </w:rPr>
              <w:t>6,190</w:t>
            </w:r>
          </w:p>
        </w:tc>
        <w:tc>
          <w:tcPr>
            <w:tcW w:type="dxa" w:w="1440"/>
            <w:shd w:fill="FFDCE0" w:val="clear"/>
          </w:tcPr>
          <w:p>
            <w:r>
              <w:rPr>
                <w:sz w:val="17"/>
              </w:rPr>
              <w:t>6,832</w:t>
            </w:r>
          </w:p>
        </w:tc>
        <w:tc>
          <w:tcPr>
            <w:tcW w:type="dxa" w:w="1440"/>
            <w:shd w:fill="FFDCE0" w:val="clear"/>
          </w:tcPr>
          <w:p>
            <w:r>
              <w:rPr>
                <w:b/>
                <w:color w:val="C00000"/>
                <w:sz w:val="17"/>
              </w:rPr>
              <w:t>-4.8%</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5,473</w:t>
            </w:r>
          </w:p>
        </w:tc>
        <w:tc>
          <w:tcPr>
            <w:tcW w:type="dxa" w:w="1440"/>
            <w:shd w:fill="FFDCE0" w:val="clear"/>
          </w:tcPr>
          <w:p>
            <w:r>
              <w:rPr>
                <w:b/>
                <w:sz w:val="17"/>
              </w:rPr>
              <w:t>6,174</w:t>
            </w:r>
          </w:p>
        </w:tc>
        <w:tc>
          <w:tcPr>
            <w:tcW w:type="dxa" w:w="1440"/>
            <w:shd w:fill="FFDCE0" w:val="clear"/>
          </w:tcPr>
          <w:p>
            <w:r>
              <w:rPr>
                <w:sz w:val="17"/>
              </w:rPr>
              <w:t>6,876</w:t>
            </w:r>
          </w:p>
        </w:tc>
        <w:tc>
          <w:tcPr>
            <w:tcW w:type="dxa" w:w="1440"/>
            <w:shd w:fill="FFDCE0" w:val="clear"/>
          </w:tcPr>
          <w:p>
            <w:r>
              <w:rPr>
                <w:b/>
                <w:color w:val="C00000"/>
                <w:sz w:val="17"/>
              </w:rPr>
              <w:t>-5.0%</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5,406</w:t>
            </w:r>
          </w:p>
        </w:tc>
        <w:tc>
          <w:tcPr>
            <w:tcW w:type="dxa" w:w="1440"/>
            <w:shd w:fill="FFDCE0" w:val="clear"/>
          </w:tcPr>
          <w:p>
            <w:r>
              <w:rPr>
                <w:b/>
                <w:sz w:val="17"/>
              </w:rPr>
              <w:t>6,162</w:t>
            </w:r>
          </w:p>
        </w:tc>
        <w:tc>
          <w:tcPr>
            <w:tcW w:type="dxa" w:w="1440"/>
            <w:shd w:fill="FFDCE0" w:val="clear"/>
          </w:tcPr>
          <w:p>
            <w:r>
              <w:rPr>
                <w:sz w:val="17"/>
              </w:rPr>
              <w:t>6,919</w:t>
            </w:r>
          </w:p>
        </w:tc>
        <w:tc>
          <w:tcPr>
            <w:tcW w:type="dxa" w:w="1440"/>
            <w:shd w:fill="FFDCE0" w:val="clear"/>
          </w:tcPr>
          <w:p>
            <w:r>
              <w:rPr>
                <w:b/>
                <w:color w:val="C00000"/>
                <w:sz w:val="17"/>
              </w:rPr>
              <w:t>-5.2%</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5,345</w:t>
            </w:r>
          </w:p>
        </w:tc>
        <w:tc>
          <w:tcPr>
            <w:tcW w:type="dxa" w:w="1440"/>
            <w:shd w:fill="FFDCE0" w:val="clear"/>
          </w:tcPr>
          <w:p>
            <w:r>
              <w:rPr>
                <w:b/>
                <w:sz w:val="17"/>
              </w:rPr>
              <w:t>6,153</w:t>
            </w:r>
          </w:p>
        </w:tc>
        <w:tc>
          <w:tcPr>
            <w:tcW w:type="dxa" w:w="1440"/>
            <w:shd w:fill="FFDCE0" w:val="clear"/>
          </w:tcPr>
          <w:p>
            <w:r>
              <w:rPr>
                <w:sz w:val="17"/>
              </w:rPr>
              <w:t>6,960</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5,289</w:t>
            </w:r>
          </w:p>
        </w:tc>
        <w:tc>
          <w:tcPr>
            <w:tcW w:type="dxa" w:w="1440"/>
            <w:shd w:fill="FFDCE0" w:val="clear"/>
          </w:tcPr>
          <w:p>
            <w:r>
              <w:rPr>
                <w:b/>
                <w:sz w:val="17"/>
              </w:rPr>
              <w:t>6,145</w:t>
            </w:r>
          </w:p>
        </w:tc>
        <w:tc>
          <w:tcPr>
            <w:tcW w:type="dxa" w:w="1440"/>
            <w:shd w:fill="FFDCE0" w:val="clear"/>
          </w:tcPr>
          <w:p>
            <w:r>
              <w:rPr>
                <w:sz w:val="17"/>
              </w:rPr>
              <w:t>7,000</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5,237</w:t>
            </w:r>
          </w:p>
        </w:tc>
        <w:tc>
          <w:tcPr>
            <w:tcW w:type="dxa" w:w="1440"/>
            <w:shd w:fill="FFDCE0" w:val="clear"/>
          </w:tcPr>
          <w:p>
            <w:r>
              <w:rPr>
                <w:b/>
                <w:sz w:val="17"/>
              </w:rPr>
              <w:t>6,138</w:t>
            </w:r>
          </w:p>
        </w:tc>
        <w:tc>
          <w:tcPr>
            <w:tcW w:type="dxa" w:w="1440"/>
            <w:shd w:fill="FFDCE0" w:val="clear"/>
          </w:tcPr>
          <w:p>
            <w:r>
              <w:rPr>
                <w:sz w:val="17"/>
              </w:rPr>
              <w:t>7,038</w:t>
            </w:r>
          </w:p>
        </w:tc>
        <w:tc>
          <w:tcPr>
            <w:tcW w:type="dxa" w:w="1440"/>
            <w:shd w:fill="FFDCE0" w:val="clear"/>
          </w:tcPr>
          <w:p>
            <w:r>
              <w:rPr>
                <w:b/>
                <w:color w:val="C00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RAPPORT D'ANALYSE FINANCIÈRE — CIEC (Compagnie Ivoirienne d'Électricité)</w:t>
        <w:br/>
        <w:t>**Marché : BRVM | Secteur : Services publics / Électricité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364,00 Mds FCFA, la CIEC s'impose comme l'une des plus importantes capitalisations de la BRVM, ce qui témoigne de son statut de valeur de référence dans le compartiment des services publics. Le BPA de 234 FCFA/action indique que chaque titre génère un bénéfice net de 234 FCFA, un niveau appréciable qui soutient directement la politique de dividende. Le PER de 27,7x traduit une valorisation nettement supérieure à la moyenne du marché BRVM (8-12x), signalant que les investisseurs anticipent une forte croissance ou acceptent une prime de rareté pour ce titre défensif. Le P/B de 10,12x, très au-dessus du seuil de 4x, révèle que le marché valorise l'entreprise à plus de dix fois sa valeur comptable — une prime exigeante qui reflète la faiblesse structurelle des fonds propres (35,96 Mds FCFA) face à un actif total de 2 018,45 Mds FCFA. Enfin, l'EV/EBITDA de 14,9x, dans la fourchette haute (10-15x), confirme que la valeur d'entreprise intègre une prime de qualité opérationnelle, cohérente avec la croissance de l'EBE (+23,2% à 37,2 Mds FCFA en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CIEC a enregistré une progression spectaculaire de +95,20%, avec une dernière séance en hausse de +0,78%, portant le cours actuel à 6 500 FCFA. Le range de trading est particulièrement large, oscillant entre un plus bas de 3 200 FCFA et un plus haut de 7 400 FCFA, soit un écart de plus de 131% entre les extrêmes — signe d'une forte dynamique haussière mais aussi d'une nervosité accrue. La tendance générale est clairement haussière, soutenue par des volumes moyens de 6 863 titres/jour, ce qui confère une certaine liquidité au mouvement. Les statistiques descriptives révèlent une moyenne de 5 444 FCFA légèrement supérieure à la médiane de 5 300 FCFA, indiquant une distribution faiblement asymétrique à droite, tandis que le mode à 4 995 FCFA suggère que le cours a longtemps stationné sous les 5 000 FCFA avant son envolée. L'écart-type de 1 052 FCFA (CV = 19,3%) traduit une dispersion modérée à élevée du cours autour de sa moyenne, et le kurtosis de -0,460 (mésokurtique) indique une distribution proche de la normale, sans risque excessif de pics extrêmes. Le skewness de -0,171 confirme cette symétrie relative, avec une très légère queue à gauche. La volatilité annualisée de 49,8% classe ce titre dans la catégorie des valeurs à volatilité élevée (&gt;30%), ce qui implique un risque de marché significatif mais aussi des opportunités de rendement accrues.</w:t>
      </w:r>
    </w:p>
    <w:p>
      <w:pPr>
        <w:spacing w:after="120" w:line="276" w:lineRule="auto"/>
      </w:pPr>
      <w:r>
        <w:t>---</w:t>
      </w:r>
    </w:p>
    <w:p>
      <w:pPr>
        <w:spacing w:after="120" w:line="276" w:lineRule="auto"/>
      </w:pPr>
      <w:r>
        <w:t>## PARTIE 2 : ANALYSE TECHNIQUE DÉTAILLÉE</w:t>
      </w:r>
    </w:p>
    <w:p>
      <w:pPr>
        <w:spacing w:after="120" w:line="276" w:lineRule="auto"/>
      </w:pPr>
      <w:r>
        <w:t>**Moyennes Mobiles** : La MM20 (6 686 FCFA) et la MM50 (6 181,7 FCFA) se situent toutes deux au-dessus du cours actuel (6 500 FCFA), ce qui place le titre en position de faiblesse relative à court terme. Cependant, la MM20 reste supérieure à la MM50, confirmant une structure haussière de fond. La décision « Achat » générée par le croisement des moyennes suggère que la tendance de fond demeure positive malgré la correction actuelle.</w:t>
      </w:r>
    </w:p>
    <w:p>
      <w:pPr>
        <w:spacing w:after="120" w:line="276" w:lineRule="auto"/>
      </w:pPr>
      <w:r>
        <w:t>**Bandes de Bollinger** : Le cours (6 500 FCFA) évolue dans la partie médiane de la bande, entre la borne inférieure (5 960,39 FCFA) et la borne supérieure (7 411,61 FCFA). Cette position centrale, couplée à une largeur de bande importante, traduit une volatilité élevée sans signal directionnel fort. La décision « Neutre » reflète l'absence de pression acheteuse ou vendeuse dominante à court terme.</w:t>
      </w:r>
    </w:p>
    <w:p>
      <w:pPr>
        <w:spacing w:after="120" w:line="276" w:lineRule="auto"/>
      </w:pPr>
      <w:r>
        <w:t>**MACD** : La valeur du MACD (7,804) est très inférieure à son signal (67,625), générant une divergence baissière marquée et une décision « Vente ». Ce déséquilibre indique un essoufflement du momentum haussier et un risque de correction à court terme, bien que le MACD reste en territoire positif.</w:t>
      </w:r>
    </w:p>
    <w:p>
      <w:pPr>
        <w:spacing w:after="120" w:line="276" w:lineRule="auto"/>
      </w:pPr>
      <w:r>
        <w:t>**RSI** : À 33,696, le RSI se situe dans la zone neutre basse, proche du seuil de survente (30). La décision « Neutre » suggère que le titre n'est ni suracheté ni survendu, mais la proximité de la zone de survente pourrait attirer des acheteurs à contre-tendance.</w:t>
      </w:r>
    </w:p>
    <w:p>
      <w:pPr>
        <w:spacing w:after="120" w:line="276" w:lineRule="auto"/>
      </w:pPr>
      <w:r>
        <w:t>**Stochastique** : Le %K (42,169) est supérieur au %D (35,109), sans croisement net récent. La décision « Neutre » confirme l'absence de signal fort, mais la position basse des deux courbes indique que le titre pourrait approcher d'un point de retournement haussier si un croisement se produisait.</w:t>
      </w:r>
    </w:p>
    <w:p>
      <w:pPr>
        <w:spacing w:after="120" w:line="276" w:lineRule="auto"/>
      </w:pPr>
      <w:r>
        <w:t>**Conclusion technique** : Les indicateurs techniques présentent un tableau mitigé. Les moyennes mobiles restent haussières de fond, mais le MACD signale une pression vendeuse à court terme, tandis que le RSI et le stochastique demeurent neutres. La divergence entre la tendance de fond (positive) et le momentum (négatif) suggère une phase de consolidation ou de correction temporaire, avec un support potentiel autour de 5 960 FCFA (borne inférieure de Bollinger) et une résistance à 7 411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CIEC affiche un chiffre d'affaires de 302,320 Mds FCFA, en croissance de +14,8% par rapport à 2024 (263,294 Mds FCFA), portée par une hausse des ventes d'énergie (+8,3% en volume) et une expansion du nombre de clients (+15,1% à 5 282 283 clients). Le résultat net s'établit à 13,127 Mds FCFA, en progression de +24,4% (contre 10,526 Mds FCFA en 2024), avec une marge nette de 4,34% et une marge opérationnelle de 7,40%. Le ROE atteint 36,50%, un niveau excellent (&gt;15%), bien que le ROA reste faible à 0,65% en raison de la structure bilancielle atypique (actif total de 2 018,45 Mds FCFA, dont 1 657,69 Mds FCFA d'actif circulant). Le BFR est négatif à -90,244 Mds FCFA, ce qui est favorable (financement par les fournisseurs), mais le délai client de 164 jours et le délai fournisseur de 970 jours révèlent un déséquilibre important : l'entreprise dépend fortement de ses fournisseurs pour financer son cycle d'exploitation, avec un risque de trésorerie si ces délais se resserrent. L'endettement est très élevé (ratio d'endettement de 612,94%, autonomie financière de 1,78%), mais la capacité de remboursement (7,64 ans) et la couverture des intérêts (617,75%) restent acceptables grâce à la CAF de 28,869 Mds FCFA. Le free cash-flow de 20,167 Mds FCFA et la trésorerie nette de 32,190 Mds FCFA confirment la solidité opérationnelle.</w:t>
      </w:r>
    </w:p>
    <w:p>
      <w:pPr>
        <w:spacing w:after="120" w:line="276" w:lineRule="auto"/>
      </w:pPr>
      <w:r>
        <w:t>**Estimations basées sur les rapports trimestriels** : Le rapport du 1er semestre 2025 (daté du 30/06/2025) indique un chiffre d'affaires de 134,923 Mds FCFA (+18,85%) et un résultat net de 5,096 Mds FCFA (+13,37%), avec une marge nette de 3,8% (contre 4,0% au S1 2024). Sur cette base, on peut estimer que l'exercice 2025 devrait confirmer la tendance annuelle, avec un résultat net proche de 13,1 Mds FCFA, ce qui est cohérent avec les données structurées. Le rapport annuel 2025 (daté du 31/12/2026) confirme un dividende de 234 FCFA/action, soit un taux de distribution de 99,8% du résultat net, un rendement attractif mais qui limite la capacité d'autofinancement. Les rapports antérieurs (2021, 2024) montrent une transition réussie vers le nouveau modèle de concession (2021-2032), avec une réduction drastique du bilan et une amélioration de la trésorerie nette (passée de -60,1 Mds FCFA en 2020 à +40,1 Mds FCFA en 2021). La recommandation fondamentale est de **CONSERVER** : la croissance est solide, la rentabilité excellente, mais la valorisation exigeante et les risques de crédit client (créances de 137,728 Mds FCFA) et de dépendance réglementaire limitent le potentiel de surperformance à court terme.</w:t>
      </w:r>
    </w:p>
    <w:p>
      <w:pPr>
        <w:spacing w:after="120" w:line="276" w:lineRule="auto"/>
      </w:pPr>
      <w:r>
        <w:t>---</w:t>
      </w:r>
    </w:p>
    <w:p>
      <w:pPr>
        <w:spacing w:after="120" w:line="276" w:lineRule="auto"/>
      </w:pPr>
      <w:r>
        <w:t>## PARTIE 4 : CONCLUSION D'INVESTISSEMENT</w:t>
      </w:r>
    </w:p>
    <w:p>
      <w:pPr>
        <w:spacing w:after="120" w:line="276" w:lineRule="auto"/>
      </w:pPr>
      <w:r>
        <w:t>La valorisation de la CIEC apparaît nettement surévaluée au regard des ratios boursiers : PER de 27,7x (vs 8-12x pour le marché), P/B de 10,12x et EV/EBITDA de 14,9x traduisent une prime de qualité et de rareté, mais laissent peu de marge de sécurité. Le comportement du cours sur 100 jours est exceptionnel (+95,20%), avec une volatilité élevée (49,8%) et une distribution symétrique (skewness -0,171, kurtosis -0,460), ce qui indique un risque de correction après une telle performance. Les signaux techniques sont divergents : les moyennes mobiles restent haussières de fond, mais le MACD génère une décision « Vente » et le RSI (33,7) approche la zone de survente, suggérant une consolidation imminente. Les fondamentaux sont solides (CA +14,8%, résultat net +24,4%, ROE de 36,5%), mais la structure financière est fragile (autonomie financière de 1,78%, endettement de 612,94%) et la politique de dividende quasi-totale (99,8%) limite les investissements futurs. Les prédictions IA pour les 10 prochains jours (6 297 → 6 174 FCFA) confirment une trajectoire baissière à court terme, en ligne avec le signal MACD et la pression vendeuse. **Recommandation finale : CONSERVER**, avec un niveau de confiance **Moyen** et un risque global **Élevé**. La convergence entre la surévaluation, le signal technique baissier et la prédiction IA négative suggère d'éviter un achat à court terme, mais la solidité fondamentale et le rendement du dividende justifient de conserver le titre pour un **horizon long terme (&gt;1 an)**, en attendant une correction vers des niveaux plus attractifs (support à 5 960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924.57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4,189 titres</w:t>
            </w:r>
          </w:p>
        </w:tc>
        <w:tc>
          <w:tcPr>
            <w:tcW w:type="dxa" w:w="2268"/>
            <w:shd w:fill="FFF2CC" w:val="clear"/>
          </w:tcPr>
          <w:p>
            <w:r>
              <w:rPr>
                <w:b/>
                <w:color w:val="503200"/>
                <w:sz w:val="16"/>
              </w:rPr>
              <w:t xml:space="preserve">Cours actuel : </w:t>
            </w:r>
            <w:r>
              <w:rPr>
                <w:color w:val="000000"/>
                <w:sz w:val="17"/>
              </w:rPr>
              <w:t>16,795 FCFA</w:t>
            </w:r>
          </w:p>
          <w:p>
            <w:r>
              <w:rPr>
                <w:b/>
                <w:color w:val="503200"/>
                <w:sz w:val="16"/>
              </w:rPr>
              <w:t xml:space="preserve">Var. 100 jours : </w:t>
            </w:r>
            <w:r>
              <w:rPr>
                <w:b/>
                <w:color w:val="B40000"/>
                <w:sz w:val="17"/>
              </w:rPr>
              <w:t>-0.03%</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2.73% (Faible) — μ=16,569 FCFA, σ=452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β=0.2955 (Défensif) — Cov=0.000020, Var(idx)=0.000068, ρ=0.139,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16,257</w:t>
            </w:r>
          </w:p>
        </w:tc>
        <w:tc>
          <w:tcPr>
            <w:tcW w:type="dxa" w:w="1440"/>
            <w:shd w:fill="FAFAFA" w:val="clear"/>
          </w:tcPr>
          <w:p>
            <w:r>
              <w:rPr>
                <w:b/>
                <w:sz w:val="17"/>
              </w:rPr>
              <w:t>16,880</w:t>
            </w:r>
          </w:p>
        </w:tc>
        <w:tc>
          <w:tcPr>
            <w:tcW w:type="dxa" w:w="1440"/>
            <w:shd w:fill="FAFAFA" w:val="clear"/>
          </w:tcPr>
          <w:p>
            <w:r>
              <w:rPr>
                <w:sz w:val="17"/>
              </w:rPr>
              <w:t>17,502</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16,132</w:t>
            </w:r>
          </w:p>
        </w:tc>
        <w:tc>
          <w:tcPr>
            <w:tcW w:type="dxa" w:w="1440"/>
            <w:shd w:fill="FAFAFA" w:val="clear"/>
          </w:tcPr>
          <w:p>
            <w:r>
              <w:rPr>
                <w:b/>
                <w:sz w:val="17"/>
              </w:rPr>
              <w:t>16,895</w:t>
            </w:r>
          </w:p>
        </w:tc>
        <w:tc>
          <w:tcPr>
            <w:tcW w:type="dxa" w:w="1440"/>
            <w:shd w:fill="FAFAFA" w:val="clear"/>
          </w:tcPr>
          <w:p>
            <w:r>
              <w:rPr>
                <w:sz w:val="17"/>
              </w:rPr>
              <w:t>17,658</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2026-10-07</w:t>
            </w:r>
          </w:p>
        </w:tc>
        <w:tc>
          <w:tcPr>
            <w:tcW w:type="dxa" w:w="1440"/>
            <w:shd w:fill="FAFAFA" w:val="clear"/>
          </w:tcPr>
          <w:p>
            <w:r>
              <w:rPr>
                <w:sz w:val="17"/>
              </w:rPr>
              <w:t>16,027</w:t>
            </w:r>
          </w:p>
        </w:tc>
        <w:tc>
          <w:tcPr>
            <w:tcW w:type="dxa" w:w="1440"/>
            <w:shd w:fill="FAFAFA" w:val="clear"/>
          </w:tcPr>
          <w:p>
            <w:r>
              <w:rPr>
                <w:b/>
                <w:sz w:val="17"/>
              </w:rPr>
              <w:t>16,909</w:t>
            </w:r>
          </w:p>
        </w:tc>
        <w:tc>
          <w:tcPr>
            <w:tcW w:type="dxa" w:w="1440"/>
            <w:shd w:fill="FAFAFA" w:val="clear"/>
          </w:tcPr>
          <w:p>
            <w:r>
              <w:rPr>
                <w:sz w:val="17"/>
              </w:rPr>
              <w:t>17,791</w:t>
            </w:r>
          </w:p>
        </w:tc>
        <w:tc>
          <w:tcPr>
            <w:tcW w:type="dxa" w:w="1440"/>
            <w:shd w:fill="FAFAFA" w:val="clear"/>
          </w:tcPr>
          <w:p>
            <w:r>
              <w:rPr>
                <w:b/>
                <w:color w:val="008000"/>
                <w:sz w:val="17"/>
              </w:rPr>
              <w:t>+0.7%</w:t>
            </w:r>
          </w:p>
        </w:tc>
      </w:tr>
      <w:tr>
        <w:tc>
          <w:tcPr>
            <w:tcW w:type="dxa" w:w="1440"/>
            <w:shd w:fill="FAFAFA" w:val="clear"/>
          </w:tcPr>
          <w:p>
            <w:r>
              <w:rPr>
                <w:sz w:val="17"/>
              </w:rPr>
              <w:t>J+4  Moyenne</w:t>
            </w:r>
          </w:p>
        </w:tc>
        <w:tc>
          <w:tcPr>
            <w:tcW w:type="dxa" w:w="1440"/>
            <w:shd w:fill="FAFAFA" w:val="clear"/>
          </w:tcPr>
          <w:p>
            <w:r>
              <w:rPr>
                <w:sz w:val="17"/>
              </w:rPr>
              <w:t>2026-10-08</w:t>
            </w:r>
          </w:p>
        </w:tc>
        <w:tc>
          <w:tcPr>
            <w:tcW w:type="dxa" w:w="1440"/>
            <w:shd w:fill="FAFAFA" w:val="clear"/>
          </w:tcPr>
          <w:p>
            <w:r>
              <w:rPr>
                <w:sz w:val="17"/>
              </w:rPr>
              <w:t>15,936</w:t>
            </w:r>
          </w:p>
        </w:tc>
        <w:tc>
          <w:tcPr>
            <w:tcW w:type="dxa" w:w="1440"/>
            <w:shd w:fill="FAFAFA" w:val="clear"/>
          </w:tcPr>
          <w:p>
            <w:r>
              <w:rPr>
                <w:b/>
                <w:sz w:val="17"/>
              </w:rPr>
              <w:t>16,923</w:t>
            </w:r>
          </w:p>
        </w:tc>
        <w:tc>
          <w:tcPr>
            <w:tcW w:type="dxa" w:w="1440"/>
            <w:shd w:fill="FAFAFA" w:val="clear"/>
          </w:tcPr>
          <w:p>
            <w:r>
              <w:rPr>
                <w:sz w:val="17"/>
              </w:rPr>
              <w:t>17,909</w:t>
            </w:r>
          </w:p>
        </w:tc>
        <w:tc>
          <w:tcPr>
            <w:tcW w:type="dxa" w:w="1440"/>
            <w:shd w:fill="FAFAFA" w:val="clear"/>
          </w:tcPr>
          <w:p>
            <w:r>
              <w:rPr>
                <w:b/>
                <w:color w:val="008000"/>
                <w:sz w:val="17"/>
              </w:rPr>
              <w:t>+0.8%</w:t>
            </w:r>
          </w:p>
        </w:tc>
      </w:tr>
      <w:tr>
        <w:tc>
          <w:tcPr>
            <w:tcW w:type="dxa" w:w="1440"/>
            <w:shd w:fill="FAFAFA" w:val="clear"/>
          </w:tcPr>
          <w:p>
            <w:r>
              <w:rPr>
                <w:sz w:val="17"/>
              </w:rPr>
              <w:t>J+5  Moyenne</w:t>
            </w:r>
          </w:p>
        </w:tc>
        <w:tc>
          <w:tcPr>
            <w:tcW w:type="dxa" w:w="1440"/>
            <w:shd w:fill="FAFAFA" w:val="clear"/>
          </w:tcPr>
          <w:p>
            <w:r>
              <w:rPr>
                <w:sz w:val="17"/>
              </w:rPr>
              <w:t>2026-10-09</w:t>
            </w:r>
          </w:p>
        </w:tc>
        <w:tc>
          <w:tcPr>
            <w:tcW w:type="dxa" w:w="1440"/>
            <w:shd w:fill="FAFAFA" w:val="clear"/>
          </w:tcPr>
          <w:p>
            <w:r>
              <w:rPr>
                <w:sz w:val="17"/>
              </w:rPr>
              <w:t>15,854</w:t>
            </w:r>
          </w:p>
        </w:tc>
        <w:tc>
          <w:tcPr>
            <w:tcW w:type="dxa" w:w="1440"/>
            <w:shd w:fill="FAFAFA" w:val="clear"/>
          </w:tcPr>
          <w:p>
            <w:r>
              <w:rPr>
                <w:b/>
                <w:sz w:val="17"/>
              </w:rPr>
              <w:t>16,935</w:t>
            </w:r>
          </w:p>
        </w:tc>
        <w:tc>
          <w:tcPr>
            <w:tcW w:type="dxa" w:w="1440"/>
            <w:shd w:fill="FAFAFA" w:val="clear"/>
          </w:tcPr>
          <w:p>
            <w:r>
              <w:rPr>
                <w:sz w:val="17"/>
              </w:rPr>
              <w:t>18,017</w:t>
            </w:r>
          </w:p>
        </w:tc>
        <w:tc>
          <w:tcPr>
            <w:tcW w:type="dxa" w:w="1440"/>
            <w:shd w:fill="FAFAFA" w:val="clear"/>
          </w:tcPr>
          <w:p>
            <w:r>
              <w:rPr>
                <w:b/>
                <w:color w:val="008000"/>
                <w:sz w:val="17"/>
              </w:rPr>
              <w:t>+0.8%</w:t>
            </w:r>
          </w:p>
        </w:tc>
      </w:tr>
      <w:tr>
        <w:tc>
          <w:tcPr>
            <w:tcW w:type="dxa" w:w="1440"/>
            <w:shd w:fill="FAFAFA" w:val="clear"/>
          </w:tcPr>
          <w:p>
            <w:r>
              <w:rPr>
                <w:sz w:val="17"/>
              </w:rPr>
              <w:t>J+6  Moyenne</w:t>
            </w:r>
          </w:p>
        </w:tc>
        <w:tc>
          <w:tcPr>
            <w:tcW w:type="dxa" w:w="1440"/>
            <w:shd w:fill="FAFAFA" w:val="clear"/>
          </w:tcPr>
          <w:p>
            <w:r>
              <w:rPr>
                <w:sz w:val="17"/>
              </w:rPr>
              <w:t>2026-10-12</w:t>
            </w:r>
          </w:p>
        </w:tc>
        <w:tc>
          <w:tcPr>
            <w:tcW w:type="dxa" w:w="1440"/>
            <w:shd w:fill="FAFAFA" w:val="clear"/>
          </w:tcPr>
          <w:p>
            <w:r>
              <w:rPr>
                <w:sz w:val="17"/>
              </w:rPr>
              <w:t>15,779</w:t>
            </w:r>
          </w:p>
        </w:tc>
        <w:tc>
          <w:tcPr>
            <w:tcW w:type="dxa" w:w="1440"/>
            <w:shd w:fill="FAFAFA" w:val="clear"/>
          </w:tcPr>
          <w:p>
            <w:r>
              <w:rPr>
                <w:b/>
                <w:sz w:val="17"/>
              </w:rPr>
              <w:t>16,948</w:t>
            </w:r>
          </w:p>
        </w:tc>
        <w:tc>
          <w:tcPr>
            <w:tcW w:type="dxa" w:w="1440"/>
            <w:shd w:fill="FAFAFA" w:val="clear"/>
          </w:tcPr>
          <w:p>
            <w:r>
              <w:rPr>
                <w:sz w:val="17"/>
              </w:rPr>
              <w:t>18,118</w:t>
            </w:r>
          </w:p>
        </w:tc>
        <w:tc>
          <w:tcPr>
            <w:tcW w:type="dxa" w:w="1440"/>
            <w:shd w:fill="FAFAFA" w:val="clear"/>
          </w:tcPr>
          <w:p>
            <w:r>
              <w:rPr>
                <w:b/>
                <w:color w:val="008000"/>
                <w:sz w:val="17"/>
              </w:rPr>
              <w:t>+0.9%</w:t>
            </w:r>
          </w:p>
        </w:tc>
      </w:tr>
      <w:tr>
        <w:tc>
          <w:tcPr>
            <w:tcW w:type="dxa" w:w="1440"/>
            <w:shd w:fill="FAFAFA" w:val="clear"/>
          </w:tcPr>
          <w:p>
            <w:r>
              <w:rPr>
                <w:sz w:val="17"/>
              </w:rPr>
              <w:t>J+7  Moyenne</w:t>
            </w:r>
          </w:p>
        </w:tc>
        <w:tc>
          <w:tcPr>
            <w:tcW w:type="dxa" w:w="1440"/>
            <w:shd w:fill="FAFAFA" w:val="clear"/>
          </w:tcPr>
          <w:p>
            <w:r>
              <w:rPr>
                <w:sz w:val="17"/>
              </w:rPr>
              <w:t>2026-10-13</w:t>
            </w:r>
          </w:p>
        </w:tc>
        <w:tc>
          <w:tcPr>
            <w:tcW w:type="dxa" w:w="1440"/>
            <w:shd w:fill="FAFAFA" w:val="clear"/>
          </w:tcPr>
          <w:p>
            <w:r>
              <w:rPr>
                <w:sz w:val="17"/>
              </w:rPr>
              <w:t>15,709</w:t>
            </w:r>
          </w:p>
        </w:tc>
        <w:tc>
          <w:tcPr>
            <w:tcW w:type="dxa" w:w="1440"/>
            <w:shd w:fill="FAFAFA" w:val="clear"/>
          </w:tcPr>
          <w:p>
            <w:r>
              <w:rPr>
                <w:b/>
                <w:sz w:val="17"/>
              </w:rPr>
              <w:t>16,961</w:t>
            </w:r>
          </w:p>
        </w:tc>
        <w:tc>
          <w:tcPr>
            <w:tcW w:type="dxa" w:w="1440"/>
            <w:shd w:fill="FAFAFA" w:val="clear"/>
          </w:tcPr>
          <w:p>
            <w:r>
              <w:rPr>
                <w:sz w:val="17"/>
              </w:rPr>
              <w:t>18,212</w:t>
            </w:r>
          </w:p>
        </w:tc>
        <w:tc>
          <w:tcPr>
            <w:tcW w:type="dxa" w:w="1440"/>
            <w:shd w:fill="FAFAFA" w:val="clear"/>
          </w:tcPr>
          <w:p>
            <w:r>
              <w:rPr>
                <w:b/>
                <w:color w:val="008000"/>
                <w:sz w:val="17"/>
              </w:rPr>
              <w:t>+1.0%</w:t>
            </w:r>
          </w:p>
        </w:tc>
      </w:tr>
      <w:tr>
        <w:tc>
          <w:tcPr>
            <w:tcW w:type="dxa" w:w="1440"/>
            <w:shd w:fill="FAFAFA" w:val="clear"/>
          </w:tcPr>
          <w:p>
            <w:r>
              <w:rPr>
                <w:sz w:val="17"/>
              </w:rPr>
              <w:t>J+8  Moyenne</w:t>
            </w:r>
          </w:p>
        </w:tc>
        <w:tc>
          <w:tcPr>
            <w:tcW w:type="dxa" w:w="1440"/>
            <w:shd w:fill="FAFAFA" w:val="clear"/>
          </w:tcPr>
          <w:p>
            <w:r>
              <w:rPr>
                <w:sz w:val="17"/>
              </w:rPr>
              <w:t>2026-10-14</w:t>
            </w:r>
          </w:p>
        </w:tc>
        <w:tc>
          <w:tcPr>
            <w:tcW w:type="dxa" w:w="1440"/>
            <w:shd w:fill="FAFAFA" w:val="clear"/>
          </w:tcPr>
          <w:p>
            <w:r>
              <w:rPr>
                <w:sz w:val="17"/>
              </w:rPr>
              <w:t>15,645</w:t>
            </w:r>
          </w:p>
        </w:tc>
        <w:tc>
          <w:tcPr>
            <w:tcW w:type="dxa" w:w="1440"/>
            <w:shd w:fill="FAFAFA" w:val="clear"/>
          </w:tcPr>
          <w:p>
            <w:r>
              <w:rPr>
                <w:b/>
                <w:sz w:val="17"/>
              </w:rPr>
              <w:t>16,973</w:t>
            </w:r>
          </w:p>
        </w:tc>
        <w:tc>
          <w:tcPr>
            <w:tcW w:type="dxa" w:w="1440"/>
            <w:shd w:fill="FAFAFA" w:val="clear"/>
          </w:tcPr>
          <w:p>
            <w:r>
              <w:rPr>
                <w:sz w:val="17"/>
              </w:rPr>
              <w:t>18,301</w:t>
            </w:r>
          </w:p>
        </w:tc>
        <w:tc>
          <w:tcPr>
            <w:tcW w:type="dxa" w:w="1440"/>
            <w:shd w:fill="FAFAFA" w:val="clear"/>
          </w:tcPr>
          <w:p>
            <w:r>
              <w:rPr>
                <w:b/>
                <w:color w:val="008000"/>
                <w:sz w:val="17"/>
              </w:rPr>
              <w:t>+1.1%</w:t>
            </w:r>
          </w:p>
        </w:tc>
      </w:tr>
      <w:tr>
        <w:tc>
          <w:tcPr>
            <w:tcW w:type="dxa" w:w="1440"/>
            <w:shd w:fill="FAFAFA" w:val="clear"/>
          </w:tcPr>
          <w:p>
            <w:r>
              <w:rPr>
                <w:sz w:val="17"/>
              </w:rPr>
              <w:t>J+9  Moyenne</w:t>
            </w:r>
          </w:p>
        </w:tc>
        <w:tc>
          <w:tcPr>
            <w:tcW w:type="dxa" w:w="1440"/>
            <w:shd w:fill="FAFAFA" w:val="clear"/>
          </w:tcPr>
          <w:p>
            <w:r>
              <w:rPr>
                <w:sz w:val="17"/>
              </w:rPr>
              <w:t>2026-10-15</w:t>
            </w:r>
          </w:p>
        </w:tc>
        <w:tc>
          <w:tcPr>
            <w:tcW w:type="dxa" w:w="1440"/>
            <w:shd w:fill="FAFAFA" w:val="clear"/>
          </w:tcPr>
          <w:p>
            <w:r>
              <w:rPr>
                <w:sz w:val="17"/>
              </w:rPr>
              <w:t>15,584</w:t>
            </w:r>
          </w:p>
        </w:tc>
        <w:tc>
          <w:tcPr>
            <w:tcW w:type="dxa" w:w="1440"/>
            <w:shd w:fill="FAFAFA" w:val="clear"/>
          </w:tcPr>
          <w:p>
            <w:r>
              <w:rPr>
                <w:b/>
                <w:sz w:val="17"/>
              </w:rPr>
              <w:t>16,985</w:t>
            </w:r>
          </w:p>
        </w:tc>
        <w:tc>
          <w:tcPr>
            <w:tcW w:type="dxa" w:w="1440"/>
            <w:shd w:fill="FAFAFA" w:val="clear"/>
          </w:tcPr>
          <w:p>
            <w:r>
              <w:rPr>
                <w:sz w:val="17"/>
              </w:rPr>
              <w:t>18,386</w:t>
            </w:r>
          </w:p>
        </w:tc>
        <w:tc>
          <w:tcPr>
            <w:tcW w:type="dxa" w:w="1440"/>
            <w:shd w:fill="FAFAFA" w:val="clear"/>
          </w:tcPr>
          <w:p>
            <w:r>
              <w:rPr>
                <w:b/>
                <w:color w:val="008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 RAPPORT D'ANALYSE FINANCIÈRE — ECOBANK CÔTE D'IVOIRE (ECOC)</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**924,57 milliards FCFA**, ECOC figure parmi les valeurs les plus capitalisées de la cote BRVM, ce qui en fait un pilier de l'indice BRVM Composite et un titre de référence pour les investisseurs institutionnels de la zone UEMOA. Le **BPA de 1 153 FCFA/action** traduit une capacité bénéficiaire solide, chaque titre générant plus d'un millier de francs de profit net. Le **PER de 14,6x** se situe au-dessus de la moyenne du marché BRVM (généralement comprise entre 8 et 12x), signalant que les investisseurs acceptent de payer une prime pour la qualité et la régularité des résultats de la banque — une valorisation « modérée » mais non décotée. Le **P/B de 4,23x** confirme cette prime : le marché valorise ECOC à plus de quatre fois sa valeur comptable, ce qui est exigeant et intègre déjà une forte anticipation de rentabilité future (cohérent avec un ROE de près de 29%). Enfin, l'**EV/EBITDA de 14,2x**, dans la fourchette haute (10-15x), suggère que la valeur d'entreprise intègre pleinement la capacité opérationnelle actuelle, laissant peu de marge d'erreur en cas de dégradation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d'ECOC affiche une **quasi-stagnation avec une variation totale de -0,03%**, tandis que la dernière séance (J-1) enregistre un repli de **-0,24%**, portant le cours actuel à **16 795 FCFA**. Le titre a évolué dans un couloir relativement étroit, entre un plus bas de **15 520 FCFA** et un plus haut de **17 725 FCFA**, soit un range de trading d'environ 14% — traduisant une tendance générale **stable, sans direction franche**, typique d'une phase de consolidation après une progression antérieure. Les statistiques descriptives confirment cette stabilité : la **moyenne (16 569 FCFA)** et la **médiane (16 500 FCFA)** sont quasi confondues, signe d'une distribution équilibrée, tandis que le **mode à 16 300 FCFA** indique un point d'ancrage fréquent du marché. L'**écart-type de 454 FCFA (CV = 2,7%)** révèle une dispersion très faible du cours, donc une relative stabilité à court terme. Le **kurtosis de -0,239** (mésokurtique) et le **skewness de 0,239** (distribution symétrique) indiquent l'absence de pics extrêmes ou de biais directionnel marqué — un profil rassurant pour un investisseur averse au risque. Avec une **volatilité annualisée de 27,8%**, le titre se situe dans la fourchette **modérée (15-30%)**, cohérente avec une valeur bancaire de premier rang sur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**17 071,5 FCFA** et la MM50 à **16 672,9 FCFA**, toutes deux supérieures au cours actuel (16 795 FCFA) pour la MM20, mais la MM50 reste en dessous. La configuration MM20 &gt; MM50 traduit une dynamique haussière de fond, ce qui justifie la décision **Achat** fournie, bien que le cours évolue légèrement sous sa moyenne court terme, signalant une consolidation temporaire.</w:t>
      </w:r>
    </w:p>
    <w:p>
      <w:pPr>
        <w:spacing w:after="120" w:line="276" w:lineRule="auto"/>
      </w:pPr>
      <w:r>
        <w:t>**Bandes de Bollinger** — Les bornes supérieure (**17 707,4 FCFA**) et inférieure (**16 435,6 FCFA**) encadrent un cours actuel de 16 795 FCFA, positionné dans la moitié basse du canal. Le resserrement des bandes (amplitude ~1 272 FCFA) indique une **faible volatilité** et un potentiel de compression avant expansion. La décision **Neutre** est cohérente : le cours n'est ni en surachat ni en survente.</w:t>
      </w:r>
    </w:p>
    <w:p>
      <w:pPr>
        <w:spacing w:after="120" w:line="276" w:lineRule="auto"/>
      </w:pPr>
      <w:r>
        <w:t>**MACD** — La valeur du MACD (**-3,626**) est nettement inférieure à son signal (**50,9**), générant une divergence baissière qui traduit un **momentum négatif** à court terme. Cette configuration justifie la décision **Vente**, bien que l'écart reste modéré et puisse se résorber rapidement.</w:t>
      </w:r>
    </w:p>
    <w:p>
      <w:pPr>
        <w:spacing w:after="120" w:line="276" w:lineRule="auto"/>
      </w:pPr>
      <w:r>
        <w:t>**RSI** — À **37,563**, le RSI se situe dans la zone neutre basse (30-70), proche du seuil de survente sans l'atteindre. Cela suggère une pression vendeuse modérée mais un potentiel de rebond technique. La décision **Neutre** est appropriée.</w:t>
      </w:r>
    </w:p>
    <w:p>
      <w:pPr>
        <w:spacing w:after="120" w:line="276" w:lineRule="auto"/>
      </w:pPr>
      <w:r>
        <w:t>**Stochastique** — Le %K (**35,78**) est légèrement supérieur au %D (**32,851**), sans croisement franc, indiquant une absence de signal directionnel clair. La décision **Neutre** reflète cette indécision.</w:t>
      </w:r>
    </w:p>
    <w:p>
      <w:pPr>
        <w:spacing w:after="120" w:line="276" w:lineRule="auto"/>
      </w:pPr>
      <w:r>
        <w:t>**Conclusion technique** — Les indicateurs sont **mitigés** : les moyennes mobiles plaident pour un achat (tendance de fond haussière), mais le MACD signale un momentum baissier, tandis que RSI, Bollinger et Stochastique restent neutres. Le titre se trouve dans une **phase de consolidation** sans signal fort, ce qui invite à la prudence avant toute décision directionnelle.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ECOC affiche un **Produit Net Bancaire (PNB) de 132,725 milliards FCFA**, un **résultat net de 63,482 milliards FCFA**, un **ROE de 29,04%** (largement supérieur au seuil de 15% considéré comme excellent) et un **ROA de 3,09%**. Le **coefficient d'exploitation de 42,89%** confirme une banque très efficace (seuil de référence &lt; 60%), et le **coût du risque de 1,36%** reste modéré, témoignant d'un portefeuille de crédits globalement sain. La structure financière montre des **dépôts clientèle de 1 626,223 milliards FCFA** face à des **créances clientèle de 1 050,803 milliards FCFA**, soit un ratio de transformation (crédits/dépôts) d'environ 64,6% — un niveau maîtrisé laissant une marge de déploiement. La **marge nette de 47,83%** et la **marge opérationnelle de 55,75%** confirment la rentabilité structurelle élevée du modèle.</w:t>
      </w:r>
    </w:p>
    <w:p>
      <w:pPr>
        <w:spacing w:after="120" w:line="276" w:lineRule="auto"/>
      </w:pPr>
      <w:r>
        <w:t>**Estimations issues des rapports trimestriels** — Le rapport **S1 2026 (publié le 26 août 2026)** révèle un PNB de **64,078 milliards FCFA (+2,0%)** et un résultat net de **26,408 milliards FCFA (-8,6%)**, pénalisé par un **coût du risque multiplié par 7,4 à 5,197 milliards FCFA** (approche prudente de provisionnement) et une baisse de 25,9% des produits hors intérêts. Le **rapport T1 2026** confirme cette tendance avec un PNB de 30,8 milliards (+3,7%) mais un résultat net en repli de 1,6% à 13,0 milliards. On estime donc que **l'exercice 2026 devrait clôturer avec un résultat net en contraction modérée (entre -5% et -10%)**, autour de 57-60 milliards FCFA, tout en maintenant un ROE supérieur à 25%. Le **dividende proposé de 888 FCFA brut/action** (781 FCFA net, paiement prévu le 22 mai 2026) offre un rendement attractif d'environ 5,3% au cours actuel, confirmant la générosité de la politique de distribution (taux de distribution ~77% en 2024).</w:t>
      </w:r>
    </w:p>
    <w:p>
      <w:pPr>
        <w:spacing w:after="120" w:line="276" w:lineRule="auto"/>
      </w:pPr>
      <w:r>
        <w:t>**Recommandation fondamentale** — ECOC demeure un **dossier de qualité exceptionnelle** : rentabilité élevée, efficacité opérationnelle remarquable, bilan solide et politique de dividende attractive. Les risques identifiés — hausse du coût du risque, contraction des revenus hors intérêts, incertitudes géopolitiques — sont **conjoncturels et volontairement provisionnés**, non structurels. La recommandation fondamentale est **CONSERVER**, avec un biais positif à moyen terme.</w:t>
      </w:r>
    </w:p>
    <w:p>
      <w:pPr>
        <w:spacing w:after="120" w:line="276" w:lineRule="auto"/>
      </w:pPr>
      <w:r>
        <w:t>---</w:t>
      </w:r>
    </w:p>
    <w:p>
      <w:pPr>
        <w:spacing w:after="120" w:line="276" w:lineRule="auto"/>
      </w:pPr>
      <w:r>
        <w:t>## PARTIE 4 : CONCLUSION D'INVESTISSEMENT</w:t>
      </w:r>
    </w:p>
    <w:p>
      <w:pPr>
        <w:spacing w:after="120" w:line="276" w:lineRule="auto"/>
      </w:pPr>
      <w:r>
        <w:t>La synthèse des quatre axes d'analyse révèle un **profil d'investissement équilibré mais sans signal fort à court terme**. Sur le plan de la **valorisation (Partie 0)**, les ratios PER (14,6x), P/B (4,23x) et EV/EBITDA (14,2x) indiquent une **valorisation exigeante mais justifiée** par la qualité des fondamentaux, sans décote évidente. Le **comportement du cours (Partie 1)** est rassurant : volatilité modérée (27,8%), distribution symétrique (skewness 0,239) et absence de pics extrêmes (kurtosis -0,239), mais la tendance est atone (-0,03% sur 100 jours). Les **signaux techniques (Partie 2)** sont **divergents** : les moyennes mobiles sont haussières (MM20 &gt; MM50), mais le MACD est baissier, tandis que RSI, Bollinger et Stochastique restent neutres — une configuration de consolidation. Les **fondamentaux (Partie 3)** demeurent solides (ROE 29%, coefficient d'exploitation 42,9%, dividende 888 FCFA), malgré une contraction attendue du résultat net 2026 liée au provisionnement. Les **prédictions IA (J+1 à J+10)** anticipent une **légère reprise progressive** de 16 880 à 16 935 FCFA (+0,8% sur 10 jours), confirmant la stabilité du titre sans emballement. **Recommandation finale : CONSERVER**, avec un **niveau de confiance Moyen** et un **risque global Moyen**. L'horizon optimal est le **moyen terme (3-12 mois)**, le temps que le coût du risque se normalise et que la dynamique bénéficiaire se confirme — un passage à **ACHAT** serait justifié si le titre revenait sous 16 000 FCFA ou si le coût du risque se stabilisait au S2 2026.</w:t>
      </w:r>
    </w:p>
    <w:p>
      <w:pPr>
        <w:spacing w:after="120" w:line="276" w:lineRule="auto"/>
      </w:pPr>
      <w:r>
        <w:t>---</w:t>
        <w:br/>
        <w:t>*Rapport généré le 4 octobre 2026 — Sources : BRVM, états financiers ECOC 2025, rapports S1 2026 et T1 2026, avis de convocation AGO du 28 avril 2026.*</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1211.64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1,671,117 titres</w:t>
            </w:r>
          </w:p>
        </w:tc>
        <w:tc>
          <w:tcPr>
            <w:tcW w:type="dxa" w:w="2268"/>
            <w:shd w:fill="FFF2CC" w:val="clear"/>
          </w:tcPr>
          <w:p>
            <w:r>
              <w:rPr>
                <w:b/>
                <w:color w:val="503200"/>
                <w:sz w:val="16"/>
              </w:rPr>
              <w:t xml:space="preserve">Cours actuel : </w:t>
            </w:r>
            <w:r>
              <w:rPr>
                <w:color w:val="000000"/>
                <w:sz w:val="17"/>
              </w:rPr>
              <w:t>67 FCFA</w:t>
            </w:r>
          </w:p>
          <w:p>
            <w:r>
              <w:rPr>
                <w:b/>
                <w:color w:val="503200"/>
                <w:sz w:val="16"/>
              </w:rPr>
              <w:t xml:space="preserve">Var. 100 jours : </w:t>
            </w:r>
            <w:r>
              <w:rPr>
                <w:b/>
                <w:color w:val="007800"/>
                <w:sz w:val="17"/>
              </w:rPr>
              <w:t>+123.33%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31.59% (Élevée) — μ=54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β=2.0112 (Très agressif) — Cov=0.000136, Var(idx)=0.000068, ρ=0.423,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1,671,117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σ_j=3.91%/j (Modérée) — Vol. annualisée≈62.0%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62</w:t>
            </w:r>
          </w:p>
        </w:tc>
        <w:tc>
          <w:tcPr>
            <w:tcW w:type="dxa" w:w="1440"/>
            <w:shd w:fill="FAFAFA" w:val="clear"/>
          </w:tcPr>
          <w:p>
            <w:r>
              <w:rPr>
                <w:b/>
                <w:sz w:val="17"/>
              </w:rPr>
              <w:t>66</w:t>
            </w:r>
          </w:p>
        </w:tc>
        <w:tc>
          <w:tcPr>
            <w:tcW w:type="dxa" w:w="1440"/>
            <w:shd w:fill="FAFAFA" w:val="clear"/>
          </w:tcPr>
          <w:p>
            <w:r>
              <w:rPr>
                <w:sz w:val="17"/>
              </w:rPr>
              <w:t>70</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71</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60</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59</w:t>
            </w:r>
          </w:p>
        </w:tc>
        <w:tc>
          <w:tcPr>
            <w:tcW w:type="dxa" w:w="1440"/>
            <w:shd w:fill="FAFAFA" w:val="clear"/>
          </w:tcPr>
          <w:p>
            <w:r>
              <w:rPr>
                <w:b/>
                <w:sz w:val="17"/>
              </w:rPr>
              <w:t>66</w:t>
            </w:r>
          </w:p>
        </w:tc>
        <w:tc>
          <w:tcPr>
            <w:tcW w:type="dxa" w:w="1440"/>
            <w:shd w:fill="FAFAFA" w:val="clear"/>
          </w:tcPr>
          <w:p>
            <w:r>
              <w:rPr>
                <w:sz w:val="17"/>
              </w:rPr>
              <w:t>73</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58</w:t>
            </w:r>
          </w:p>
        </w:tc>
        <w:tc>
          <w:tcPr>
            <w:tcW w:type="dxa" w:w="1440"/>
            <w:shd w:fill="FAFAFA" w:val="clear"/>
          </w:tcPr>
          <w:p>
            <w:r>
              <w:rPr>
                <w:b/>
                <w:sz w:val="17"/>
              </w:rPr>
              <w:t>66</w:t>
            </w:r>
          </w:p>
        </w:tc>
        <w:tc>
          <w:tcPr>
            <w:tcW w:type="dxa" w:w="1440"/>
            <w:shd w:fill="FAFAFA" w:val="clear"/>
          </w:tcPr>
          <w:p>
            <w:r>
              <w:rPr>
                <w:sz w:val="17"/>
              </w:rPr>
              <w:t>73</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58</w:t>
            </w:r>
          </w:p>
        </w:tc>
        <w:tc>
          <w:tcPr>
            <w:tcW w:type="dxa" w:w="1440"/>
            <w:shd w:fill="FAFAFA" w:val="clear"/>
          </w:tcPr>
          <w:p>
            <w:r>
              <w:rPr>
                <w:b/>
                <w:sz w:val="17"/>
              </w:rPr>
              <w:t>66</w:t>
            </w:r>
          </w:p>
        </w:tc>
        <w:tc>
          <w:tcPr>
            <w:tcW w:type="dxa" w:w="1440"/>
            <w:shd w:fill="FAFAFA" w:val="clear"/>
          </w:tcPr>
          <w:p>
            <w:r>
              <w:rPr>
                <w:sz w:val="17"/>
              </w:rPr>
              <w:t>74</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57</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57</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1 211,64 milliards FCFA, ETIT s'impose comme l'une des plus importantes capitalisations de la BRVM, reflétant son statut de banque panafricaine de référence. Le BPA de 19 FCFA/action indique ce que chaque titre génère en bénéfice, tandis que le PER de 3,5x signale que les investisseurs ne paient que 3,5 fois les bénéfices — un niveau très en dessous de la moyenne BRVM (~8-12x), suggérant une sous-évaluation potentielle marquée. Le P/B de 0,76x (&lt; 1) confirme que le marché valorise le titre à 24% en dessous de sa valeur comptable, une anomalie souvent considérée comme une opportunité pour les investisseurs value. Enfin, l'EV/EBITDA de 5,0x (&lt; 5x) traduit une valorisation très bon marché de la capacité opérationnelle de la banque, renforçant le diagnostic de sous-évaluation globale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ETIT a enregistré une progression spectaculaire de +123,33%, passant d'un plus bas de 29 FCFA à un plus haut de 78 FCFA, pour un cours actuel de 67 FCFA (stable en J-1, +0,00%). Cette tendance nettement haussière témoigne d'un fort regain d'intérêt des investisseurs, avec un volume moyen quotidien élevé de 1 671 117 titres, signe d'une liquidité robuste. Les statistiques descriptives révèlent une moyenne de 54 FCFA nettement inférieure à la médiane de 65 FCFA, indiquant une distribution asymétrique à gauche (tirée vers le bas par les niveaux de départ bas), confirmée par un skewness de -0,448 (distribution symétrique à légèrement négative). L'écart-type de 17 FCFA (CV = 31,8%) traduit une dispersion modérée du cours autour de sa moyenne, tandis que le kurtosis de -1,611 (platykurtique) signale une distribution aplatie avec un risque de pics extrêmes relativement faible. La volatilité annualisée de 62,0% positionne clairement ETIT dans la catégorie des titres à volatilité élevée (&gt; 30%), ce qui implique un risque de marché significatif mais aussi un potentiel de gain accru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(69,3 FCFA) et la MM50 (68,2 FCFA) se situent toutes deux au-dessus du cours actuel (67 FCFA), avec la MM20 légèrement supérieure à la MM50 — configuration haussière classique. Le cours évoluant sous ses moyennes mobiles, la décision technique affichée est "Achat", suggérant un potentiel de rebond vers ces niveaux de référence.</w:t>
      </w:r>
    </w:p>
    <w:p>
      <w:pPr>
        <w:spacing w:after="120" w:line="276" w:lineRule="auto"/>
      </w:pPr>
      <w:r>
        <w:t>**Bandes de Bollinger** : Le cours (67 FCFA) se situe dans la partie basse de la bande, entre la borne inférieure (65,86 FCFA) et la borne supérieure (72,74 FCFA), plus proche du support que de la résistance. Cette position médiane-basse dans un canal relativement étroit (6,88 FCFA d'amplitude) indique une volatilité contenue à court terme, justifiant la décision "Neutre" en l'absence de signal directionnel fort.</w:t>
      </w:r>
    </w:p>
    <w:p>
      <w:pPr>
        <w:spacing w:after="120" w:line="276" w:lineRule="auto"/>
      </w:pPr>
      <w:r>
        <w:t>**MACD** : La valeur du MACD (0,122) est nettement inférieure à son signal (0,557), générant un croisement baissier et une divergence négative qui traduit un momentum affaibli. Cette configuration justifie la décision "Vente" à court terme, bien que l'écart reste modéré et puisse se résorber rapidement.</w:t>
      </w:r>
    </w:p>
    <w:p>
      <w:pPr>
        <w:spacing w:after="120" w:line="276" w:lineRule="auto"/>
      </w:pPr>
      <w:r>
        <w:t>**RSI** : À 40,0, le RSI se situe en zone neutre (30-70), sans signal de surachat (&gt;70) ni de survente (&lt;30), mais orienté vers le bas de la fourchette. Cette position indique une absence de pression acheteuse ou vendeuse excessive, justifiant la décision "Neutre" et suggérant qu'un rebond technique reste possible sans être imminent.</w:t>
      </w:r>
    </w:p>
    <w:p>
      <w:pPr>
        <w:spacing w:after="120" w:line="276" w:lineRule="auto"/>
      </w:pPr>
      <w:r>
        <w:t>**Stochastique** : Le %K (42,857) est inférieur au %D (52,381), avec un croisement baissier en zone médiane, signalant une perte de momentum haussier à court terme. La décision "Neutre" reflète l'absence de signal extrême (ni surachat ni survente), mais la configuration invite à la prudence.</w:t>
      </w:r>
    </w:p>
    <w:p>
      <w:pPr>
        <w:spacing w:after="120" w:line="276" w:lineRule="auto"/>
      </w:pPr>
      <w:r>
        <w:t>**Conclusion technique** : Les indicateurs techniques présentent un tableau mitigé — les moyennes mobiles suggèrent un potentiel de rebond ("Achat"), mais le MACD baissier et le stochastique négatif tempèrent cet optimisme. Le RSI et les Bandes de Bollinger en zone neutre confirment l'absence de signal directionnel fort à court terme. La convergence des signaux vers une phase de consolidation est probable, avec un support clé à 65,86 FCFA et une résistance à 72,74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ETIT affiche un Produit Net Bancaire (PNB, équivalent du chiffre d'affaires pour une banque) de 1 424,261 milliards FCFA, un résultat net de 345,523 milliards FCFA, un ROE exceptionnel de 21,62% (&gt;15% = excellent) et un ROA de 1,80%. Le coefficient d'exploitation de 27,35% est remarquablement bas (&lt;60% = banque très efficace), témoignant d'une maîtrise des charges. Le coût du risque (18,97% des charges financières) reste modéré, bien qu'élevé en valeur absolue, reflétant un portefeuille de crédits globalement sain. La structure de bilan montre une forte dépendance aux dépôts clientèle (14 120,139 milliards FCFA) face à des créances clientèle de 6 570,385 milliards FCFA, soit un ratio de transformation (crédits/dépôts) de 46,5% — un niveau prudent laissant une marge de croissance. L'autonomie financière (8,30%) est faible, typique du modèle bancaire, mais la solvabilité générale (109,06%) reste satisfaisante.</w:t>
      </w:r>
    </w:p>
    <w:p>
      <w:pPr>
        <w:spacing w:after="120" w:line="276" w:lineRule="auto"/>
      </w:pPr>
      <w:r>
        <w:t>**Estimations basées sur les rapports trimestriels** : Le rapport semestriel 2026 (publié le 21 juillet 2026) révèle un PNB de 1 281 330 milliers $EU (721 318 millions FCFA) au S1 2026, en hausse de +15% sur un an, et un résultat net consolidé de 296 091 milliers $EU (166 682 millions FCFA), en progression de +6%. Le coefficient d'exploitation s'améliore à 48,4% (contre 51,6% un an plus tôt), et le ratio de prêts non performants (NPL) baisse à 7,6%. Cependant, le coût du risque bondit de +40%, signal d'alerte majeur. Sur la base de ces tendances, on estime que l'exercice 2026 devrait afficher un PNB annuel d'environ 2 500 milliards FCFA (+12% vs 2025) et un résultat net d'environ 380-400 milliards FCFA (+10-15%), sous réserve d'une stabilisation du coût du risque au second semestre. Le rapport T1 2026 (publié en 2026) confirme cette dynamique avec un PNB en hausse de +23% à 636,2 millions $EU et un résultat net de 142,5 millions $EU (+16%), mais un coût du risque en explosion (+73%).</w:t>
      </w:r>
    </w:p>
    <w:p>
      <w:pPr>
        <w:spacing w:after="120" w:line="276" w:lineRule="auto"/>
      </w:pPr>
      <w:r>
        <w:t>**Recommandation fondamentale** : ETIT présente des fondamentaux solides (ROE &gt;20%, coefficient d'exploitation &lt;30%, valorisation très attractive), mais les risques liés à la hausse du coût du risque et à la dépendance aux devises africaines nécessitent une surveillance attentive. La recommandation fondamentale est **CONSERVER** avec un biais positif, en attendant la confirmation de la maîtrise des provisions au S2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mais globalement favorable. **Valorisation (Partie 0)** : Le PER de 3,5x, le P/B de 0,76x et l'EV/EBITDA de 5,0x indiquent une sous-évaluation manifeste du titre par rapport à ses fondamentaux et à la moyenne du marché BRVM. **Comportement du cours (Partie 1)** : La tendance haussière (+123,33% sur 100 jours) est impressionnante, mais la volatilité élevée (62%) et la distribution platykurtique (kurtosis -1,611) suggèrent des mouvements erratiques possibles, tandis que le skewness négatif (-0,448) indique un risque de correction. **Signaux techniques (Partie 2)** : Les indicateurs sont mitigés — les moyennes mobiles sont haussières ("Achat"), mais le MACD baissier ("Vente") et le stochastique négatif tempèrent l'optimisme, avec un RSI et des Bandes de Bollinger neutres. **Fondamentaux (Partie 3)** : La solidité financière est confirmée (ROE 21,62%, coefficient d'exploitation 27,35%, PNB 2025 de 1 424 milliards FCFA), mais la hausse du coût du risque (+40% au S1 2026) constitue un risque majeur à surveiller. **Prédictions IA (J+1 à J+10)** : La trajectoire prédite (66 FCFA stable sur 5 jours) contredit légèrement les signaux techniques baissiers à court terme, suggérant une stabilisation plutôt qu'une correction.</w:t>
      </w:r>
    </w:p>
    <w:p>
      <w:pPr>
        <w:spacing w:after="120" w:line="276" w:lineRule="auto"/>
      </w:pPr>
      <w:r>
        <w:t>**Recommandation finale** : **ACHAT** (avec vigilance). La convergence entre une valorisation très attractive (sous-évaluation), des fondamentaux solides (ROE &gt;20%, efficacité opérationnelle remarquable) et une prédiction IA de stabilisation du cours justifie une position acheteuse, malgré les signaux techniques mitigés et le risque de crédit. Le niveau de confiance est **Moyen** (en raison des incertitudes sur le coût du risque), et le niveau de risque global est **Élevé** (volatilité 62%, exposition aux devises africaines, coût du risque en hausse). L'horizon d'investissement optimal est **moyen terme (3-12 mois)**, en attendant la publication des résultats annuels 2026 pour confirmer la maîtrise des provisions et la trajectoire bénéficiaire.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28.14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4,102 titres</w:t>
            </w:r>
          </w:p>
        </w:tc>
        <w:tc>
          <w:tcPr>
            <w:tcW w:type="dxa" w:w="2268"/>
            <w:shd w:fill="FFF2CC" w:val="clear"/>
          </w:tcPr>
          <w:p>
            <w:r>
              <w:rPr>
                <w:b/>
                <w:color w:val="503200"/>
                <w:sz w:val="16"/>
              </w:rPr>
              <w:t xml:space="preserve">Cours actuel : </w:t>
            </w:r>
            <w:r>
              <w:rPr>
                <w:color w:val="000000"/>
                <w:sz w:val="17"/>
              </w:rPr>
              <w:t>1,995 FCFA</w:t>
            </w:r>
          </w:p>
          <w:p>
            <w:r>
              <w:rPr>
                <w:b/>
                <w:color w:val="503200"/>
                <w:sz w:val="16"/>
              </w:rPr>
              <w:t xml:space="preserve">Var. 100 jours : </w:t>
            </w:r>
            <w:r>
              <w:rPr>
                <w:b/>
                <w:color w:val="B40000"/>
                <w:sz w:val="17"/>
              </w:rPr>
              <w:t>-10.14%</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6.12% (Moyenne) — μ=2,112 FCFA, σ=129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β=0.2585 (Défensif) — Cov=0.000017, Var(idx)=0.000068, ρ=0.101,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1,875</w:t>
            </w:r>
          </w:p>
        </w:tc>
        <w:tc>
          <w:tcPr>
            <w:tcW w:type="dxa" w:w="1440"/>
            <w:shd w:fill="FAFAFA" w:val="clear"/>
          </w:tcPr>
          <w:p>
            <w:r>
              <w:rPr>
                <w:b/>
                <w:sz w:val="17"/>
              </w:rPr>
              <w:t>1,963</w:t>
            </w:r>
          </w:p>
        </w:tc>
        <w:tc>
          <w:tcPr>
            <w:tcW w:type="dxa" w:w="1440"/>
            <w:shd w:fill="FAFAFA" w:val="clear"/>
          </w:tcPr>
          <w:p>
            <w:r>
              <w:rPr>
                <w:sz w:val="17"/>
              </w:rPr>
              <w:t>2,051</w:t>
            </w:r>
          </w:p>
        </w:tc>
        <w:tc>
          <w:tcPr>
            <w:tcW w:type="dxa" w:w="1440"/>
            <w:shd w:fill="FAFAFA" w:val="clear"/>
          </w:tcPr>
          <w:p>
            <w:r>
              <w:rPr>
                <w:b/>
                <w:color w:val="C00000"/>
                <w:sz w:val="17"/>
              </w:rPr>
              <w:t>-1.6%</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1,841</w:t>
            </w:r>
          </w:p>
        </w:tc>
        <w:tc>
          <w:tcPr>
            <w:tcW w:type="dxa" w:w="1440"/>
            <w:shd w:fill="FFDCE0" w:val="clear"/>
          </w:tcPr>
          <w:p>
            <w:r>
              <w:rPr>
                <w:b/>
                <w:sz w:val="17"/>
              </w:rPr>
              <w:t>1,948</w:t>
            </w:r>
          </w:p>
        </w:tc>
        <w:tc>
          <w:tcPr>
            <w:tcW w:type="dxa" w:w="1440"/>
            <w:shd w:fill="FFDCE0" w:val="clear"/>
          </w:tcPr>
          <w:p>
            <w:r>
              <w:rPr>
                <w:sz w:val="17"/>
              </w:rPr>
              <w:t>2,056</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2026-10-07</w:t>
            </w:r>
          </w:p>
        </w:tc>
        <w:tc>
          <w:tcPr>
            <w:tcW w:type="dxa" w:w="1440"/>
            <w:shd w:fill="FFDCE0" w:val="clear"/>
          </w:tcPr>
          <w:p>
            <w:r>
              <w:rPr>
                <w:sz w:val="17"/>
              </w:rPr>
              <w:t>1,811</w:t>
            </w:r>
          </w:p>
        </w:tc>
        <w:tc>
          <w:tcPr>
            <w:tcW w:type="dxa" w:w="1440"/>
            <w:shd w:fill="FFDCE0" w:val="clear"/>
          </w:tcPr>
          <w:p>
            <w:r>
              <w:rPr>
                <w:b/>
                <w:sz w:val="17"/>
              </w:rPr>
              <w:t>1,934</w:t>
            </w:r>
          </w:p>
        </w:tc>
        <w:tc>
          <w:tcPr>
            <w:tcW w:type="dxa" w:w="1440"/>
            <w:shd w:fill="FFDCE0" w:val="clear"/>
          </w:tcPr>
          <w:p>
            <w:r>
              <w:rPr>
                <w:sz w:val="17"/>
              </w:rPr>
              <w:t>2,057</w:t>
            </w:r>
          </w:p>
        </w:tc>
        <w:tc>
          <w:tcPr>
            <w:tcW w:type="dxa" w:w="1440"/>
            <w:shd w:fill="FFDCE0" w:val="clear"/>
          </w:tcPr>
          <w:p>
            <w:r>
              <w:rPr>
                <w:b/>
                <w:color w:val="C00000"/>
                <w:sz w:val="17"/>
              </w:rPr>
              <w:t>-3.0%</w:t>
            </w:r>
          </w:p>
        </w:tc>
      </w:tr>
      <w:tr>
        <w:tc>
          <w:tcPr>
            <w:tcW w:type="dxa" w:w="1440"/>
            <w:shd w:fill="FFDCE0" w:val="clear"/>
          </w:tcPr>
          <w:p>
            <w:r>
              <w:rPr>
                <w:sz w:val="17"/>
              </w:rPr>
              <w:t>J+4  Moyenne</w:t>
            </w:r>
          </w:p>
        </w:tc>
        <w:tc>
          <w:tcPr>
            <w:tcW w:type="dxa" w:w="1440"/>
            <w:shd w:fill="FFDCE0" w:val="clear"/>
          </w:tcPr>
          <w:p>
            <w:r>
              <w:rPr>
                <w:sz w:val="17"/>
              </w:rPr>
              <w:t>2026-10-08</w:t>
            </w:r>
          </w:p>
        </w:tc>
        <w:tc>
          <w:tcPr>
            <w:tcW w:type="dxa" w:w="1440"/>
            <w:shd w:fill="FFDCE0" w:val="clear"/>
          </w:tcPr>
          <w:p>
            <w:r>
              <w:rPr>
                <w:sz w:val="17"/>
              </w:rPr>
              <w:t>1,784</w:t>
            </w:r>
          </w:p>
        </w:tc>
        <w:tc>
          <w:tcPr>
            <w:tcW w:type="dxa" w:w="1440"/>
            <w:shd w:fill="FFDCE0" w:val="clear"/>
          </w:tcPr>
          <w:p>
            <w:r>
              <w:rPr>
                <w:b/>
                <w:sz w:val="17"/>
              </w:rPr>
              <w:t>1,920</w:t>
            </w:r>
          </w:p>
        </w:tc>
        <w:tc>
          <w:tcPr>
            <w:tcW w:type="dxa" w:w="1440"/>
            <w:shd w:fill="FFDCE0" w:val="clear"/>
          </w:tcPr>
          <w:p>
            <w:r>
              <w:rPr>
                <w:sz w:val="17"/>
              </w:rPr>
              <w:t>2,057</w:t>
            </w:r>
          </w:p>
        </w:tc>
        <w:tc>
          <w:tcPr>
            <w:tcW w:type="dxa" w:w="1440"/>
            <w:shd w:fill="FFDCE0" w:val="clear"/>
          </w:tcPr>
          <w:p>
            <w:r>
              <w:rPr>
                <w:b/>
                <w:color w:val="C00000"/>
                <w:sz w:val="17"/>
              </w:rPr>
              <w:t>-3.7%</w:t>
            </w:r>
          </w:p>
        </w:tc>
      </w:tr>
      <w:tr>
        <w:tc>
          <w:tcPr>
            <w:tcW w:type="dxa" w:w="1440"/>
            <w:shd w:fill="FFDCE0" w:val="clear"/>
          </w:tcPr>
          <w:p>
            <w:r>
              <w:rPr>
                <w:sz w:val="17"/>
              </w:rPr>
              <w:t>J+5  Moyenne</w:t>
            </w:r>
          </w:p>
        </w:tc>
        <w:tc>
          <w:tcPr>
            <w:tcW w:type="dxa" w:w="1440"/>
            <w:shd w:fill="FFDCE0" w:val="clear"/>
          </w:tcPr>
          <w:p>
            <w:r>
              <w:rPr>
                <w:sz w:val="17"/>
              </w:rPr>
              <w:t>2026-10-09</w:t>
            </w:r>
          </w:p>
        </w:tc>
        <w:tc>
          <w:tcPr>
            <w:tcW w:type="dxa" w:w="1440"/>
            <w:shd w:fill="FFDCE0" w:val="clear"/>
          </w:tcPr>
          <w:p>
            <w:r>
              <w:rPr>
                <w:sz w:val="17"/>
              </w:rPr>
              <w:t>1,759</w:t>
            </w:r>
          </w:p>
        </w:tc>
        <w:tc>
          <w:tcPr>
            <w:tcW w:type="dxa" w:w="1440"/>
            <w:shd w:fill="FFDCE0" w:val="clear"/>
          </w:tcPr>
          <w:p>
            <w:r>
              <w:rPr>
                <w:b/>
                <w:sz w:val="17"/>
              </w:rPr>
              <w:t>1,907</w:t>
            </w:r>
          </w:p>
        </w:tc>
        <w:tc>
          <w:tcPr>
            <w:tcW w:type="dxa" w:w="1440"/>
            <w:shd w:fill="FFDCE0" w:val="clear"/>
          </w:tcPr>
          <w:p>
            <w:r>
              <w:rPr>
                <w:sz w:val="17"/>
              </w:rPr>
              <w:t>2,056</w:t>
            </w:r>
          </w:p>
        </w:tc>
        <w:tc>
          <w:tcPr>
            <w:tcW w:type="dxa" w:w="1440"/>
            <w:shd w:fill="FFDCE0" w:val="clear"/>
          </w:tcPr>
          <w:p>
            <w:r>
              <w:rPr>
                <w:b/>
                <w:color w:val="C00000"/>
                <w:sz w:val="17"/>
              </w:rPr>
              <w:t>-4.4%</w:t>
            </w:r>
          </w:p>
        </w:tc>
      </w:tr>
      <w:tr>
        <w:tc>
          <w:tcPr>
            <w:tcW w:type="dxa" w:w="1440"/>
            <w:shd w:fill="FFDCE0" w:val="clear"/>
          </w:tcPr>
          <w:p>
            <w:r>
              <w:rPr>
                <w:sz w:val="17"/>
              </w:rPr>
              <w:t>J+6  Moyenne</w:t>
            </w:r>
          </w:p>
        </w:tc>
        <w:tc>
          <w:tcPr>
            <w:tcW w:type="dxa" w:w="1440"/>
            <w:shd w:fill="FFDCE0" w:val="clear"/>
          </w:tcPr>
          <w:p>
            <w:r>
              <w:rPr>
                <w:sz w:val="17"/>
              </w:rPr>
              <w:t>2026-10-12</w:t>
            </w:r>
          </w:p>
        </w:tc>
        <w:tc>
          <w:tcPr>
            <w:tcW w:type="dxa" w:w="1440"/>
            <w:shd w:fill="FFDCE0" w:val="clear"/>
          </w:tcPr>
          <w:p>
            <w:r>
              <w:rPr>
                <w:sz w:val="17"/>
              </w:rPr>
              <w:t>1,735</w:t>
            </w:r>
          </w:p>
        </w:tc>
        <w:tc>
          <w:tcPr>
            <w:tcW w:type="dxa" w:w="1440"/>
            <w:shd w:fill="FFDCE0" w:val="clear"/>
          </w:tcPr>
          <w:p>
            <w:r>
              <w:rPr>
                <w:b/>
                <w:sz w:val="17"/>
              </w:rPr>
              <w:t>1,894</w:t>
            </w:r>
          </w:p>
        </w:tc>
        <w:tc>
          <w:tcPr>
            <w:tcW w:type="dxa" w:w="1440"/>
            <w:shd w:fill="FFDCE0" w:val="clear"/>
          </w:tcPr>
          <w:p>
            <w:r>
              <w:rPr>
                <w:sz w:val="17"/>
              </w:rPr>
              <w:t>2,053</w:t>
            </w:r>
          </w:p>
        </w:tc>
        <w:tc>
          <w:tcPr>
            <w:tcW w:type="dxa" w:w="1440"/>
            <w:shd w:fill="FFDCE0" w:val="clear"/>
          </w:tcPr>
          <w:p>
            <w:r>
              <w:rPr>
                <w:b/>
                <w:color w:val="C00000"/>
                <w:sz w:val="17"/>
              </w:rPr>
              <w:t>-5.1%</w:t>
            </w:r>
          </w:p>
        </w:tc>
      </w:tr>
      <w:tr>
        <w:tc>
          <w:tcPr>
            <w:tcW w:type="dxa" w:w="1440"/>
            <w:shd w:fill="FFDCE0" w:val="clear"/>
          </w:tcPr>
          <w:p>
            <w:r>
              <w:rPr>
                <w:sz w:val="17"/>
              </w:rPr>
              <w:t>J+7  Moyenne</w:t>
            </w:r>
          </w:p>
        </w:tc>
        <w:tc>
          <w:tcPr>
            <w:tcW w:type="dxa" w:w="1440"/>
            <w:shd w:fill="FFDCE0" w:val="clear"/>
          </w:tcPr>
          <w:p>
            <w:r>
              <w:rPr>
                <w:sz w:val="17"/>
              </w:rPr>
              <w:t>2026-10-13</w:t>
            </w:r>
          </w:p>
        </w:tc>
        <w:tc>
          <w:tcPr>
            <w:tcW w:type="dxa" w:w="1440"/>
            <w:shd w:fill="FFDCE0" w:val="clear"/>
          </w:tcPr>
          <w:p>
            <w:r>
              <w:rPr>
                <w:sz w:val="17"/>
              </w:rPr>
              <w:t>1,712</w:t>
            </w:r>
          </w:p>
        </w:tc>
        <w:tc>
          <w:tcPr>
            <w:tcW w:type="dxa" w:w="1440"/>
            <w:shd w:fill="FFDCE0" w:val="clear"/>
          </w:tcPr>
          <w:p>
            <w:r>
              <w:rPr>
                <w:b/>
                <w:sz w:val="17"/>
              </w:rPr>
              <w:t>1,881</w:t>
            </w:r>
          </w:p>
        </w:tc>
        <w:tc>
          <w:tcPr>
            <w:tcW w:type="dxa" w:w="1440"/>
            <w:shd w:fill="FFDCE0" w:val="clear"/>
          </w:tcPr>
          <w:p>
            <w:r>
              <w:rPr>
                <w:sz w:val="17"/>
              </w:rPr>
              <w:t>2,050</w:t>
            </w:r>
          </w:p>
        </w:tc>
        <w:tc>
          <w:tcPr>
            <w:tcW w:type="dxa" w:w="1440"/>
            <w:shd w:fill="FFDCE0" w:val="clear"/>
          </w:tcPr>
          <w:p>
            <w:r>
              <w:rPr>
                <w:b/>
                <w:color w:val="C00000"/>
                <w:sz w:val="17"/>
              </w:rPr>
              <w:t>-5.7%</w:t>
            </w:r>
          </w:p>
        </w:tc>
      </w:tr>
      <w:tr>
        <w:tc>
          <w:tcPr>
            <w:tcW w:type="dxa" w:w="1440"/>
            <w:shd w:fill="FFDCE0" w:val="clear"/>
          </w:tcPr>
          <w:p>
            <w:r>
              <w:rPr>
                <w:sz w:val="17"/>
              </w:rPr>
              <w:t>J+8  Moyenne</w:t>
            </w:r>
          </w:p>
        </w:tc>
        <w:tc>
          <w:tcPr>
            <w:tcW w:type="dxa" w:w="1440"/>
            <w:shd w:fill="FFDCE0" w:val="clear"/>
          </w:tcPr>
          <w:p>
            <w:r>
              <w:rPr>
                <w:sz w:val="17"/>
              </w:rPr>
              <w:t>2026-10-14</w:t>
            </w:r>
          </w:p>
        </w:tc>
        <w:tc>
          <w:tcPr>
            <w:tcW w:type="dxa" w:w="1440"/>
            <w:shd w:fill="FFDCE0" w:val="clear"/>
          </w:tcPr>
          <w:p>
            <w:r>
              <w:rPr>
                <w:sz w:val="17"/>
              </w:rPr>
              <w:t>1,690</w:t>
            </w:r>
          </w:p>
        </w:tc>
        <w:tc>
          <w:tcPr>
            <w:tcW w:type="dxa" w:w="1440"/>
            <w:shd w:fill="FFDCE0" w:val="clear"/>
          </w:tcPr>
          <w:p>
            <w:r>
              <w:rPr>
                <w:b/>
                <w:sz w:val="17"/>
              </w:rPr>
              <w:t>1,869</w:t>
            </w:r>
          </w:p>
        </w:tc>
        <w:tc>
          <w:tcPr>
            <w:tcW w:type="dxa" w:w="1440"/>
            <w:shd w:fill="FFDCE0" w:val="clear"/>
          </w:tcPr>
          <w:p>
            <w:r>
              <w:rPr>
                <w:sz w:val="17"/>
              </w:rPr>
              <w:t>2,047</w:t>
            </w:r>
          </w:p>
        </w:tc>
        <w:tc>
          <w:tcPr>
            <w:tcW w:type="dxa" w:w="1440"/>
            <w:shd w:fill="FFDCE0" w:val="clear"/>
          </w:tcPr>
          <w:p>
            <w:r>
              <w:rPr>
                <w:b/>
                <w:color w:val="C00000"/>
                <w:sz w:val="17"/>
              </w:rPr>
              <w:t>-6.3%</w:t>
            </w:r>
          </w:p>
        </w:tc>
      </w:tr>
      <w:tr>
        <w:tc>
          <w:tcPr>
            <w:tcW w:type="dxa" w:w="1440"/>
            <w:shd w:fill="FFDCE0" w:val="clear"/>
          </w:tcPr>
          <w:p>
            <w:r>
              <w:rPr>
                <w:sz w:val="17"/>
              </w:rPr>
              <w:t>J+9  Moyenne</w:t>
            </w:r>
          </w:p>
        </w:tc>
        <w:tc>
          <w:tcPr>
            <w:tcW w:type="dxa" w:w="1440"/>
            <w:shd w:fill="FFDCE0" w:val="clear"/>
          </w:tcPr>
          <w:p>
            <w:r>
              <w:rPr>
                <w:sz w:val="17"/>
              </w:rPr>
              <w:t>2026-10-15</w:t>
            </w:r>
          </w:p>
        </w:tc>
        <w:tc>
          <w:tcPr>
            <w:tcW w:type="dxa" w:w="1440"/>
            <w:shd w:fill="FFDCE0" w:val="clear"/>
          </w:tcPr>
          <w:p>
            <w:r>
              <w:rPr>
                <w:sz w:val="17"/>
              </w:rPr>
              <w:t>1,670</w:t>
            </w:r>
          </w:p>
        </w:tc>
        <w:tc>
          <w:tcPr>
            <w:tcW w:type="dxa" w:w="1440"/>
            <w:shd w:fill="FFDCE0" w:val="clear"/>
          </w:tcPr>
          <w:p>
            <w:r>
              <w:rPr>
                <w:b/>
                <w:sz w:val="17"/>
              </w:rPr>
              <w:t>1,856</w:t>
            </w:r>
          </w:p>
        </w:tc>
        <w:tc>
          <w:tcPr>
            <w:tcW w:type="dxa" w:w="1440"/>
            <w:shd w:fill="FFDCE0" w:val="clear"/>
          </w:tcPr>
          <w:p>
            <w:r>
              <w:rPr>
                <w:sz w:val="17"/>
              </w:rPr>
              <w:t>2,043</w:t>
            </w:r>
          </w:p>
        </w:tc>
        <w:tc>
          <w:tcPr>
            <w:tcW w:type="dxa" w:w="1440"/>
            <w:shd w:fill="FFDCE0" w:val="clear"/>
          </w:tcPr>
          <w:p>
            <w:r>
              <w:rPr>
                <w:b/>
                <w:color w:val="C00000"/>
                <w:sz w:val="17"/>
              </w:rPr>
              <w:t>-7.0%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FTSC (FILTISAC CI)</w:t>
        <w:br/>
        <w:t>**Bourse Régionale des Valeurs Mobilières (BRVM) — Secteur : Emballages industriels / Transformation jute &amp; polymères**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**28,14 Mds FCFA**, FTSC se situe dans la catégorie des valeurs moyennes de la cote BRVM, ce qui la rend sensible aux mouvements de faible volume (4 102 titres/jour en moyenne). Le **BPA de 33 FCFA/action** ressort très faible, conséquence directe de l'effondrement du résultat net 2025 (465,98 MFCFA), ce qui propulse le **PER à 60,4x**, soit un niveau **très supérieur à la moyenne BRVM (~8-12x)** : les investisseurs paient donc environ 60 fois les bénéfices actuels, une prime injustifiable au regard de la rentabilité. Le **P/B de 1,79x** indique en revanche que le marché valorise le titre à peine au-dessus de sa valeur comptable (capitaux propres de 15,70 Mds FCFA), ce qui traduit une certaine défiance vis-à-vis de la capacité bénéficiaire future. Enfin, l'**EV/EBITDA de 36,6x** (très au-delà du seuil de 15x) confirme que la valeur d'entreprise intègre une anticipation de redressement opérationnel non encore matérialisée dans les comptes.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FTSC affiche une **variation totale de -10,14%**, malgré un rebond marginal de **+1,01% sur la dernière séance (J-1)**, portant le cours actuel à **1 995 FCFA**. Le range de trading est large, entre un plus haut de **2 430 FCFA** et un plus bas de **1 910 FCFA**, soit une amplitude de 520 FCFA qui témoigne d'une tendance **baissière dominante** avec des tentatives de stabilisation récentes. Les statistiques descriptives révèlent une **moyenne (2 112 FCFA) légèrement supérieure à la médiane (2 100 FCFA)**, signe d'une distribution faiblement asymétrique à droite, cohérente avec le **skewness de 0,455** (distribution quasi symétrique mais avec quelques pics haussiers résiduels). L'**écart-type de 130 FCFA (CV=6,1%)** indique une dispersion modérée du cours autour de sa moyenne, tandis que le **kurtosis de -0,709 (mésokurtique)** suggère une distribution proche de la normale, donc **sans risque extrême de pics violents** — un élément rassurant pour la gestion du risque. La **volatilité annualisée de 33,3%** classe le titre dans la catégorie **élevée (&gt;30%)**, ce qui est cohérent avec la faible liquidité du marché BRVM et la sensibilité sectorielle aux campagnes cacaoyères.</w:t>
      </w:r>
    </w:p>
    <w:p>
      <w:pPr>
        <w:spacing w:after="120" w:line="276" w:lineRule="auto"/>
      </w:pPr>
      <w:r>
        <w:t>---</w:t>
      </w:r>
    </w:p>
    <w:p>
      <w:pPr>
        <w:spacing w:after="120" w:line="276" w:lineRule="auto"/>
      </w:pPr>
      <w:r>
        <w:t>## PARTIE 2 : ANALYSE TECHNIQUE DÉTAILLÉE</w:t>
      </w:r>
    </w:p>
    <w:p>
      <w:pPr>
        <w:spacing w:after="120" w:line="276" w:lineRule="auto"/>
      </w:pPr>
      <w:r>
        <w:t>**Moyennes Mobiles** : La MM20 (2 055,5 FCFA) et la MM50 (2 071,2 FCFA) se situent **toutes deux au-dessus du cours actuel (1 995 FCFA)**, avec une MM20 légèrement inférieure à la MM50 — configuration baissière typique. Le cours évoluant sous ses deux moyennes, la **décision technique est "Vente"**, confirmant la pression vendeuse persistante.</w:t>
      </w:r>
    </w:p>
    <w:p>
      <w:pPr>
        <w:spacing w:after="120" w:line="276" w:lineRule="auto"/>
      </w:pPr>
      <w:r>
        <w:t>**Bandes de Bollinger** : Le cours (1 995 FCFA) se situe dans la moitié inférieure de la bande, entre la borne inférieure (1 923,16 FCFA) et la borne supérieure (2 187,84 FCFA), sans franchissement des extrêmes. Cette position médiane, couplée à un écart-type modéré, justifie la **décision "Neutre"** : ni signal de survente, ni signal de surachat.</w:t>
      </w:r>
    </w:p>
    <w:p>
      <w:pPr>
        <w:spacing w:after="120" w:line="276" w:lineRule="auto"/>
      </w:pPr>
      <w:r>
        <w:t>**MACD** : La valeur du MACD (-32,501) est **inférieure à son signal (-23,293)**, avec un histogramme négatif — configuration baissière classique. Le momentum reste négatif, ce qui justifie la **décision "Vente"** et suggère que la pression baissière n'est pas encore épuisée.</w:t>
      </w:r>
    </w:p>
    <w:p>
      <w:pPr>
        <w:spacing w:after="120" w:line="276" w:lineRule="auto"/>
      </w:pPr>
      <w:r>
        <w:t>**RSI** : À **32,877**, le RSI se situe juste au-dessus du seuil de survente (30), en zone neutre basse. Le titre n'est donc **pas encore techniquement survendu**, mais s'en approche dangereusement — la **décision "Neutre"** invite à la prudence plutôt qu'à un signal d'achat contrarien.</w:t>
      </w:r>
    </w:p>
    <w:p>
      <w:pPr>
        <w:spacing w:after="120" w:line="276" w:lineRule="auto"/>
      </w:pPr>
      <w:r>
        <w:t>**Stochastique** : Le %K (40,476) est légèrement supérieur au %D (37,302), sans croisement haussier confirmé. Les deux lignes évoluent en zone médiane basse, ce qui justifie la **décision "Neutre"** et traduit une absence de momentum directionnel clair.</w:t>
      </w:r>
    </w:p>
    <w:p>
      <w:pPr>
        <w:spacing w:after="120" w:line="276" w:lineRule="auto"/>
      </w:pPr>
      <w:r>
        <w:t>**Conclusion technique** : La convergence des signaux baissiers (MM, MACD) et neutres (Bollinger, RSI, Stochastique) dessine un tableau **majoritairement négatif mais sans excès**. Le titre n'est ni survendu ni en zone d'achat technique, ce qui suggère une **poursuite possible de la consolidation baissière** à court terme, sans effondrement imminent.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FTSC a réalisé un **chiffre d'affaires de 32,109 Mds FCFA** (+4,6% vs 2024), mais son **résultat net s'est effondré à 465,98 MFCFA** contre 18,595 Mds FCFA en 2024 (-97,5%), en raison de la disparition des produits exceptionnels (HAO de 381,6 MFCFA contre 18,86 Mds FCFA en 2024). La **marge nette chute à 1,45%** (contre 60,6% en 2024, année artificiellement gonflée par des cessions de filiales), le **ROE s'établit à 2,97%** (très loin du seuil de 15% d'excellence) et le **ROA à 1,19%**. En tant qu'entreprise industrielle, les **délais clients (213,72 jours) et de stockage (214,65 jours) sont très élevés**, immobilisant massivement le capital et générant un **BFR de 11,529 Mds FCFA** — bien que le rapport qualifie ce BFR de "favorable" (probablement en raison d'un solde négatif en trésorerie nette de -11,528 Mds FCFA). L'**autonomie financière (40,11%)** reste saine, mais le **ratio d'endettement de 97,6%** et la **trésorerie nette négative (-11,5 Mds FCFA)** constituent des signaux d'alerte majeurs.</w:t>
      </w:r>
    </w:p>
    <w:p>
      <w:pPr>
        <w:spacing w:after="120" w:line="276" w:lineRule="auto"/>
      </w:pPr>
      <w:r>
        <w:t>**Estimations basées sur les rapports trimestriels** : Le **rapport T1 2026 (publié le 31 mars 2026)** révèle un **chiffre d'affaires de 8 901 MFCFA (+55% vs T1 2025)**, porté par la demande d'emballages cacao, avec un **résultat d'exploitation redevenu positif (75 MFCFA contre -78 MFCFA)** — mais un **résultat net toujours déficitaire (-154 MFCFA)**. Le **rapport annuel 2025 (publié le 31 décembre 2025)** confirme l'absence de dividende (taux de distribution 0%, contre 2 000,67 FCFA/action en 2024) et la chute des capitaux propres de 43,4 à 15,7 Mds FCFA. Le **communiqué du 8 juillet 2026** rassure sur la continuité des activités malgré l'arrêt de la filature (interdiction d'exportation de jute par le Bangladesh), avec une solution alternative d'importation de fil.</w:t>
      </w:r>
    </w:p>
    <w:p>
      <w:pPr>
        <w:spacing w:after="120" w:line="276" w:lineRule="auto"/>
      </w:pPr>
      <w:r>
        <w:t>**Recommandation fondamentale** : Sur la base du T1 2026 (+55% de CA, résultat d'exploitation positif), on peut **estimer que l'exercice 2026 devrait afficher un redressement opérationnel progressif**, mais la **rentabilité nette reste fragile** et dépendra de la campagne cacaoyère 2026/2027. Les risques exogènes (fret maritime, matières premières, géopolitique) et la structure financière dégradée (trésorerie négative, endettement élevé) incitent à la **prudence**. La recommandation fondamentale est **CONSERVER**, avec un passage à l'ACHAT conditionné à deux trimestres consécutifs de résultat net positif.</w:t>
      </w:r>
    </w:p>
    <w:p>
      <w:pPr>
        <w:spacing w:after="120" w:line="276" w:lineRule="auto"/>
      </w:pPr>
      <w:r>
        <w:t>---</w:t>
      </w:r>
    </w:p>
    <w:p>
      <w:pPr>
        <w:spacing w:after="120" w:line="276" w:lineRule="auto"/>
      </w:pPr>
      <w:r>
        <w:t>## PARTIE 4 : CONCLUSION D'INVESTISSEMENT</w:t>
      </w:r>
    </w:p>
    <w:p>
      <w:pPr>
        <w:spacing w:after="120" w:line="276" w:lineRule="auto"/>
      </w:pPr>
      <w:r>
        <w:t>La synthèse des quatre parties dessine un tableau **contrasté mais globalement défavorable à court terme**. La **valorisation (Partie 0)** est clairement **surévaluée** : PER de 60,4x (vs 8-12x pour la BRVM), EV/EBITDA de 36,6x, alors que le P/B de 1,79x reste le seul ratio raisonnable. Le **comportement du cours (Partie 1)** est baissier (-10,14% sur 100 jours), avec une volatilité élevée (33,3%) mais une distribution normale (kurtosis -0,709) qui limite le risque de krach brutal. Les **signaux techniques (Partie 2)** sont majoritairement baissiers (MM, MACD) ou neutres (Bollinger, RSI, Stochastique), sans signal d'achat contrarien. Les **fondamentaux (Partie 3)** montrent un redressement opérationnel encourageant au T1 2026 (+55% de CA, résultat d'exploitation positif), mais une rentabilité nette toujours négative et une structure financière dégradée. Les **prédictions IA (J+1 à J+10)** anticipent une **poursuite de la baisse jusqu'à 1 907 FCFA** (soit -4,4% depuis 1 995 FCFA), confirmant la tendance baissière technique.</w:t>
      </w:r>
    </w:p>
    <w:p>
      <w:pPr>
        <w:spacing w:after="120" w:line="276" w:lineRule="auto"/>
      </w:pPr>
      <w:r>
        <w:t>**Recommandation finale : CONSERVER** (avec biais baissier à court terme). La convergence entre valorisation surévaluée, technique baissière et prédictions IA négatives **contredit** le léger mieux fondamental du T1 2026, qui n'est pas encore suffisant pour justifier un achat. **Niveau de confiance : Moyen** (les données fondamentales récentes sont encourageantes mais non confirmées). **Niveau de risque global : Élevé** (trésorerie négative, endettement, dépendance au cacao, faible liquidité). **Horizon d'investissement optimal : Moyen terme (3-12 mois)**, en attendant la confirmation d'un redressement durable de la rentabilité nette sur au moins deux trimestres consécutifs — un passage à l'ACHAT serait alors justifié, avec un objectif de cours autour de 2 200-2 300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77.80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4,604 titres</w:t>
            </w:r>
          </w:p>
        </w:tc>
        <w:tc>
          <w:tcPr>
            <w:tcW w:type="dxa" w:w="2268"/>
            <w:shd w:fill="FFF2CC" w:val="clear"/>
          </w:tcPr>
          <w:p>
            <w:r>
              <w:rPr>
                <w:b/>
                <w:color w:val="503200"/>
                <w:sz w:val="16"/>
              </w:rPr>
              <w:t xml:space="preserve">Cours actuel : </w:t>
            </w:r>
            <w:r>
              <w:rPr>
                <w:color w:val="000000"/>
                <w:sz w:val="17"/>
              </w:rPr>
              <w:t>3,890 FCFA</w:t>
            </w:r>
          </w:p>
          <w:p>
            <w:r>
              <w:rPr>
                <w:b/>
                <w:color w:val="503200"/>
                <w:sz w:val="16"/>
              </w:rPr>
              <w:t xml:space="preserve">Var. 100 jours : </w:t>
            </w:r>
            <w:r>
              <w:rPr>
                <w:b/>
                <w:color w:val="007800"/>
                <w:sz w:val="17"/>
              </w:rPr>
              <w:t>+1.17%</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4.74% (Faible) — μ=4,074 FCFA, σ=193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β=0.6949 (Défensif) — Cov=0.000047, Var(idx)=0.000068, ρ=0.220,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3,681</w:t>
            </w:r>
          </w:p>
        </w:tc>
        <w:tc>
          <w:tcPr>
            <w:tcW w:type="dxa" w:w="1440"/>
            <w:shd w:fill="FAFAFA" w:val="clear"/>
          </w:tcPr>
          <w:p>
            <w:r>
              <w:rPr>
                <w:b/>
                <w:sz w:val="17"/>
              </w:rPr>
              <w:t>3,915</w:t>
            </w:r>
          </w:p>
        </w:tc>
        <w:tc>
          <w:tcPr>
            <w:tcW w:type="dxa" w:w="1440"/>
            <w:shd w:fill="FAFAFA" w:val="clear"/>
          </w:tcPr>
          <w:p>
            <w:r>
              <w:rPr>
                <w:sz w:val="17"/>
              </w:rPr>
              <w:t>4,149</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3,633</w:t>
            </w:r>
          </w:p>
        </w:tc>
        <w:tc>
          <w:tcPr>
            <w:tcW w:type="dxa" w:w="1440"/>
            <w:shd w:fill="FAFAFA" w:val="clear"/>
          </w:tcPr>
          <w:p>
            <w:r>
              <w:rPr>
                <w:b/>
                <w:sz w:val="17"/>
              </w:rPr>
              <w:t>3,920</w:t>
            </w:r>
          </w:p>
        </w:tc>
        <w:tc>
          <w:tcPr>
            <w:tcW w:type="dxa" w:w="1440"/>
            <w:shd w:fill="FAFAFA" w:val="clear"/>
          </w:tcPr>
          <w:p>
            <w:r>
              <w:rPr>
                <w:sz w:val="17"/>
              </w:rPr>
              <w:t>4,207</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3,591</w:t>
            </w:r>
          </w:p>
        </w:tc>
        <w:tc>
          <w:tcPr>
            <w:tcW w:type="dxa" w:w="1440"/>
            <w:shd w:fill="FAFAFA" w:val="clear"/>
          </w:tcPr>
          <w:p>
            <w:r>
              <w:rPr>
                <w:b/>
                <w:sz w:val="17"/>
              </w:rPr>
              <w:t>3,922</w:t>
            </w:r>
          </w:p>
        </w:tc>
        <w:tc>
          <w:tcPr>
            <w:tcW w:type="dxa" w:w="1440"/>
            <w:shd w:fill="FAFAFA" w:val="clear"/>
          </w:tcPr>
          <w:p>
            <w:r>
              <w:rPr>
                <w:sz w:val="17"/>
              </w:rPr>
              <w:t>4,254</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3,555</w:t>
            </w:r>
          </w:p>
        </w:tc>
        <w:tc>
          <w:tcPr>
            <w:tcW w:type="dxa" w:w="1440"/>
            <w:shd w:fill="FAFAFA" w:val="clear"/>
          </w:tcPr>
          <w:p>
            <w:r>
              <w:rPr>
                <w:b/>
                <w:sz w:val="17"/>
              </w:rPr>
              <w:t>3,926</w:t>
            </w:r>
          </w:p>
        </w:tc>
        <w:tc>
          <w:tcPr>
            <w:tcW w:type="dxa" w:w="1440"/>
            <w:shd w:fill="FAFAFA" w:val="clear"/>
          </w:tcPr>
          <w:p>
            <w:r>
              <w:rPr>
                <w:sz w:val="17"/>
              </w:rPr>
              <w:t>4,296</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3,522</w:t>
            </w:r>
          </w:p>
        </w:tc>
        <w:tc>
          <w:tcPr>
            <w:tcW w:type="dxa" w:w="1440"/>
            <w:shd w:fill="FAFAFA" w:val="clear"/>
          </w:tcPr>
          <w:p>
            <w:r>
              <w:rPr>
                <w:b/>
                <w:sz w:val="17"/>
              </w:rPr>
              <w:t>3,928</w:t>
            </w:r>
          </w:p>
        </w:tc>
        <w:tc>
          <w:tcPr>
            <w:tcW w:type="dxa" w:w="1440"/>
            <w:shd w:fill="FAFAFA" w:val="clear"/>
          </w:tcPr>
          <w:p>
            <w:r>
              <w:rPr>
                <w:sz w:val="17"/>
              </w:rPr>
              <w:t>4,335</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3,491</w:t>
            </w:r>
          </w:p>
        </w:tc>
        <w:tc>
          <w:tcPr>
            <w:tcW w:type="dxa" w:w="1440"/>
            <w:shd w:fill="FAFAFA" w:val="clear"/>
          </w:tcPr>
          <w:p>
            <w:r>
              <w:rPr>
                <w:b/>
                <w:sz w:val="17"/>
              </w:rPr>
              <w:t>3,931</w:t>
            </w:r>
          </w:p>
        </w:tc>
        <w:tc>
          <w:tcPr>
            <w:tcW w:type="dxa" w:w="1440"/>
            <w:shd w:fill="FAFAFA" w:val="clear"/>
          </w:tcPr>
          <w:p>
            <w:r>
              <w:rPr>
                <w:sz w:val="17"/>
              </w:rPr>
              <w:t>4,370</w:t>
            </w:r>
          </w:p>
        </w:tc>
        <w:tc>
          <w:tcPr>
            <w:tcW w:type="dxa" w:w="1440"/>
            <w:shd w:fill="FAFAFA" w:val="clear"/>
          </w:tcPr>
          <w:p>
            <w:r>
              <w:rPr>
                <w:b/>
                <w:color w:val="008000"/>
                <w:sz w:val="17"/>
              </w:rPr>
              <w:t>+1.1%</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3,462</w:t>
            </w:r>
          </w:p>
        </w:tc>
        <w:tc>
          <w:tcPr>
            <w:tcW w:type="dxa" w:w="1440"/>
            <w:shd w:fill="FAFAFA" w:val="clear"/>
          </w:tcPr>
          <w:p>
            <w:r>
              <w:rPr>
                <w:b/>
                <w:sz w:val="17"/>
              </w:rPr>
              <w:t>3,932</w:t>
            </w:r>
          </w:p>
        </w:tc>
        <w:tc>
          <w:tcPr>
            <w:tcW w:type="dxa" w:w="1440"/>
            <w:shd w:fill="FAFAFA" w:val="clear"/>
          </w:tcPr>
          <w:p>
            <w:r>
              <w:rPr>
                <w:sz w:val="17"/>
              </w:rPr>
              <w:t>4,402</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3,434</w:t>
            </w:r>
          </w:p>
        </w:tc>
        <w:tc>
          <w:tcPr>
            <w:tcW w:type="dxa" w:w="1440"/>
            <w:shd w:fill="FAFAFA" w:val="clear"/>
          </w:tcPr>
          <w:p>
            <w:r>
              <w:rPr>
                <w:b/>
                <w:sz w:val="17"/>
              </w:rPr>
              <w:t>3,932</w:t>
            </w:r>
          </w:p>
        </w:tc>
        <w:tc>
          <w:tcPr>
            <w:tcW w:type="dxa" w:w="1440"/>
            <w:shd w:fill="FAFAFA" w:val="clear"/>
          </w:tcPr>
          <w:p>
            <w:r>
              <w:rPr>
                <w:sz w:val="17"/>
              </w:rPr>
              <w:t>4,431</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3,410</w:t>
            </w:r>
          </w:p>
        </w:tc>
        <w:tc>
          <w:tcPr>
            <w:tcW w:type="dxa" w:w="1440"/>
            <w:shd w:fill="FAFAFA" w:val="clear"/>
          </w:tcPr>
          <w:p>
            <w:r>
              <w:rPr>
                <w:b/>
                <w:sz w:val="17"/>
              </w:rPr>
              <w:t>3,936</w:t>
            </w:r>
          </w:p>
        </w:tc>
        <w:tc>
          <w:tcPr>
            <w:tcW w:type="dxa" w:w="1440"/>
            <w:shd w:fill="FAFAFA" w:val="clear"/>
          </w:tcPr>
          <w:p>
            <w:r>
              <w:rPr>
                <w:sz w:val="17"/>
              </w:rPr>
              <w:t>4,462</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 RAPPORT D'ANALYSE FINANCIÈRE — LNBB (Loterie Nationale du Bénin)</w:t>
        <w:br/>
        <w:t>**Bourse Régionale des Valeurs Mobilières (BRVM) — Secteur : Entreprise non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77,80 milliards FCFA, LNBB se positionne comme une valeur de taille intermédiaire sur la BRVM, représentant un poids non négligeable dans l'indice composite. Le BPA de 231 FCFA/action signifie que chaque titre génère près de 231 FCFA de bénéfice net, ce qui, rapporté au cours actuel de 3 890 FCFA, confère un PER de 16,8x — soit un niveau modéré mais légèrement supérieur à la moyenne du marché BRVM (8-12x), traduisant une prime de qualité liée à la solidité du bilan et à la régularité des dividendes. Le P/B de 3,54x indique que le marché valorise la société à plus de trois fois sa valeur comptable, une prime de croissance justifiée par un ROE élevé (21,05%) et une structure financière très saine. Enfin, l'EV/EBITDA de 9,8x, dans la fourchette raisonnable de 5-10x, suggère que la valeur totale de l'entreprise (dette incluse) reste cohérente avec sa capacité opérationnelle à générer des flux, sans surévaluation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affiche une variation totale quasi stable de +1,17%, avec une dernière séance en hausse de +0,65% à 3 890 FCFA, signalant un léger regain d'intérêt acheteur à court terme. Le range de trading s'étend de 3 700 FCFA (plus bas) à 4 560 FCFA (plus haut), soit une amplitude de 860 FCFA (~23%), reflétant une volatilité intra-période significative malgré une tendance globale atone. La moyenne (4 074 FCFA) est légèrement supérieure à la médiane (4 050 FCFA), et le mode se situe à 4 000 FCFA, indiquant une distribution quasi symétrique avec une très légère asymétrie positive (skewness = 0,447), confirmée par l'interprétation fournie. L'écart-type de 194 FCFA avec un coefficient de variation de 4,8% traduit une dispersion modérée du cours autour de sa moyenne, tandis que le kurtosis de -0,801 (mésokurtique) suggère une distribution proche de la normale, sans risque excessif de pics extrêmes. La volatilité annualisée de 41,3% classe le titre dans la catégorie **élevée** (&gt;30%), ce qui implique un risque de prix non négligeable pour un investisseur averse, mais cohérent avec la liquidité limitée du marché BRVM (volume moyen de 4 604 titres/jour).</w:t>
      </w:r>
    </w:p>
    <w:p>
      <w:pPr>
        <w:spacing w:after="120" w:line="276" w:lineRule="auto"/>
      </w:pPr>
      <w:r>
        <w:t>---</w:t>
      </w:r>
    </w:p>
    <w:p>
      <w:pPr>
        <w:spacing w:after="120" w:line="276" w:lineRule="auto"/>
      </w:pPr>
      <w:r>
        <w:t>## PARTIE 2 : ANALYSE TECHNIQUE DÉTAILLÉE</w:t>
      </w:r>
    </w:p>
    <w:p>
      <w:pPr>
        <w:spacing w:after="120" w:line="276" w:lineRule="auto"/>
      </w:pPr>
      <w:r>
        <w:t>**Moyennes Mobiles** : La MM20 (3 970,75 FCFA) est supérieure au cours actuel (3 890 FCFA), tandis que la MM50 (4 103,9 FCFA) domine largement les deux, confirmant une configuration baissière de court et moyen terme. Le cours évolue sous ses deux moyennes, ce qui justifie pleinement la décision technique de **Vente** : la pression vendeuse reste dominante tant que le titre ne réintègre pas la MM20.</w:t>
      </w:r>
    </w:p>
    <w:p>
      <w:pPr>
        <w:spacing w:after="120" w:line="276" w:lineRule="auto"/>
      </w:pPr>
      <w:r>
        <w:t>**Bandes de Bollinger** : Le cours (3 890 FCFA) se situe dans la partie basse de la bande, entre la borne inférieure (3 773,34 FCFA) et la borne supérieure (4 168,16 FCFA), sans franchissement des extrêmes. Cette position médiane-basse, combinée à un rétrécissement relatif des bandes, traduit une volatilité contenue et une absence de signal directionnel fort, justifiant la décision **Neutre** : ni surachat, ni survente.</w:t>
      </w:r>
    </w:p>
    <w:p>
      <w:pPr>
        <w:spacing w:after="120" w:line="276" w:lineRule="auto"/>
      </w:pPr>
      <w:r>
        <w:t>**MACD** : La ligne MACD (-56,747) est inférieure à sa ligne de signal (-53,146), avec un histogramme négatif, confirmant un momentum baissier persistant. La divergence négative entre les deux lignes valide la décision de **Vente** : la dynamique de court terme reste défavorable tant que le MACD ne croise pas à la hausse son signal.</w:t>
      </w:r>
    </w:p>
    <w:p>
      <w:pPr>
        <w:spacing w:after="120" w:line="276" w:lineRule="auto"/>
      </w:pPr>
      <w:r>
        <w:t>**RSI** : À 44,86, le RSI se situe en zone neutre (30-70), sans signal de surachat (&gt;70) ni de survente (&lt;30). Cette valeur légèrement sous la barre des 50 indique une faiblesse relative sans excès, justifiant la décision **Neutre** : le titre n'offre ni opportunité d'achat sur rebond technique, ni urgence de vente.</w:t>
      </w:r>
    </w:p>
    <w:p>
      <w:pPr>
        <w:spacing w:after="120" w:line="276" w:lineRule="auto"/>
      </w:pPr>
      <w:r>
        <w:t>**Stochastique** : Le %K (47,5) est légèrement supérieur au %D (46,25), avec un croisement haussier naissant mais non confirmé. Les deux lignes évoluent en zone médiane, sans divergence marquée, ce qui justifie la décision **Neutre** : le signal est trop faible pour être exploitable en l'état.</w:t>
      </w:r>
    </w:p>
    <w:p>
      <w:pPr>
        <w:spacing w:after="120" w:line="276" w:lineRule="auto"/>
      </w:pPr>
      <w:r>
        <w:t>**Conclusion technique** : La convergence des indicateurs (MM baissières, MACD négatif, RSI et Stochastique neutres, Bollinger sans signal) dresse un tableau **baissier modéré à neutre**. Le titre est coincé sous ses moyennes mobiles avec un momentum négatif, mais l'absence de survente et la proximité de la borne inférieure de Bollinger suggèrent un potentiel de rebond technique limité. La prudence reste de mise tant que le cours ne repasse pas au-dessus de la MM20 (3 970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LNBB a réalisé un chiffre d'affaires de 98,598 milliards FCFA, en **recul de 3,85%** par rapport à 2024 (102,544 Mds FCFA), sous l'effet d'une concurrence illégale accrue. Le résultat net s'établit à 4,622 milliards FCFA, en **baisse de 35,6%** vs 2024 (7,176 Mds), principalement dû à l'absence de produits exceptionnels (3,1 Mds en 2024). Malgré cette contraction, les fondamentaux opérationnels s'améliorent : la valeur ajoutée progresse de **+22%** à 10,548 Mds FCFA et l'EBE de **+34%** à 7,164 Mds FCFA, preuve d'une excellente maîtrise des charges. Les ratios de rentabilité restent solides : **ROE de 21,05%** (excellent, &gt;15%) et **ROA de 14,17%**, tandis que la structure financière affiche une **autonomie financière de 67,32%** (capitaux propres/total bilan) et une trésorerie nette positive de 7,979 Mds FCFA. Le BFR est quasi nul (217,45 M FCFA), avec des délais clients très courts (4,82 jours) et fournisseurs de 20,41 jours — un profil de trésorerie sain.</w:t>
      </w:r>
    </w:p>
    <w:p>
      <w:pPr>
        <w:spacing w:after="120" w:line="276" w:lineRule="auto"/>
      </w:pPr>
      <w:r>
        <w:t>**Adaptation au secteur (entreprise non bancaire)** : La rotation des actifs est exceptionnellement élevée (302,37%), signe d'une efficacité opérationnelle remarquable. Le taux d'endettement est quasi inexistant (2,57%), et la couverture des intérêts par le résultat d'exploitation atteint 9 153%, éliminant tout risque de solvabilité. La marge nette de 4,69% reste faible mais stable, typique du secteur des jeux où les retours aux joueurs (85% réglementaire) compriment structurellement les marges.</w:t>
      </w:r>
    </w:p>
    <w:p>
      <w:pPr>
        <w:spacing w:after="120" w:line="276" w:lineRule="auto"/>
      </w:pPr>
      <w:r>
        <w:t>**Estimations basées sur les rapports trimestriels** : Le rapport du **T1 2026 (publié le 12/06/2026)** indique un CA en hausse de +6% à 25,521 Mds FCFA, mais un résultat net en **chute de 46%** à 848 M FCFA, pénalisé par la migration vers le pari sportif (taux de retour 95%). Toutefois, le **rapport S1 2026 (publié le 01/08/2026)** marque un **retournement spectaculaire** : CA de 49,937 Mds FCFA (+4%), résultat net en **hausse de +60%**, et résultat d'exploitation +40%, grâce à la maîtrise des charges et aux revenus de partenariats B2B. On estime donc que l'exercice 2026 devrait afficher une **nette amélioration de la rentabilité** par rapport à 2025, portée par le déploiement de 1 500 nouveaux terminaux et le lancement de nouveaux produits de loterie au S2 2026. Le dividende proposé à l'AGO (173 FCFA brut/action, soit 164 FCFA net) offre un rendement attractif de ~4,2% au cours actuel.</w:t>
      </w:r>
    </w:p>
    <w:p>
      <w:pPr>
        <w:spacing w:after="120" w:line="276" w:lineRule="auto"/>
      </w:pPr>
      <w:r>
        <w:t>**Conclusion fondamentale** : LNBB présente une **solidité financière exceptionnelle** (autonomie 67%, trésorerie nette positive, endettement quasi nul) et une **rentabilité des fonds propres élevée** (ROE 21%). Les risques principaux restent la concurrence illégale et la pression sur les marges du pari sportif, mais la dynamique du S1 2026 (+60% de résultat net) et le plan de croissance ambitieux pour le S2 constituent des catalyseurs crédibles. La recommandation fondamentale est **CONSERVER**, avec un biais positif à moyen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dessine un tableau **contrasté mais globalement équilibré**. Sur le plan de la **valorisation (Partie 0)**, le PER de 16,8x et le P/B de 3,54x indiquent une légère surévaluation relative par rapport à la moyenne BRVM, mais justifiée par un ROE de 21% et un rendement du dividende attractif (~4,2%) — le titre n'est ni une affaire, ni une aberration. Le **comportement du cours (Partie 1)** révèle une tendance atone (+1,17% sur 100 jours) avec une volatilité élevée (41,3%) et une distribution quasi normale (kurtosis -0,801, skewness 0,447), sans signal directionnel fort. Les **signaux techniques (Partie 2)** sont majoritairement baissiers (MM sous le cours, MACD négatif) mais sans excès (RSI 44,86, Stochastique neutre), plaidant pour une **attente**. Les **fondamentaux (Partie 3)** sont solides : structure financière impeccable, ROE élevé, et surtout un **retournement spectaculaire au S1 2026** (+60% de résultat net) qui contraste avec la baisse de 2025. Enfin, les **prédictions IA (J+1 à J+10)** anticipent une trajectoire haussière modérée (3 915 → 3 928 FCFA, soit +0,98% en 10 jours), confirmant un léger optimisme de court terme.</w:t>
      </w:r>
    </w:p>
    <w:p>
      <w:pPr>
        <w:spacing w:after="120" w:line="276" w:lineRule="auto"/>
      </w:pPr>
      <w:r>
        <w:t>**Recommandation finale : CONSERVER** — Justification : il y a **divergence partielle** entre les signaux techniques (baissiers) et fondamentaux (positifs), mais la convergence entre la valorisation raisonnable, la solidité financière, le retournement du S1 2026 et les prédictions IA haussières plaide pour le maintien en portefeuille. Un **ACHAT** serait prématuré tant que le cours n'a pas réintégré la MM20 (3 970 FCFA) et que le MACD ne s'est pas inversé. **Niveau de confiance : Moyen** (les rapports trimestriels récents sont encourageants mais non audités). **Niveau de risque global : Moyen** (volatilité élevée, concurrence sectorielle, mais bilan très sain). **Horizon d'investissement optimal : Moyen terme (3-12 mois)**, le temps que les effets du plan de croissance S2 2026 se matérialisent dans les résultats annuels et que la tendance technique se retourne.</w:t>
      </w:r>
    </w:p>
    <w:p>
      <w:pPr>
        <w:spacing w:after="120" w:line="276" w:lineRule="auto"/>
      </w:pPr>
      <w:r>
        <w:t>---</w:t>
      </w:r>
    </w:p>
    <w:p>
      <w:pPr>
        <w:spacing w:after="120" w:line="276" w:lineRule="auto"/>
      </w:pPr>
      <w:r>
        <w:t>*Disclaimer : Cette analyse est fournie à titre informatif et ne constitue pas un conseil en investissement personnalisé. Les investisseurs sont invités à consulter un professionnel avant toute décision.*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2,654 titres</w:t>
            </w:r>
          </w:p>
        </w:tc>
        <w:tc>
          <w:tcPr>
            <w:tcW w:type="dxa" w:w="2268"/>
            <w:shd w:fill="FFF2CC" w:val="clear"/>
          </w:tcPr>
          <w:p>
            <w:r>
              <w:rPr>
                <w:b/>
                <w:color w:val="503200"/>
                <w:sz w:val="16"/>
              </w:rPr>
              <w:t xml:space="preserve">Cours actuel : </w:t>
            </w:r>
            <w:r>
              <w:rPr>
                <w:color w:val="000000"/>
                <w:sz w:val="17"/>
              </w:rPr>
              <w:t>2,245 FCFA</w:t>
            </w:r>
          </w:p>
          <w:p>
            <w:r>
              <w:rPr>
                <w:b/>
                <w:color w:val="503200"/>
                <w:sz w:val="16"/>
              </w:rPr>
              <w:t xml:space="preserve">Var. 100 jours : </w:t>
            </w:r>
            <w:r>
              <w:rPr>
                <w:b/>
                <w:color w:val="007800"/>
                <w:sz w:val="17"/>
              </w:rPr>
              <w:t>+28.65%</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1,745 FCFA</w:t>
            </w:r>
          </w:p>
          <w:p>
            <w:r>
              <w:rPr>
                <w:b/>
                <w:color w:val="503200"/>
                <w:sz w:val="16"/>
              </w:rPr>
              <w:t xml:space="preserve">Volatilité ann. : </w:t>
            </w:r>
            <w:r>
              <w:rPr>
                <w:color w:val="000000"/>
                <w:sz w:val="17"/>
              </w:rPr>
              <w:t>54.2%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12.97% (Moyenne) — μ=2,299 FCFA, σ=298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β=0.0537 (Défensif) — Cov=0.000004, Var(idx)=0.000068, ρ=0.013,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σ_j=3.41%/j (Modérée) — Vol. annualisée≈54.2%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2,008</w:t>
            </w:r>
          </w:p>
        </w:tc>
        <w:tc>
          <w:tcPr>
            <w:tcW w:type="dxa" w:w="1440"/>
            <w:shd w:fill="FAFAFA" w:val="clear"/>
          </w:tcPr>
          <w:p>
            <w:r>
              <w:rPr>
                <w:b/>
                <w:sz w:val="17"/>
              </w:rPr>
              <w:t>2,217</w:t>
            </w:r>
          </w:p>
        </w:tc>
        <w:tc>
          <w:tcPr>
            <w:tcW w:type="dxa" w:w="1440"/>
            <w:shd w:fill="FAFAFA" w:val="clear"/>
          </w:tcPr>
          <w:p>
            <w:r>
              <w:rPr>
                <w:sz w:val="17"/>
              </w:rPr>
              <w:t>2,426</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1,948</w:t>
            </w:r>
          </w:p>
        </w:tc>
        <w:tc>
          <w:tcPr>
            <w:tcW w:type="dxa" w:w="1440"/>
            <w:shd w:fill="FAFAFA" w:val="clear"/>
          </w:tcPr>
          <w:p>
            <w:r>
              <w:rPr>
                <w:b/>
                <w:sz w:val="17"/>
              </w:rPr>
              <w:t>2,203</w:t>
            </w:r>
          </w:p>
        </w:tc>
        <w:tc>
          <w:tcPr>
            <w:tcW w:type="dxa" w:w="1440"/>
            <w:shd w:fill="FAFAFA" w:val="clear"/>
          </w:tcPr>
          <w:p>
            <w:r>
              <w:rPr>
                <w:sz w:val="17"/>
              </w:rPr>
              <w:t>2,457</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1,897</w:t>
            </w:r>
          </w:p>
        </w:tc>
        <w:tc>
          <w:tcPr>
            <w:tcW w:type="dxa" w:w="1440"/>
            <w:shd w:fill="FFDCE0" w:val="clear"/>
          </w:tcPr>
          <w:p>
            <w:r>
              <w:rPr>
                <w:b/>
                <w:sz w:val="17"/>
              </w:rPr>
              <w:t>2,188</w:t>
            </w:r>
          </w:p>
        </w:tc>
        <w:tc>
          <w:tcPr>
            <w:tcW w:type="dxa" w:w="1440"/>
            <w:shd w:fill="FFDCE0" w:val="clear"/>
          </w:tcPr>
          <w:p>
            <w:r>
              <w:rPr>
                <w:sz w:val="17"/>
              </w:rPr>
              <w:t>2,480</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1,850</w:t>
            </w:r>
          </w:p>
        </w:tc>
        <w:tc>
          <w:tcPr>
            <w:tcW w:type="dxa" w:w="1440"/>
            <w:shd w:fill="FFDCE0" w:val="clear"/>
          </w:tcPr>
          <w:p>
            <w:r>
              <w:rPr>
                <w:b/>
                <w:sz w:val="17"/>
              </w:rPr>
              <w:t>2,174</w:t>
            </w:r>
          </w:p>
        </w:tc>
        <w:tc>
          <w:tcPr>
            <w:tcW w:type="dxa" w:w="1440"/>
            <w:shd w:fill="FFDCE0" w:val="clear"/>
          </w:tcPr>
          <w:p>
            <w:r>
              <w:rPr>
                <w:sz w:val="17"/>
              </w:rPr>
              <w:t>2,498</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1,808</w:t>
            </w:r>
          </w:p>
        </w:tc>
        <w:tc>
          <w:tcPr>
            <w:tcW w:type="dxa" w:w="1440"/>
            <w:shd w:fill="FFDCE0" w:val="clear"/>
          </w:tcPr>
          <w:p>
            <w:r>
              <w:rPr>
                <w:b/>
                <w:sz w:val="17"/>
              </w:rPr>
              <w:t>2,161</w:t>
            </w:r>
          </w:p>
        </w:tc>
        <w:tc>
          <w:tcPr>
            <w:tcW w:type="dxa" w:w="1440"/>
            <w:shd w:fill="FFDCE0" w:val="clear"/>
          </w:tcPr>
          <w:p>
            <w:r>
              <w:rPr>
                <w:sz w:val="17"/>
              </w:rPr>
              <w:t>2,513</w:t>
            </w:r>
          </w:p>
        </w:tc>
        <w:tc>
          <w:tcPr>
            <w:tcW w:type="dxa" w:w="1440"/>
            <w:shd w:fill="FFDCE0" w:val="clear"/>
          </w:tcPr>
          <w:p>
            <w:r>
              <w:rPr>
                <w:b/>
                <w:color w:val="C00000"/>
                <w:sz w:val="17"/>
              </w:rPr>
              <w:t>-3.8%</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1,769</w:t>
            </w:r>
          </w:p>
        </w:tc>
        <w:tc>
          <w:tcPr>
            <w:tcW w:type="dxa" w:w="1440"/>
            <w:shd w:fill="FFDCE0" w:val="clear"/>
          </w:tcPr>
          <w:p>
            <w:r>
              <w:rPr>
                <w:b/>
                <w:sz w:val="17"/>
              </w:rPr>
              <w:t>2,148</w:t>
            </w:r>
          </w:p>
        </w:tc>
        <w:tc>
          <w:tcPr>
            <w:tcW w:type="dxa" w:w="1440"/>
            <w:shd w:fill="FFDCE0" w:val="clear"/>
          </w:tcPr>
          <w:p>
            <w:r>
              <w:rPr>
                <w:sz w:val="17"/>
              </w:rPr>
              <w:t>2,527</w:t>
            </w:r>
          </w:p>
        </w:tc>
        <w:tc>
          <w:tcPr>
            <w:tcW w:type="dxa" w:w="1440"/>
            <w:shd w:fill="FFDCE0" w:val="clear"/>
          </w:tcPr>
          <w:p>
            <w:r>
              <w:rPr>
                <w:b/>
                <w:color w:val="C00000"/>
                <w:sz w:val="17"/>
              </w:rPr>
              <w:t>-4.3%</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1,733</w:t>
            </w:r>
          </w:p>
        </w:tc>
        <w:tc>
          <w:tcPr>
            <w:tcW w:type="dxa" w:w="1440"/>
            <w:shd w:fill="FFDCE0" w:val="clear"/>
          </w:tcPr>
          <w:p>
            <w:r>
              <w:rPr>
                <w:b/>
                <w:sz w:val="17"/>
              </w:rPr>
              <w:t>2,136</w:t>
            </w:r>
          </w:p>
        </w:tc>
        <w:tc>
          <w:tcPr>
            <w:tcW w:type="dxa" w:w="1440"/>
            <w:shd w:fill="FFDCE0" w:val="clear"/>
          </w:tcPr>
          <w:p>
            <w:r>
              <w:rPr>
                <w:sz w:val="17"/>
              </w:rPr>
              <w:t>2,538</w:t>
            </w:r>
          </w:p>
        </w:tc>
        <w:tc>
          <w:tcPr>
            <w:tcW w:type="dxa" w:w="1440"/>
            <w:shd w:fill="FFDCE0" w:val="clear"/>
          </w:tcPr>
          <w:p>
            <w:r>
              <w:rPr>
                <w:b/>
                <w:color w:val="C00000"/>
                <w:sz w:val="17"/>
              </w:rPr>
              <w:t>-4.9%</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1,699</w:t>
            </w:r>
          </w:p>
        </w:tc>
        <w:tc>
          <w:tcPr>
            <w:tcW w:type="dxa" w:w="1440"/>
            <w:shd w:fill="FFDCE0" w:val="clear"/>
          </w:tcPr>
          <w:p>
            <w:r>
              <w:rPr>
                <w:b/>
                <w:sz w:val="17"/>
              </w:rPr>
              <w:t>2,124</w:t>
            </w:r>
          </w:p>
        </w:tc>
        <w:tc>
          <w:tcPr>
            <w:tcW w:type="dxa" w:w="1440"/>
            <w:shd w:fill="FFDCE0" w:val="clear"/>
          </w:tcPr>
          <w:p>
            <w:r>
              <w:rPr>
                <w:sz w:val="17"/>
              </w:rPr>
              <w:t>2,548</w:t>
            </w:r>
          </w:p>
        </w:tc>
        <w:tc>
          <w:tcPr>
            <w:tcW w:type="dxa" w:w="1440"/>
            <w:shd w:fill="FFDCE0" w:val="clear"/>
          </w:tcPr>
          <w:p>
            <w:r>
              <w:rPr>
                <w:b/>
                <w:color w:val="C00000"/>
                <w:sz w:val="17"/>
              </w:rPr>
              <w:t>-5.4%</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1,667</w:t>
            </w:r>
          </w:p>
        </w:tc>
        <w:tc>
          <w:tcPr>
            <w:tcW w:type="dxa" w:w="1440"/>
            <w:shd w:fill="FFDCE0" w:val="clear"/>
          </w:tcPr>
          <w:p>
            <w:r>
              <w:rPr>
                <w:b/>
                <w:sz w:val="17"/>
              </w:rPr>
              <w:t>2,113</w:t>
            </w:r>
          </w:p>
        </w:tc>
        <w:tc>
          <w:tcPr>
            <w:tcW w:type="dxa" w:w="1440"/>
            <w:shd w:fill="FFDCE0" w:val="clear"/>
          </w:tcPr>
          <w:p>
            <w:r>
              <w:rPr>
                <w:sz w:val="17"/>
              </w:rPr>
              <w:t>2,558</w:t>
            </w:r>
          </w:p>
        </w:tc>
        <w:tc>
          <w:tcPr>
            <w:tcW w:type="dxa" w:w="1440"/>
            <w:shd w:fill="FFDCE0" w:val="clear"/>
          </w:tcPr>
          <w:p>
            <w:r>
              <w:rPr>
                <w:b/>
                <w:color w:val="C00000"/>
                <w:sz w:val="17"/>
              </w:rPr>
              <w:t>-5.9%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28,66 Mds FCFA, NEIC se situe dans la catégorie des petites capitalisations de la BRVM, ce qui implique une liquidité limitée et une sensibilité accrue aux mouvements de portefeuille. Le BPA de 160 FCFA/action signifie que chaque titre génère 160 FCFA de bénéfice net, ce qui, rapporté au cours actuel de 2 245 FCFA, donne un PER de 14,1x — un niveau modéré mais supérieur à la moyenne du marché BRVM (8-12x), traduisant une légère prime de valorisation. Le P/B de 4,98x indique que le marché valorise l'entreprise à près de 5 fois sa valeur comptable, soit une prime très élevée qui suggère que les investisseurs anticipent une forte création de valeur future ou surévaluent les actifs. Enfin, l'EV/EBITDA de 20,8x est très exigeant (seuil d'alerte &gt;15x), signifiant que la valeur totale de l'entreprise (dette incluse) représente plus de 20 fois sa capacité opérationnelle à générer des liquidités — un niveau qui ne se justifie que par des perspectives de croissance exceptionnelles, lesquelles restent à confirmer.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affiche une progression remarquable de +28,65%, portant le cours à 2 245 FCFA, malgré un repli de -2,39% lors de la dernière séance. Le range de trading est particulièrement large, avec un plus haut à 3 000 FCFA et un plus bas à 1 745 FCFA, soit une amplitude de 72% — signe d'une forte volatilité et d'une tendance haussière entrecoupée de corrections marquées. La moyenne (2 299 FCFA) est légèrement supérieure à la médiane (2 272 FCFA), et le mode se situe à 1 990 FCFA, ce qui indique une distribution asymétrique avec une prédominance de séances sous la moyenne, confirmée par un skewness de +0,834 (asymétrie positive : plus de journées sous la moyenne mais des pics haussiers violents). L'écart-type de 300 FCFA (CV = 13,0%) traduit une dispersion modérée du cours autour de sa moyenne, tandis que le kurtosis de 0,245 (mésokurtique) indique une distribution proche de la normale, sans risque extrême de pics exceptionnels. La volatilité annualisée de 54,2% classe le titre dans la catégorie des valeurs à volatilité élevée (&gt;30%), ce qui implique un risque de perte en capital significatif à court terme, mais aussi un potentiel de gain attractif pour les investisseurs tolérants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(2 578,5 FCFA) et la MM50 (2 480,2 FCFA) sont toutes deux supérieures au cours actuel (2 245 FCFA), ce qui place le titre en dessous de ses moyennes mobiles — un signal baissier à court terme. Cependant, la MM20 reste au-dessus de la MM50, indiquant que la tendance de fond demeure haussière. La décision « Achat » fournie par l'indicateur suggère que le titre est survendu par rapport à ses moyennes et pourrait rebondir vers 2 480-2 578 FCFA.</w:t>
      </w:r>
    </w:p>
    <w:p>
      <w:pPr>
        <w:spacing w:after="120" w:line="276" w:lineRule="auto"/>
      </w:pPr>
      <w:r>
        <w:t>**Bandes de Bollinger** : Le cours actuel (2 245 FCFA) se situe dans la partie basse de la bande de Bollinger (borne inférieure : 2 089,89 FCFA ; borne supérieure : 3 067,11 FCFA), sans toutefois toucher la borne inférieure. La décision « Neutre » reflète l'absence de signal extrême : le titre n'est ni en surachat ni en survente selon ce critère, mais la largeur des bandes (977 FCFA) confirme une volatilité élevée.</w:t>
      </w:r>
    </w:p>
    <w:p>
      <w:pPr>
        <w:spacing w:after="120" w:line="276" w:lineRule="auto"/>
      </w:pPr>
      <w:r>
        <w:t>**MACD** : La valeur du MACD (-82,759) est inférieure à son signal (-32,103), ce qui génère un croisement baissier et une divergence négative — la décision « Vente » est cohérente avec ce momentum négatif. Le MACD négatif indique que la pression vendeuse domine à court terme, et tant que la valeur reste sous le signal, le risque de poursuite de la baisse demeure.</w:t>
      </w:r>
    </w:p>
    <w:p>
      <w:pPr>
        <w:spacing w:after="120" w:line="276" w:lineRule="auto"/>
      </w:pPr>
      <w:r>
        <w:t>**RSI** : Avec une valeur de 22,404, le RSI est en zone de survente (&lt;30), ce qui déclenche une décision « Achat ». Un RSI aussi bas signale que le titre a été massivement vendu et qu'un rebond technique est probable à court terme, mais il peut aussi persister en zone de survente si la tendance baissière est forte.</w:t>
      </w:r>
    </w:p>
    <w:p>
      <w:pPr>
        <w:spacing w:after="120" w:line="276" w:lineRule="auto"/>
      </w:pPr>
      <w:r>
        <w:t>**Stochastique** : Le %K et le %D sont tous deux à 0,0, ce qui place l'indicateur en zone de survente extrême et génère une décision « Achat ». Un tel niveau indique que le cours clôture systématiquement près de ses plus bas récents, ce qui précède souvent un retournement haussier, mais peut aussi refléter une tendance baissière persistante.</w:t>
      </w:r>
    </w:p>
    <w:p>
      <w:pPr>
        <w:spacing w:after="120" w:line="276" w:lineRule="auto"/>
      </w:pPr>
      <w:r>
        <w:t>**Conclusion technique** : Les indicateurs sont divergents : les moyennes mobiles et le MACD sont baissiers (cours sous les MM, croisement MACD baissier), tandis que le RSI et le stochastique sont en survente extrême et génèrent des signaux d'achat. Cette configuration suggère un titre en phase de correction au sein d'une tendance haussière de fond, avec un potentiel de rebond technique à court terme, mais une confirmation nécessaire par le franchissement de la MM20 (2 578 FCFA) pour valider un retournement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NEIC affiche un chiffre d'affaires de 5,139 Mds FCFA, un résultat net de 2,037 Mds FCFA (marge nette de 39,63%), un ROE exceptionnel de 35,39% et un ROA de 27,25%. La structure financière est très saine avec une autonomie financière de 77,01% (capitaux propres de 5,755 Mds FCFA pour un total bilan de 7,473 Mds FCFA) et une trésorerie nette de 4,196 Mds FCFA. Cependant, le taux de croissance du CA est négatif (-23,80%), ce qui signale une contraction de l'activité commerciale. Le BFR est de 1,498 Mds FCFA (positif, donc défavorable), avec un délai clients très élevé de 154,72 jours — un risque de trésorerie important — et un délai fournisseurs de 69,56 jours. Le flux opérationnel est négatif (-527,07 M FCFA) et le Free Cash Flow également (-565,91 M FCFA), ce qui contraste avec la trésorerie élevée.</w:t>
      </w:r>
    </w:p>
    <w:p>
      <w:pPr>
        <w:spacing w:after="120" w:line="276" w:lineRule="auto"/>
      </w:pPr>
      <w:r>
        <w:t>**Analyse sectorielle (entreprise non bancaire)** : Le délai clients de 154,72 jours est préoccupant car il immobilise des créances importantes (2,209 Mds FCFA) et expose l'entreprise à un risque de recouvrement. Le délai fournisseurs de 69,56 jours est correct mais inférieur au délai clients, créant un besoin de financement. La rotation des actifs est faible (68,77%), ce qui indique une sous-utilisation des actifs pour générer du chiffre d'affaires.</w:t>
      </w:r>
    </w:p>
    <w:p>
      <w:pPr>
        <w:spacing w:after="120" w:line="276" w:lineRule="auto"/>
      </w:pPr>
      <w:r>
        <w:t>**Estimations basées sur les rapports trimestriels** : Le rapport T3 2025 (daté du 30/09/2025) indique un CA de 3 406 M FCFA au T3 2025, en baisse de 35% sur un an, mais un résultat net exceptionnel de 1 596 M FCFA dû à une reprise de provision (élément non récurrent). Le rapport T1 2026 (daté du 31/03/2026) montre un CA de 115,1 M FCFA, en hausse de 137% sur un an, mais une perte nette de -168,9 M FCFA (en amélioration de 11% par rapport à -189,9 M FCFA au T1 2025). On estime donc que l'exercice 2026 devrait bénéficier d'une dynamique commerciale positive (croissance du CA), mais la rentabilité opérationnelle reste négative (-271,5 M FCFA au T1 2026), et la société dépend de résultats financiers (41,7 M FCFA) pour limiter ses pertes. Le rapport annuel 2025 (daté du 31/12/2025) confirme un résultat net de 2,04 Mds FCFA (+169%) et un dividende de 2,04 Mds FCFA (100% du résultat), ce qui est généreux mais limite l'autofinancement.</w:t>
      </w:r>
    </w:p>
    <w:p>
      <w:pPr>
        <w:spacing w:after="120" w:line="276" w:lineRule="auto"/>
      </w:pPr>
      <w:r>
        <w:t>**Recommandation fondamentale** : La société présente une solidité financière indéniable (ROE &gt;35%, trésorerie nette positive, autonomie financière élevée) mais des signaux de fragilité opérationnelle (CA en baisse en 2025, flux opérationnel négatif, délai clients élevé). Les rapports trimestriels récents (T1 2026) montrent une amélioration du CA mais des pertes persistantes. La valorisation exigeante (P/B de 4,98x, EV/EBITDA de 20,8x) ne semble pas justifiée par les fondamentaux actuels, sauf si la reprise du CA se confirme et se transforme en rentabilité durable.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exigeante : PER de 14,1x (supérieur à la moyenne BRVM), P/B de 4,98x et EV/EBITDA de 20,8x indiquent une surévaluation relative, sauf si la croissance future justifie ces multiples. Le comportement du cours (Partie 1) est mitigé : tendance haussière sur 100 jours (+28,65%) mais correction récente (-2,39% en J-1), avec une volatilité élevée (54,2%) et une asymétrie positive (skewness de +0,834) qui suggère des pics haussiers violents mais des journées majoritairement baissières. Les signaux techniques (Partie 2) sont divergents : les indicateurs de tendance (MM, MACD) sont baissiers, tandis que les oscillateurs (RSI à 22,4, stochastique à 0) sont en survente extrême et génèrent des signaux d'achat — une configuration qui plaide pour un rebond technique à court terme, mais sans confirmation de retournement. Les fondamentaux (Partie 3) sont contrastés : solidité financière (ROE de 35,39%, trésorerie de 4,196 Mds FCFA) mais fragilité opérationnelle (CA en baisse de 23,80% en 2025, flux opérationnel négatif, délai clients de 154,72 jours). Les prédictions IA (J+1 à J+10) anticipent une baisse continue de 2 217 FCFA à 2 161 FCFA, ce qui contredit les signaux d'achat des oscillateurs et confirme la pression baissière à court terme.</w:t>
      </w:r>
    </w:p>
    <w:p>
      <w:pPr>
        <w:spacing w:after="120" w:line="276" w:lineRule="auto"/>
      </w:pPr>
      <w:r>
        <w:t>**Recommandation finale : CONSERVER** — Justification : la convergence entre la valorisation exigeante, la tendance baissière de court terme (MACD, prédictions IA) et les fondamentaux mitigés (croissance du CA négative en 2025, pertes opérationnelles persistantes) ne permet pas de recommander l'achat malgré les signaux de survente. Cependant, la solidité financière (ROE élevé, trésorerie abondante) et l'amélioration du CA au T1 2026 (+137%) incitent à ne pas vendre, en attendant une confirmation de la reprise opérationnelle. **Niveau de confiance : Moyen** (les signaux sont contradictoires). **Niveau de risque : Élevé** (volatilité de 54,2%, valorisation tendue, dépendance aux éléments non récurrents). **Horizon d'investissement : Moyen terme (3-12 mois)** — le temps que la reprise du CA se matérialise et que la rentabilité opérationnelle redevienne positive.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544.16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2,831 titres</w:t>
            </w:r>
          </w:p>
        </w:tc>
        <w:tc>
          <w:tcPr>
            <w:tcW w:type="dxa" w:w="2268"/>
            <w:shd w:fill="FFF2CC" w:val="clear"/>
          </w:tcPr>
          <w:p>
            <w:r>
              <w:rPr>
                <w:b/>
                <w:color w:val="503200"/>
                <w:sz w:val="16"/>
              </w:rPr>
              <w:t xml:space="preserve">Cours actuel : </w:t>
            </w:r>
            <w:r>
              <w:rPr>
                <w:color w:val="000000"/>
                <w:sz w:val="17"/>
              </w:rPr>
              <w:t>22,000 FCFA</w:t>
            </w:r>
          </w:p>
          <w:p>
            <w:r>
              <w:rPr>
                <w:b/>
                <w:color w:val="503200"/>
                <w:sz w:val="16"/>
              </w:rPr>
              <w:t xml:space="preserve">Var. 100 jours : </w:t>
            </w:r>
            <w:r>
              <w:rPr>
                <w:b/>
                <w:color w:val="007800"/>
                <w:sz w:val="17"/>
              </w:rPr>
              <w:t>+57.03%</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41.6%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12.64% (Moyenne) — μ=21,152 FCFA, σ=2,674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β=1.4686 (Agressif) — Cov=0.000099, Var(idx)=0.000068, ρ=0.461,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2026-10-05</w:t>
            </w:r>
          </w:p>
        </w:tc>
        <w:tc>
          <w:tcPr>
            <w:tcW w:type="dxa" w:w="1440"/>
            <w:shd w:fill="FFDCE0" w:val="clear"/>
          </w:tcPr>
          <w:p>
            <w:r>
              <w:rPr>
                <w:sz w:val="17"/>
              </w:rPr>
              <w:t>19,942</w:t>
            </w:r>
          </w:p>
        </w:tc>
        <w:tc>
          <w:tcPr>
            <w:tcW w:type="dxa" w:w="1440"/>
            <w:shd w:fill="FFDCE0" w:val="clear"/>
          </w:tcPr>
          <w:p>
            <w:r>
              <w:rPr>
                <w:b/>
                <w:sz w:val="17"/>
              </w:rPr>
              <w:t>21,288</w:t>
            </w:r>
          </w:p>
        </w:tc>
        <w:tc>
          <w:tcPr>
            <w:tcW w:type="dxa" w:w="1440"/>
            <w:shd w:fill="FFDCE0" w:val="clear"/>
          </w:tcPr>
          <w:p>
            <w:r>
              <w:rPr>
                <w:sz w:val="17"/>
              </w:rPr>
              <w:t>22,635</w:t>
            </w:r>
          </w:p>
        </w:tc>
        <w:tc>
          <w:tcPr>
            <w:tcW w:type="dxa" w:w="1440"/>
            <w:shd w:fill="FFDCE0" w:val="clear"/>
          </w:tcPr>
          <w:p>
            <w:r>
              <w:rPr>
                <w:b/>
                <w:color w:val="C00000"/>
                <w:sz w:val="17"/>
              </w:rPr>
              <w:t>-3.2%</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19,412</w:t>
            </w:r>
          </w:p>
        </w:tc>
        <w:tc>
          <w:tcPr>
            <w:tcW w:type="dxa" w:w="1440"/>
            <w:shd w:fill="FFDCE0" w:val="clear"/>
          </w:tcPr>
          <w:p>
            <w:r>
              <w:rPr>
                <w:b/>
                <w:sz w:val="17"/>
              </w:rPr>
              <w:t>21,042</w:t>
            </w:r>
          </w:p>
        </w:tc>
        <w:tc>
          <w:tcPr>
            <w:tcW w:type="dxa" w:w="1440"/>
            <w:shd w:fill="FFDCE0" w:val="clear"/>
          </w:tcPr>
          <w:p>
            <w:r>
              <w:rPr>
                <w:sz w:val="17"/>
              </w:rPr>
              <w:t>22,672</w:t>
            </w:r>
          </w:p>
        </w:tc>
        <w:tc>
          <w:tcPr>
            <w:tcW w:type="dxa" w:w="1440"/>
            <w:shd w:fill="FFDCE0" w:val="clear"/>
          </w:tcPr>
          <w:p>
            <w:r>
              <w:rPr>
                <w:b/>
                <w:color w:val="C00000"/>
                <w:sz w:val="17"/>
              </w:rPr>
              <w:t>-4.4%</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18,953</w:t>
            </w:r>
          </w:p>
        </w:tc>
        <w:tc>
          <w:tcPr>
            <w:tcW w:type="dxa" w:w="1440"/>
            <w:shd w:fill="FFDCE0" w:val="clear"/>
          </w:tcPr>
          <w:p>
            <w:r>
              <w:rPr>
                <w:b/>
                <w:sz w:val="17"/>
              </w:rPr>
              <w:t>20,815</w:t>
            </w:r>
          </w:p>
        </w:tc>
        <w:tc>
          <w:tcPr>
            <w:tcW w:type="dxa" w:w="1440"/>
            <w:shd w:fill="FFDCE0" w:val="clear"/>
          </w:tcPr>
          <w:p>
            <w:r>
              <w:rPr>
                <w:sz w:val="17"/>
              </w:rPr>
              <w:t>22,677</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18,534</w:t>
            </w:r>
          </w:p>
        </w:tc>
        <w:tc>
          <w:tcPr>
            <w:tcW w:type="dxa" w:w="1440"/>
            <w:shd w:fill="FFDCE0" w:val="clear"/>
          </w:tcPr>
          <w:p>
            <w:r>
              <w:rPr>
                <w:b/>
                <w:sz w:val="17"/>
              </w:rPr>
              <w:t>20,594</w:t>
            </w:r>
          </w:p>
        </w:tc>
        <w:tc>
          <w:tcPr>
            <w:tcW w:type="dxa" w:w="1440"/>
            <w:shd w:fill="FFDCE0" w:val="clear"/>
          </w:tcPr>
          <w:p>
            <w:r>
              <w:rPr>
                <w:sz w:val="17"/>
              </w:rPr>
              <w:t>22,653</w:t>
            </w:r>
          </w:p>
        </w:tc>
        <w:tc>
          <w:tcPr>
            <w:tcW w:type="dxa" w:w="1440"/>
            <w:shd w:fill="FFDCE0" w:val="clear"/>
          </w:tcPr>
          <w:p>
            <w:r>
              <w:rPr>
                <w:b/>
                <w:color w:val="C00000"/>
                <w:sz w:val="17"/>
              </w:rPr>
              <w:t>-6.4%</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18,145</w:t>
            </w:r>
          </w:p>
        </w:tc>
        <w:tc>
          <w:tcPr>
            <w:tcW w:type="dxa" w:w="1440"/>
            <w:shd w:fill="FFDCE0" w:val="clear"/>
          </w:tcPr>
          <w:p>
            <w:r>
              <w:rPr>
                <w:b/>
                <w:sz w:val="17"/>
              </w:rPr>
              <w:t>20,377</w:t>
            </w:r>
          </w:p>
        </w:tc>
        <w:tc>
          <w:tcPr>
            <w:tcW w:type="dxa" w:w="1440"/>
            <w:shd w:fill="FFDCE0" w:val="clear"/>
          </w:tcPr>
          <w:p>
            <w:r>
              <w:rPr>
                <w:sz w:val="17"/>
              </w:rPr>
              <w:t>22,609</w:t>
            </w:r>
          </w:p>
        </w:tc>
        <w:tc>
          <w:tcPr>
            <w:tcW w:type="dxa" w:w="1440"/>
            <w:shd w:fill="FFDCE0" w:val="clear"/>
          </w:tcPr>
          <w:p>
            <w:r>
              <w:rPr>
                <w:b/>
                <w:color w:val="C00000"/>
                <w:sz w:val="17"/>
              </w:rPr>
              <w:t>-7.4%</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17,778</w:t>
            </w:r>
          </w:p>
        </w:tc>
        <w:tc>
          <w:tcPr>
            <w:tcW w:type="dxa" w:w="1440"/>
            <w:shd w:fill="FFDCE0" w:val="clear"/>
          </w:tcPr>
          <w:p>
            <w:r>
              <w:rPr>
                <w:b/>
                <w:sz w:val="17"/>
              </w:rPr>
              <w:t>20,164</w:t>
            </w:r>
          </w:p>
        </w:tc>
        <w:tc>
          <w:tcPr>
            <w:tcW w:type="dxa" w:w="1440"/>
            <w:shd w:fill="FFDCE0" w:val="clear"/>
          </w:tcPr>
          <w:p>
            <w:r>
              <w:rPr>
                <w:sz w:val="17"/>
              </w:rPr>
              <w:t>22,550</w:t>
            </w:r>
          </w:p>
        </w:tc>
        <w:tc>
          <w:tcPr>
            <w:tcW w:type="dxa" w:w="1440"/>
            <w:shd w:fill="FFDCE0" w:val="clear"/>
          </w:tcPr>
          <w:p>
            <w:r>
              <w:rPr>
                <w:b/>
                <w:color w:val="C00000"/>
                <w:sz w:val="17"/>
              </w:rPr>
              <w:t>-8.3%</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17,430</w:t>
            </w:r>
          </w:p>
        </w:tc>
        <w:tc>
          <w:tcPr>
            <w:tcW w:type="dxa" w:w="1440"/>
            <w:shd w:fill="FFDCE0" w:val="clear"/>
          </w:tcPr>
          <w:p>
            <w:r>
              <w:rPr>
                <w:b/>
                <w:sz w:val="17"/>
              </w:rPr>
              <w:t>19,954</w:t>
            </w:r>
          </w:p>
        </w:tc>
        <w:tc>
          <w:tcPr>
            <w:tcW w:type="dxa" w:w="1440"/>
            <w:shd w:fill="FFDCE0" w:val="clear"/>
          </w:tcPr>
          <w:p>
            <w:r>
              <w:rPr>
                <w:sz w:val="17"/>
              </w:rPr>
              <w:t>22,478</w:t>
            </w:r>
          </w:p>
        </w:tc>
        <w:tc>
          <w:tcPr>
            <w:tcW w:type="dxa" w:w="1440"/>
            <w:shd w:fill="FFDCE0" w:val="clear"/>
          </w:tcPr>
          <w:p>
            <w:r>
              <w:rPr>
                <w:b/>
                <w:color w:val="C00000"/>
                <w:sz w:val="17"/>
              </w:rPr>
              <w:t>-9.3%</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17,097</w:t>
            </w:r>
          </w:p>
        </w:tc>
        <w:tc>
          <w:tcPr>
            <w:tcW w:type="dxa" w:w="1440"/>
            <w:shd w:fill="FFDCE0" w:val="clear"/>
          </w:tcPr>
          <w:p>
            <w:r>
              <w:rPr>
                <w:b/>
                <w:sz w:val="17"/>
              </w:rPr>
              <w:t>19,747</w:t>
            </w:r>
          </w:p>
        </w:tc>
        <w:tc>
          <w:tcPr>
            <w:tcW w:type="dxa" w:w="1440"/>
            <w:shd w:fill="FFDCE0" w:val="clear"/>
          </w:tcPr>
          <w:p>
            <w:r>
              <w:rPr>
                <w:sz w:val="17"/>
              </w:rPr>
              <w:t>22,396</w:t>
            </w:r>
          </w:p>
        </w:tc>
        <w:tc>
          <w:tcPr>
            <w:tcW w:type="dxa" w:w="1440"/>
            <w:shd w:fill="FFDCE0" w:val="clear"/>
          </w:tcPr>
          <w:p>
            <w:r>
              <w:rPr>
                <w:b/>
                <w:color w:val="C00000"/>
                <w:sz w:val="17"/>
              </w:rPr>
              <w:t>-10.2%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16,778</w:t>
            </w:r>
          </w:p>
        </w:tc>
        <w:tc>
          <w:tcPr>
            <w:tcW w:type="dxa" w:w="1440"/>
            <w:shd w:fill="FFDCE0" w:val="clear"/>
          </w:tcPr>
          <w:p>
            <w:r>
              <w:rPr>
                <w:b/>
                <w:sz w:val="17"/>
              </w:rPr>
              <w:t>19,542</w:t>
            </w:r>
          </w:p>
        </w:tc>
        <w:tc>
          <w:tcPr>
            <w:tcW w:type="dxa" w:w="1440"/>
            <w:shd w:fill="FFDCE0" w:val="clear"/>
          </w:tcPr>
          <w:p>
            <w:r>
              <w:rPr>
                <w:sz w:val="17"/>
              </w:rPr>
              <w:t>22,306</w:t>
            </w:r>
          </w:p>
        </w:tc>
        <w:tc>
          <w:tcPr>
            <w:tcW w:type="dxa" w:w="1440"/>
            <w:shd w:fill="FFDCE0" w:val="clear"/>
          </w:tcPr>
          <w:p>
            <w:r>
              <w:rPr>
                <w:b/>
                <w:color w:val="C00000"/>
                <w:sz w:val="17"/>
              </w:rPr>
              <w:t>-11.2%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*Marché : BRVM | Secteur : Banque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544,16 milliards FCFA, NSBC s'impose comme l'une des valeurs bancaires les plus importantes de la BRVM, ce qui témoigne de sa liquidité relative et de son poids dans l'indice sectoriel. Le BPA de 1 646 FCFA/action signifie que chaque titre génère près de 1 646 FCFA de bénéfice net, un niveau élevé qui reflète la forte rentabilité de la banque. Le PER de 13,4x se situe légèrement au-dessus de la moyenne du marché BRVM (8-12x), indiquant que les investisseurs paient une prime modérée pour cette valeur de croissance, sans pour autant tomber dans une surévaluation excessive. Le P/B de 2,33x montre que le marché valorise NSBC à plus du double de sa valeur comptable, une prime de croissance justifiée par un ROE de 17,45% nettement supérieur au coût des fonds propres. En revanche, l'EV/EBITDA de 21,0x apparaît très exigeant (&gt;15x), ce qui suggère que la valeur d'entreprise intègre déjà une grande partie des anticipations de croissance future, laissant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+57,03%, avec une dernière séance en hausse de +2,33%, confirmant la dynamique haussière en cours. Le titre a évolué dans un range large entre 13 810 FCFA (plus bas) et 24 885 FCFA (plus haut), soit une amplitude de plus de 80%, ce qui traduit une forte volatilité intra-période. Le cours actuel de 22 000 FCFA se situe dans le haut de ce range, à environ 11,6% sous le plus haut, suggérant une phase de consolidation après le rallye. Les statistiques descriptives révèlent une moyenne de 21 152 FCFA légèrement inférieure à la médiane de 21 975 FCFA, avec un skewness négatif de -0,880 indiquant une asymétrie à gauche : la majorité des séances se sont déroulées au-dessus de la moyenne, mais quelques journées de forte baisse ont tiré la moyenne vers le bas. Le mode à 23 000 FCFA, proche du cours actuel, confirme que ce niveau de prix a été fréquemment testé. L'écart-type de 2 688 FCFA avec un coefficient de variation de 12,7% indique une dispersion modérée autour de la moyenne, tandis que le kurtosis de 0,233 (mésokurtique) suggère une distribution proche de la normale, sans risque excessif de pics extrêmes. La volatilité annualisée de 41,6% classe le titre dans la catégorie des valeurs à volatilité élevée (&gt;30%), ce qui implique un risque de marché significatif mais aussi des opportunités de trading.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(23 309,75 FCFA) et la MM50 (23 233,80 FCFA) sont toutes deux supérieures au cours actuel de 22 000 FCFA, ce qui place le titre en dessous de ses moyennes à court et moyen terme. Cependant, la proximité des deux moyennes (écart de seulement 76 FCFA) indique une absence de tendance directionnelle claire, et la décision "Achat" suggérée par l'indicateur repose probablement sur le croisement haussier potentiel ou sur la dynamique de fond. Le cours évoluant sous ces moyennes, une cassure au-dessus de 23 300 FCFA serait nécessaire pour confirmer un retournement haussier durable.</w:t>
      </w:r>
    </w:p>
    <w:p>
      <w:pPr>
        <w:spacing w:after="120" w:line="276" w:lineRule="auto"/>
      </w:pPr>
      <w:r>
        <w:t>**Bandes de Bollinger** : Le cours actuel (22 000 FCFA) se situe dans la partie inférieure de la bande de Bollinger, entre la borne inférieure (20 712,14 FCFA) et la borne supérieure (25 907,36 FCFA). Cette position médiane-basse, avec une largeur de bande d'environ 5 195 FCFA, reflète une volatilité élevée mais sans signal de survente extrême. La décision "Neutre" est cohérente : le titre n'est ni en zone d'achat agressive (proche de la borne inférieure) ni en zone de vente (proche de la borne supérieure).</w:t>
      </w:r>
    </w:p>
    <w:p>
      <w:pPr>
        <w:spacing w:after="120" w:line="276" w:lineRule="auto"/>
      </w:pPr>
      <w:r>
        <w:t>**MACD** : La valeur du MACD (-412,53) est inférieure à son signal (-165,08), confirmant une configuration baissière avec un momentum négatif. L'écart entre les deux lignes s'est creusé, ce qui indique une pression vendeuse persistante à court terme. La décision "Vente" est justifiée par cette divergence négative, bien que l'amplitude reste modérée et puisse se retourner rapidement si le cours rebondit.</w:t>
      </w:r>
    </w:p>
    <w:p>
      <w:pPr>
        <w:spacing w:after="120" w:line="276" w:lineRule="auto"/>
      </w:pPr>
      <w:r>
        <w:t>**RSI** : Le RSI à 33,74 se situe dans la zone neutre basse, proche du seuil de survente (30), sans l'atteindre. Cela suggère que le titre n'est pas encore techniquement survendu, mais que la pression baissière récente a ramené le momentum à un niveau proche d'un point de retournement potentiel. La décision "Neutre" est appropriée, car un RSI sous 30 déclencherait un signal d'achat contrarien.</w:t>
      </w:r>
    </w:p>
    <w:p>
      <w:pPr>
        <w:spacing w:after="120" w:line="276" w:lineRule="auto"/>
      </w:pPr>
      <w:r>
        <w:t>**Stochastique** : Le %K (32,11) est supérieur au %D (23,08), ce qui indique un croisement haussier naissant, bien que les deux valeurs restent en zone basse. Cette configuration suggère que la pression vendeuse commence à s'essouffler et qu'un rebond technique pourrait se matérialiser à court terme. La décision "Neutre" reflète cette ambiguïté entre un signal de retournement potentiel et la faiblesse persistante du momentum.</w:t>
      </w:r>
    </w:p>
    <w:p>
      <w:pPr>
        <w:spacing w:after="120" w:line="276" w:lineRule="auto"/>
      </w:pPr>
      <w:r>
        <w:t>**Conclusion technique** : Les indicateurs techniques présentent un tableau mitigé. Les moyennes mobiles et le MACD sont baissiers, tandis que le RSI et le stochastique suggèrent un possible épuisement de la baisse. Le cours évolue sous ses moyennes mais au-dessus de la borne inférieure de Bollinger, dans un contexte de volatilité élevée. La convergence des signaux neutres (Bollinger, RSI, Stochastique) et baissiers (MACD, MM) plaide pour une prudence à court terme, avec une attente de confirmation d'un retournement haussier au-dessus de 23 300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NSIA Banque Côte d'Ivoire a réalisé un Produit Net Bancaire (PNB) de 112,928 milliards FCFA, en croissance de 15,45% par rapport à 2024, porté par une marge d'intérêt en hausse de 26% et une bonne dynamique commerciale. Le résultat net s'établit à 40,712 milliards FCFA, en progression de 7% sur un an, avec une marge nette de 36,05% et un ROE de 17,45%, confirmant la rentabilité élevée de la banque. Le coefficient d'exploitation de 54,59% (contre 59,9% au S1 2024) témoigne d'une efficacité opérationnelle en amélioration, bien en dessous du seuil de 60% qui distingue les banques performantes. Le total du bilan a bondi de 22% à 3 073 milliards FCFA, porté par une collecte de dépôts clientèle de 2 242 milliards FCFA (+32%) et des créances clientèle de 1 818,7 milliards FCFA (+18%), traduisant une transformation solide des ressources en crédits. Cependant, le coût du risque s'est fortement dégradé, passant d'un produit de +0,6 milliard FCFA en 2024 à une charge de -8,5 milliards FCFA en 2025, ce qui a pesé sur la croissance du résultat net malgré la bonne performance opérationnelle. Le ratio de solvabilité générale de 108,22% et l'autonomie financière de 7,59% (capitaux propres/total bilan) restent corrects pour une banque, mais la dépendance financière de 92,41% est structurelle au secteur. Sur la base du rapport T1 2026 (publié en 2026), le PNB a progressé de 28% à 28,6 milliards FCFA et le résultat net de 53% à 10,9 milliards FCFA, avec une marge nette de 38,1%, ce qui suggère que l'exercice 2026 devrait afficher une accélération de la rentabilité, portée par l'activité titres et la maîtrise du coût du risque. Les perspectives 2026 sont favorables, avec un alignement sur le Plan National de Développement (PND 2026-2030) et des initiatives dans la digitalisation et la finance durable. La recommandation fondamentale est de **CONSERVER** la valeur, en surveillant l'évolution du coût du risque et la concentration des revenus sur l'activité titres, tout en reconnaissant la solidité du modèle et la croissance soutenue.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NSBC apparaît modérément exigeante : le PER de 13,4x se situe au-dessus de la moyenne du marché BRVM, le P/B de 2,33x intègre une prime de croissance justifiée par un ROE de 17,45%, mais l'EV/EBITDA de 21,0x laisse peu de marge d'erreur. Le comportement du cours sur 100 jours est haussier (+57,03%) avec une volatilité élevée (41,6%) et une asymétrie négative (skewness -0,880) indiquant que les baisses, bien que moins fréquentes, ont été marquées, ce qui appelle à la prudence. Les signaux techniques sont mitigés : les moyennes mobiles et le MACD sont baissiers, tandis que le RSI (33,74) et le stochastique (%K &gt; %D) suggèrent un possible épuisement de la baisse, mais sans confirmation. Les fondamentaux sont solides : PNB en croissance de 15,45% en 2025, résultat net de 40,7 milliards FCFA, ROE de 17,45%, coefficient d'exploitation de 54,59%, et les estimations basées sur le T1 2026 (PNB +28%, résultat net +53%) indiquent une accélération de la rentabilité. Les prédictions IA pour les 10 prochains jours (21 288 FCFA à 20 377 FCFA) anticipent une poursuite de la correction baissière à court terme, ce qui contredit les signaux de retournement potentiel du RSI et du stochastique. Sur la base de cette synthèse, la recommandation finale est **CONSERVER** : la valorisation et les fondamentaux justifient une position, mais les signaux techniques baissiers et les prédictions IA négatives à court terme incitent à ne pas renforcer immédiatement. Le niveau de confiance est **Moyen**, car les indicateurs sont divergents, et le niveau de risque global est **Élevé** en raison de la volatilité du titre et de la dégradation du coût du risque. L'horizon d'investissement optimal est **moyen terme (3-12 mois)**, en attendant la confirmation des résultats semestriels 2026 et une stabilisation technique au-dessus de 23 300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328.85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1,287 titres</w:t>
            </w:r>
          </w:p>
        </w:tc>
        <w:tc>
          <w:tcPr>
            <w:tcW w:type="dxa" w:w="2268"/>
            <w:shd w:fill="FFF2CC" w:val="clear"/>
          </w:tcPr>
          <w:p>
            <w:r>
              <w:rPr>
                <w:b/>
                <w:color w:val="503200"/>
                <w:sz w:val="16"/>
              </w:rPr>
              <w:t xml:space="preserve">Cours actuel : </w:t>
            </w:r>
            <w:r>
              <w:rPr>
                <w:color w:val="000000"/>
                <w:sz w:val="17"/>
              </w:rPr>
              <w:t>14,900 FCFA</w:t>
            </w:r>
          </w:p>
          <w:p>
            <w:r>
              <w:rPr>
                <w:b/>
                <w:color w:val="503200"/>
                <w:sz w:val="16"/>
              </w:rPr>
              <w:t xml:space="preserve">Var. 100 jours : </w:t>
            </w:r>
            <w:r>
              <w:rPr>
                <w:b/>
                <w:color w:val="007800"/>
                <w:sz w:val="17"/>
              </w:rPr>
              <w:t>+27.90%</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10.77% (Moyenne) — μ=15,415 FCFA, σ=1,660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β=0.5805 (Défensif) — Cov=0.000039, Var(idx)=0.000068, ρ=0.204,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14,084</w:t>
            </w:r>
          </w:p>
        </w:tc>
        <w:tc>
          <w:tcPr>
            <w:tcW w:type="dxa" w:w="1440"/>
            <w:shd w:fill="FAFAFA" w:val="clear"/>
          </w:tcPr>
          <w:p>
            <w:r>
              <w:rPr>
                <w:b/>
                <w:sz w:val="17"/>
              </w:rPr>
              <w:t>15,109</w:t>
            </w:r>
          </w:p>
        </w:tc>
        <w:tc>
          <w:tcPr>
            <w:tcW w:type="dxa" w:w="1440"/>
            <w:shd w:fill="FAFAFA" w:val="clear"/>
          </w:tcPr>
          <w:p>
            <w:r>
              <w:rPr>
                <w:sz w:val="17"/>
              </w:rPr>
              <w:t>16,135</w:t>
            </w:r>
          </w:p>
        </w:tc>
        <w:tc>
          <w:tcPr>
            <w:tcW w:type="dxa" w:w="1440"/>
            <w:shd w:fill="FAFAFA" w:val="clear"/>
          </w:tcPr>
          <w:p>
            <w:r>
              <w:rPr>
                <w:b/>
                <w:color w:val="008000"/>
                <w:sz w:val="17"/>
              </w:rPr>
              <w:t>+1.4%</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13,845</w:t>
            </w:r>
          </w:p>
        </w:tc>
        <w:tc>
          <w:tcPr>
            <w:tcW w:type="dxa" w:w="1440"/>
            <w:shd w:fill="FAFAFA" w:val="clear"/>
          </w:tcPr>
          <w:p>
            <w:r>
              <w:rPr>
                <w:b/>
                <w:sz w:val="17"/>
              </w:rPr>
              <w:t>15,100</w:t>
            </w:r>
          </w:p>
        </w:tc>
        <w:tc>
          <w:tcPr>
            <w:tcW w:type="dxa" w:w="1440"/>
            <w:shd w:fill="FAFAFA" w:val="clear"/>
          </w:tcPr>
          <w:p>
            <w:r>
              <w:rPr>
                <w:sz w:val="17"/>
              </w:rPr>
              <w:t>16,356</w:t>
            </w:r>
          </w:p>
        </w:tc>
        <w:tc>
          <w:tcPr>
            <w:tcW w:type="dxa" w:w="1440"/>
            <w:shd w:fill="FAFAFA" w:val="clear"/>
          </w:tcPr>
          <w:p>
            <w:r>
              <w:rPr>
                <w:b/>
                <w:color w:val="008000"/>
                <w:sz w:val="17"/>
              </w:rPr>
              <w:t>+1.3%</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13,648</w:t>
            </w:r>
          </w:p>
        </w:tc>
        <w:tc>
          <w:tcPr>
            <w:tcW w:type="dxa" w:w="1440"/>
            <w:shd w:fill="FAFAFA" w:val="clear"/>
          </w:tcPr>
          <w:p>
            <w:r>
              <w:rPr>
                <w:b/>
                <w:sz w:val="17"/>
              </w:rPr>
              <w:t>15,097</w:t>
            </w:r>
          </w:p>
        </w:tc>
        <w:tc>
          <w:tcPr>
            <w:tcW w:type="dxa" w:w="1440"/>
            <w:shd w:fill="FAFAFA" w:val="clear"/>
          </w:tcPr>
          <w:p>
            <w:r>
              <w:rPr>
                <w:sz w:val="17"/>
              </w:rPr>
              <w:t>16,546</w:t>
            </w:r>
          </w:p>
        </w:tc>
        <w:tc>
          <w:tcPr>
            <w:tcW w:type="dxa" w:w="1440"/>
            <w:shd w:fill="FAFAFA" w:val="clear"/>
          </w:tcPr>
          <w:p>
            <w:r>
              <w:rPr>
                <w:b/>
                <w:color w:val="008000"/>
                <w:sz w:val="17"/>
              </w:rPr>
              <w:t>+1.3%</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13,475</w:t>
            </w:r>
          </w:p>
        </w:tc>
        <w:tc>
          <w:tcPr>
            <w:tcW w:type="dxa" w:w="1440"/>
            <w:shd w:fill="FAFAFA" w:val="clear"/>
          </w:tcPr>
          <w:p>
            <w:r>
              <w:rPr>
                <w:b/>
                <w:sz w:val="17"/>
              </w:rPr>
              <w:t>15,095</w:t>
            </w:r>
          </w:p>
        </w:tc>
        <w:tc>
          <w:tcPr>
            <w:tcW w:type="dxa" w:w="1440"/>
            <w:shd w:fill="FAFAFA" w:val="clear"/>
          </w:tcPr>
          <w:p>
            <w:r>
              <w:rPr>
                <w:sz w:val="17"/>
              </w:rPr>
              <w:t>16,715</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13,318</w:t>
            </w:r>
          </w:p>
        </w:tc>
        <w:tc>
          <w:tcPr>
            <w:tcW w:type="dxa" w:w="1440"/>
            <w:shd w:fill="FAFAFA" w:val="clear"/>
          </w:tcPr>
          <w:p>
            <w:r>
              <w:rPr>
                <w:b/>
                <w:sz w:val="17"/>
              </w:rPr>
              <w:t>15,092</w:t>
            </w:r>
          </w:p>
        </w:tc>
        <w:tc>
          <w:tcPr>
            <w:tcW w:type="dxa" w:w="1440"/>
            <w:shd w:fill="FAFAFA" w:val="clear"/>
          </w:tcPr>
          <w:p>
            <w:r>
              <w:rPr>
                <w:sz w:val="17"/>
              </w:rPr>
              <w:t>16,866</w:t>
            </w:r>
          </w:p>
        </w:tc>
        <w:tc>
          <w:tcPr>
            <w:tcW w:type="dxa" w:w="1440"/>
            <w:shd w:fill="FAFAFA" w:val="clear"/>
          </w:tcPr>
          <w:p>
            <w:r>
              <w:rPr>
                <w:b/>
                <w:color w:val="008000"/>
                <w:sz w:val="17"/>
              </w:rPr>
              <w:t>+1.3%</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13,172</w:t>
            </w:r>
          </w:p>
        </w:tc>
        <w:tc>
          <w:tcPr>
            <w:tcW w:type="dxa" w:w="1440"/>
            <w:shd w:fill="FAFAFA" w:val="clear"/>
          </w:tcPr>
          <w:p>
            <w:r>
              <w:rPr>
                <w:b/>
                <w:sz w:val="17"/>
              </w:rPr>
              <w:t>15,088</w:t>
            </w:r>
          </w:p>
        </w:tc>
        <w:tc>
          <w:tcPr>
            <w:tcW w:type="dxa" w:w="1440"/>
            <w:shd w:fill="FAFAFA" w:val="clear"/>
          </w:tcPr>
          <w:p>
            <w:r>
              <w:rPr>
                <w:sz w:val="17"/>
              </w:rPr>
              <w:t>17,004</w:t>
            </w:r>
          </w:p>
        </w:tc>
        <w:tc>
          <w:tcPr>
            <w:tcW w:type="dxa" w:w="1440"/>
            <w:shd w:fill="FAFAFA" w:val="clear"/>
          </w:tcPr>
          <w:p>
            <w:r>
              <w:rPr>
                <w:b/>
                <w:color w:val="008000"/>
                <w:sz w:val="17"/>
              </w:rPr>
              <w:t>+1.3%</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13,037</w:t>
            </w:r>
          </w:p>
        </w:tc>
        <w:tc>
          <w:tcPr>
            <w:tcW w:type="dxa" w:w="1440"/>
            <w:shd w:fill="FAFAFA" w:val="clear"/>
          </w:tcPr>
          <w:p>
            <w:r>
              <w:rPr>
                <w:b/>
                <w:sz w:val="17"/>
              </w:rPr>
              <w:t>15,085</w:t>
            </w:r>
          </w:p>
        </w:tc>
        <w:tc>
          <w:tcPr>
            <w:tcW w:type="dxa" w:w="1440"/>
            <w:shd w:fill="FAFAFA" w:val="clear"/>
          </w:tcPr>
          <w:p>
            <w:r>
              <w:rPr>
                <w:sz w:val="17"/>
              </w:rPr>
              <w:t>17,132</w:t>
            </w:r>
          </w:p>
        </w:tc>
        <w:tc>
          <w:tcPr>
            <w:tcW w:type="dxa" w:w="1440"/>
            <w:shd w:fill="FAFAFA" w:val="clear"/>
          </w:tcPr>
          <w:p>
            <w:r>
              <w:rPr>
                <w:b/>
                <w:color w:val="008000"/>
                <w:sz w:val="17"/>
              </w:rPr>
              <w:t>+1.2%</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12,910</w:t>
            </w:r>
          </w:p>
        </w:tc>
        <w:tc>
          <w:tcPr>
            <w:tcW w:type="dxa" w:w="1440"/>
            <w:shd w:fill="FAFAFA" w:val="clear"/>
          </w:tcPr>
          <w:p>
            <w:r>
              <w:rPr>
                <w:b/>
                <w:sz w:val="17"/>
              </w:rPr>
              <w:t>15,081</w:t>
            </w:r>
          </w:p>
        </w:tc>
        <w:tc>
          <w:tcPr>
            <w:tcW w:type="dxa" w:w="1440"/>
            <w:shd w:fill="FAFAFA" w:val="clear"/>
          </w:tcPr>
          <w:p>
            <w:r>
              <w:rPr>
                <w:sz w:val="17"/>
              </w:rPr>
              <w:t>17,252</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12,789</w:t>
            </w:r>
          </w:p>
        </w:tc>
        <w:tc>
          <w:tcPr>
            <w:tcW w:type="dxa" w:w="1440"/>
            <w:shd w:fill="FAFAFA" w:val="clear"/>
          </w:tcPr>
          <w:p>
            <w:r>
              <w:rPr>
                <w:b/>
                <w:sz w:val="17"/>
              </w:rPr>
              <w:t>15,077</w:t>
            </w:r>
          </w:p>
        </w:tc>
        <w:tc>
          <w:tcPr>
            <w:tcW w:type="dxa" w:w="1440"/>
            <w:shd w:fill="FAFAFA" w:val="clear"/>
          </w:tcPr>
          <w:p>
            <w:r>
              <w:rPr>
                <w:sz w:val="17"/>
              </w:rPr>
              <w:t>17,366</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NESTLÉ CÔTE D'IVOIRE (NTLC)</w:t>
        <w:br/>
        <w:t>**Bourse Régionale des Valeurs Mobilières (BRVM) — Secteur : Entreprise (Agroalimentaire)**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328,85 milliards FCFA, Nestlé Côte d'Ivoire s'impose comme l'une des valeurs phares de la cote BRVM, figurant parmi les plus grandes capitalisations du compartiment agroalimentaire. Le BPA de 835 FCFA/action signifie que chaque titre génère près de 835 FCFA de bénéfice net, ce qui, rapporté au cours actuel de 14 900 FCFA, donne un PER de 17,8x — soit un niveau modéré mais supérieur à la moyenne du marché BRVM (généralement située entre 8x et 12x), traduisant une prime de qualité consentie par les investisseurs pour cette valeur défensive. Le P/B de 11,11x, très supérieur au seuil de 4x, indique que le marché valorise l'entreprise à plus de onze fois sa valeur comptable, ce qui reflète la forte intensité capitalistique du modèle Nestlé (marques, savoir-faire, rentabilité des fonds propres) mais expose le titre à un risque de correction en cas de déception sur les résultats. Enfin, l'EV/EBITDA de 9,0x, dans la fourchette raisonnable de 5-10x, suggère que la valeur totale de l'entreprise (dette incluse) reste cohérente avec sa capacité opérationnelle de génération de cash-flow, offrant un point d'ancrage rassurant face aux deux premiers ratios plus exigeants.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affiche une performance remarquable de **+27,90%**, malgré un léger repli de **-0,67%** lors de la dernière séance (J-1), signe d'une consolidation technique après un rallye haussier. Le titre a évolué dans un range large de **11 150 FCFA** (plus bas) à **18 000 FCFA** (plus haut), soit une amplitude de près de 61%, avant de se stabiliser autour du cours actuel de **14 900 FCFA**, situé en milieu de fourchette. La tendance générale reste donc haussière sur la période, portée par la dynamique fondamentale positive (croissance du CA et du résultat net au T1 2026), mais le repli récent depuis les sommets traduit une prise de bénéfices. Les statistiques descriptives révèlent une **moyenne de 15 415 FCFA** légèrement inférieure à la **médiane de 15 995 FCFA**, avec un **mode à 16 900 FCFA** : cet écart confirme une distribution asymétrique où le cours a passé plus de temps au-dessus de sa moyenne, cohérent avec le **skewness négatif de -0,990** (asymétrie à gauche, plus de journées au-dessus de la moyenne). L'**écart-type de 1 668 FCFA** et le **coefficient de variation de 10,8%** indiquent une dispersion modérée du cours autour de sa tendance, tandis que le **kurtosis de -0,046** (mésokurtique) suggère une distribution proche de la normale, sans risque excessif de pics extrêmes. Enfin, la **volatilité annualisée de 37,2%** classe le titre dans la catégorie des valeurs à volatilité élevée (&gt;30%), ce qui implique un potentiel de gain attractif mais aussi un risque de drawdown significatif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(16 017,25 FCFA) et la MM50 (16 459,5 FCFA) sont toutes deux nettement supérieures au cours actuel de 14 900 FCFA, ce qui place le titre en position baissière à court et moyen terme. La MM20 étant elle-même inférieure à la MM50, on observe un croisement baissier (death cross) confirmant la pression vendeuse ; la décision technique qui en résulte est donc **Vente**.</w:t>
      </w:r>
    </w:p>
    <w:p>
      <w:pPr>
        <w:spacing w:after="120" w:line="276" w:lineRule="auto"/>
      </w:pPr>
      <w:r>
        <w:t>**Bandes de Bollinger** : Le cours actuel (14 900 FCFA) se situe dans la partie basse de la bande, entre la borne inférieure (14 082,41 FCFA) et la borne supérieure (17 952,09 FCFA), sans franchir aucun extrême. Cette position médiane-basse, dans un contexte de bandes relativement larges, traduit une volatilité encore présente mais sans signal directionnel fort ; la décision est donc **Neutre**, invitant à attendre une cassure pour agir.</w:t>
      </w:r>
    </w:p>
    <w:p>
      <w:pPr>
        <w:spacing w:after="120" w:line="276" w:lineRule="auto"/>
      </w:pPr>
      <w:r>
        <w:t>**MACD** : La valeur du MACD (-464,013) est inférieure à son signal (-360,207), avec un histogramme négatif, ce qui confirme un momentum baissier en cours. La divergence négative entre les deux lignes indique que la dynamique vendeuse reste dominante, justifiant la décision **Vente**.</w:t>
      </w:r>
    </w:p>
    <w:p>
      <w:pPr>
        <w:spacing w:after="120" w:line="276" w:lineRule="auto"/>
      </w:pPr>
      <w:r>
        <w:t>**RSI** : À **23,684**, le RSI se situe largement en zone de survente (seuil &lt;30), signalant que le titre a été excessivement vendu à court terme et qu'un rebond technique est probable. Cette configuration justifie la décision **Achat** (contrarienne) des indicateurs de momentum.</w:t>
      </w:r>
    </w:p>
    <w:p>
      <w:pPr>
        <w:spacing w:after="120" w:line="276" w:lineRule="auto"/>
      </w:pPr>
      <w:r>
        <w:t>**Stochastique** : Le %K (16,667) est inférieur au %D (25,0), les deux se situant en zone de survente (&lt;20 pour le %K). Bien que le croisement ne soit pas encore haussier, la position extrême de ces indicateurs suggère une proximité d'un point de retournement, justifiant la décision **Achat**.</w:t>
      </w:r>
    </w:p>
    <w:p>
      <w:pPr>
        <w:spacing w:after="120" w:line="276" w:lineRule="auto"/>
      </w:pPr>
      <w:r>
        <w:t>**Conclusion technique** : Les indicateurs présentent une divergence classique : les moyennes mobiles et le MACD confirment une tendance baissière de fond, tandis que le RSI et le stochastique signalent une survente extrême propice à un rebond technique à court terme. Les bandes de Bollinger, en position neutre, n'apportent pas de confirmation directionnelle. La convergence des signaux de survente (RSI + stochastique) plaide pour un rebond à court terme, mais la prudence reste de mise tant que le cours n'aura pas reconquis la MM20 (16 017 FCFA).</w:t>
      </w:r>
    </w:p>
    <w:p>
      <w:pPr>
        <w:spacing w:after="120" w:line="276" w:lineRule="auto"/>
      </w:pPr>
      <w:r>
        <w:t>---</w:t>
      </w:r>
    </w:p>
    <w:p>
      <w:pPr>
        <w:spacing w:after="120" w:line="276" w:lineRule="auto"/>
      </w:pPr>
      <w:r>
        <w:t>## PARTIE 3 : ANALYSE FONDAMENTALE</w:t>
      </w:r>
    </w:p>
    <w:p>
      <w:pPr>
        <w:spacing w:after="120" w:line="276" w:lineRule="auto"/>
      </w:pPr>
      <w:r>
        <w:t>**Données structurées (états financiers annuels 2025)** : En 2025, Nestlé Côte d'Ivoire a réalisé un chiffre d'affaires de **233,261 milliards FCFA**, en croissance de **+5,97%** par rapport à 2024, portée par les ventes de produits fabriqués (+6,3%) et de marchandises (+4%). Le résultat net s'établit à **18,427 milliards FCFA**, en légère hausse de **+1,53%**, avec une marge nette stable à **7,90%**. La rentabilité des fonds propres (ROE) atteint un niveau exceptionnel de **62,28%**, bien supérieur au seuil de 15% considéré comme excellent, tandis que le ROA de **9,70%** reflète une bonne efficacité dans l'utilisation des actifs. La rotation des actifs de **122,80%** (CA/Total Actif) témoigne d'une forte intensité commerciale. **Adapté au secteur Entreprise** : le BFR s'élève à **22,625 milliards FCFA** (positif, donc défavorable), avec un délai client de **74,30 jours** (élevé, signalant un risque de trésorerie) et une durée de stockage de **59,39 jours** (immobilisation de capital notable). La trésorerie nette est négative à **-46,831 milliards FCFA**, et l'autonomie financière de **15,58%** est inférieure au seuil sain de 30%, traduisant une dépendance financière élevée (84,42%) et un ratio d'endettement de **135,85%**. **Estimations basées sur les rapports trimestriels** : le rapport du **T1 2026 (arrêté au 31 mars 2026)** fait état d'un chiffre d'affaires de **70,822 milliards FCFA**, en bond de **+31%** sur un an, et d'un résultat net de **7,526 milliards FCFA** (+37%), avec une marge nette améliorée à **10,6%**. Sur cette base, on peut estimer que l'exercice 2026 devrait afficher une accélération de la croissance (probablement +15% à +20% sur l'année) et une amélioration de la rentabilité nette, sous réserve que la pression sur les coûts des matières premières reste maîtrisée. Le rapport annuel 2025 (publié en 2026) confirme par ailleurs une politique de dividende plus conservatrice (9,27 milliards FCFA distribués, soit un payout de 50,3% contre 99,7% en 2024), signalant une stratégie de réinvestissement pour financer la croissance future. **Recommandation fondamentale** : la solidité du modèle Nestlé (marque, rentabilité, croissance) est indéniable, mais les risques liés à l'endettement élevé, au BFR positif et à la dépendance aux matières premières incitent à une certaine prudence. La dynamique du T1 2026 est très encourageante et pourrait justifier une revalorisation du titre à moyen terme.</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présente un profil mitigé — le PER de 17,8x est modéré mais supérieur à la moyenne du marché, le P/B de 11,11x est très exigeant, tandis que l'EV/EBITDA de 9,0x reste raisonnable. Le comportement du cours (Partie 1) affiche une tendance haussière sur 100 jours (+27,90%) avec une volatilité élevée (37,2%) et une asymétrie négative (skewness -0,990) indiquant que le titre a passé plus de temps au-dessus de sa moyenne, mais le repli récent de -0,67% et la position en milieu de range suggèrent une consolidation. Les signaux techniques (Partie 2) sont divergents : les moyennes mobiles et le MACD sont baissiers, mais le RSI (23,68) et le stochastique (16,67) sont en survente extrême, plaidant pour un rebond à court terme. Les fondamentaux (Partie 3) sont solides : croissance du CA (+5,97% en 2025), ROE exceptionnel (62,28%), et accélération confirmée au T1 2026 (+31% de CA, +37% de résultat net), bien que l'endettement et le BFR positif constituent des points de vigilance. Les **prédictions IA** (J+1 à J+10) tablent sur une stabilisation autour de 15 100 FCFA, en légère hausse par rapport au cours actuel (14 900 FCFA), ce qui confirme la thèse d'un rebond technique modéré sans emballement. **Recommandation finale : CONSERVER** — La convergence entre la survente technique, la solidité fondamentale et les prédictions IA stabilisatrices plaide pour une position d'attente, avec un potentiel de rebond à court terme mais des risques de correction persistants liés à la valorisation exigeante (P/B) et à l'endettement. **Niveau de confiance : Moyen** (les signaux techniques contradictoires et la valorisation tendue limitent la visibilité). **Niveau de risque global : Moyen à Élevé** (volatilité annualisée de 37,2%, endettement élevé, dépendance aux matières premières). **Horizon d'investissement optimal : Moyen terme (3-12 mois)**, le temps que la dynamique du T1 2026 se confirme sur les trimestres suivants et que le cours reconquière ses moyennes mobiles.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199.58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5,504 titres</w:t>
            </w:r>
          </w:p>
        </w:tc>
        <w:tc>
          <w:tcPr>
            <w:tcW w:type="dxa" w:w="2268"/>
            <w:shd w:fill="FFF2CC" w:val="clear"/>
          </w:tcPr>
          <w:p>
            <w:r>
              <w:rPr>
                <w:b/>
                <w:color w:val="503200"/>
                <w:sz w:val="16"/>
              </w:rPr>
              <w:t xml:space="preserve">Cours actuel : </w:t>
            </w:r>
            <w:r>
              <w:rPr>
                <w:color w:val="000000"/>
                <w:sz w:val="17"/>
              </w:rPr>
              <w:t>2,935 FCFA</w:t>
            </w:r>
          </w:p>
          <w:p>
            <w:r>
              <w:rPr>
                <w:b/>
                <w:color w:val="503200"/>
                <w:sz w:val="16"/>
              </w:rPr>
              <w:t xml:space="preserve">Var. 100 jours : </w:t>
            </w:r>
            <w:r>
              <w:rPr>
                <w:b/>
                <w:color w:val="007800"/>
                <w:sz w:val="17"/>
              </w:rPr>
              <w:t>+6.34%</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2.84% (Faible) — μ=2,849 FCFA, σ=81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β=0.5163 (Défensif) — Cov=0.000035, Var(idx)=0.000068, ρ=0.209,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σ_j=2.03%/j (Stable) — Vol. annualisée≈32.2%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2,778</w:t>
            </w:r>
          </w:p>
        </w:tc>
        <w:tc>
          <w:tcPr>
            <w:tcW w:type="dxa" w:w="1440"/>
            <w:shd w:fill="FAFAFA" w:val="clear"/>
          </w:tcPr>
          <w:p>
            <w:r>
              <w:rPr>
                <w:b/>
                <w:sz w:val="17"/>
              </w:rPr>
              <w:t>2,921</w:t>
            </w:r>
          </w:p>
        </w:tc>
        <w:tc>
          <w:tcPr>
            <w:tcW w:type="dxa" w:w="1440"/>
            <w:shd w:fill="FAFAFA" w:val="clear"/>
          </w:tcPr>
          <w:p>
            <w:r>
              <w:rPr>
                <w:sz w:val="17"/>
              </w:rPr>
              <w:t>3,063</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2,740</w:t>
            </w:r>
          </w:p>
        </w:tc>
        <w:tc>
          <w:tcPr>
            <w:tcW w:type="dxa" w:w="1440"/>
            <w:shd w:fill="FAFAFA" w:val="clear"/>
          </w:tcPr>
          <w:p>
            <w:r>
              <w:rPr>
                <w:b/>
                <w:sz w:val="17"/>
              </w:rPr>
              <w:t>2,914</w:t>
            </w:r>
          </w:p>
        </w:tc>
        <w:tc>
          <w:tcPr>
            <w:tcW w:type="dxa" w:w="1440"/>
            <w:shd w:fill="FAFAFA" w:val="clear"/>
          </w:tcPr>
          <w:p>
            <w:r>
              <w:rPr>
                <w:sz w:val="17"/>
              </w:rPr>
              <w:t>3,088</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2,706</w:t>
            </w:r>
          </w:p>
        </w:tc>
        <w:tc>
          <w:tcPr>
            <w:tcW w:type="dxa" w:w="1440"/>
            <w:shd w:fill="FAFAFA" w:val="clear"/>
          </w:tcPr>
          <w:p>
            <w:r>
              <w:rPr>
                <w:b/>
                <w:sz w:val="17"/>
              </w:rPr>
              <w:t>2,907</w:t>
            </w:r>
          </w:p>
        </w:tc>
        <w:tc>
          <w:tcPr>
            <w:tcW w:type="dxa" w:w="1440"/>
            <w:shd w:fill="FAFAFA" w:val="clear"/>
          </w:tcPr>
          <w:p>
            <w:r>
              <w:rPr>
                <w:sz w:val="17"/>
              </w:rPr>
              <w:t>3,107</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2,676</w:t>
            </w:r>
          </w:p>
        </w:tc>
        <w:tc>
          <w:tcPr>
            <w:tcW w:type="dxa" w:w="1440"/>
            <w:shd w:fill="FAFAFA" w:val="clear"/>
          </w:tcPr>
          <w:p>
            <w:r>
              <w:rPr>
                <w:b/>
                <w:sz w:val="17"/>
              </w:rPr>
              <w:t>2,900</w:t>
            </w:r>
          </w:p>
        </w:tc>
        <w:tc>
          <w:tcPr>
            <w:tcW w:type="dxa" w:w="1440"/>
            <w:shd w:fill="FAFAFA" w:val="clear"/>
          </w:tcPr>
          <w:p>
            <w:r>
              <w:rPr>
                <w:sz w:val="17"/>
              </w:rPr>
              <w:t>3,123</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2,649</w:t>
            </w:r>
          </w:p>
        </w:tc>
        <w:tc>
          <w:tcPr>
            <w:tcW w:type="dxa" w:w="1440"/>
            <w:shd w:fill="FAFAFA" w:val="clear"/>
          </w:tcPr>
          <w:p>
            <w:r>
              <w:rPr>
                <w:b/>
                <w:sz w:val="17"/>
              </w:rPr>
              <w:t>2,893</w:t>
            </w:r>
          </w:p>
        </w:tc>
        <w:tc>
          <w:tcPr>
            <w:tcW w:type="dxa" w:w="1440"/>
            <w:shd w:fill="FAFAFA" w:val="clear"/>
          </w:tcPr>
          <w:p>
            <w:r>
              <w:rPr>
                <w:sz w:val="17"/>
              </w:rPr>
              <w:t>3,137</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2,623</w:t>
            </w:r>
          </w:p>
        </w:tc>
        <w:tc>
          <w:tcPr>
            <w:tcW w:type="dxa" w:w="1440"/>
            <w:shd w:fill="FAFAFA" w:val="clear"/>
          </w:tcPr>
          <w:p>
            <w:r>
              <w:rPr>
                <w:b/>
                <w:sz w:val="17"/>
              </w:rPr>
              <w:t>2,887</w:t>
            </w:r>
          </w:p>
        </w:tc>
        <w:tc>
          <w:tcPr>
            <w:tcW w:type="dxa" w:w="1440"/>
            <w:shd w:fill="FAFAFA" w:val="clear"/>
          </w:tcPr>
          <w:p>
            <w:r>
              <w:rPr>
                <w:sz w:val="17"/>
              </w:rPr>
              <w:t>3,150</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2,599</w:t>
            </w:r>
          </w:p>
        </w:tc>
        <w:tc>
          <w:tcPr>
            <w:tcW w:type="dxa" w:w="1440"/>
            <w:shd w:fill="FAFAFA" w:val="clear"/>
          </w:tcPr>
          <w:p>
            <w:r>
              <w:rPr>
                <w:b/>
                <w:sz w:val="17"/>
              </w:rPr>
              <w:t>2,880</w:t>
            </w:r>
          </w:p>
        </w:tc>
        <w:tc>
          <w:tcPr>
            <w:tcW w:type="dxa" w:w="1440"/>
            <w:shd w:fill="FAFAFA" w:val="clear"/>
          </w:tcPr>
          <w:p>
            <w:r>
              <w:rPr>
                <w:sz w:val="17"/>
              </w:rPr>
              <w:t>3,161</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2,577</w:t>
            </w:r>
          </w:p>
        </w:tc>
        <w:tc>
          <w:tcPr>
            <w:tcW w:type="dxa" w:w="1440"/>
            <w:shd w:fill="FFDCE0" w:val="clear"/>
          </w:tcPr>
          <w:p>
            <w:r>
              <w:rPr>
                <w:b/>
                <w:sz w:val="17"/>
              </w:rPr>
              <w:t>2,874</w:t>
            </w:r>
          </w:p>
        </w:tc>
        <w:tc>
          <w:tcPr>
            <w:tcW w:type="dxa" w:w="1440"/>
            <w:shd w:fill="FFDCE0" w:val="clear"/>
          </w:tcPr>
          <w:p>
            <w:r>
              <w:rPr>
                <w:sz w:val="17"/>
              </w:rPr>
              <w:t>3,171</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2,555</w:t>
            </w:r>
          </w:p>
        </w:tc>
        <w:tc>
          <w:tcPr>
            <w:tcW w:type="dxa" w:w="1440"/>
            <w:shd w:fill="FFDCE0" w:val="clear"/>
          </w:tcPr>
          <w:p>
            <w:r>
              <w:rPr>
                <w:b/>
                <w:sz w:val="17"/>
              </w:rPr>
              <w:t>2,867</w:t>
            </w:r>
          </w:p>
        </w:tc>
        <w:tc>
          <w:tcPr>
            <w:tcW w:type="dxa" w:w="1440"/>
            <w:shd w:fill="FFDCE0" w:val="clear"/>
          </w:tcPr>
          <w:p>
            <w:r>
              <w:rPr>
                <w:sz w:val="17"/>
              </w:rPr>
              <w:t>3,180</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 Moov Africa Burkina Faso)**</w:t>
        <w:br/>
        <w:t>*Bourse Régionale des Valeurs Mobilières (BRVM) — Secteur : Télécommunications*</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199,58 milliards FCFA, ONTBF se positionne comme l'une des valeurs phares du compartiment télécoms de la BRVM, représentant un poids significatif dans l'indice composite. Le BPA de 234 FCFA par action indique que chaque titre génère un bénéfice net de 234 FCFA, ce qui, rapporté au cours actuel de 2 935 FCFA, donne un PER de 12,6x — un niveau modéré qui se situe dans la fourchette haute de la moyenne BRVM (8-12x), suggérant que le marché intègre déjà une prime de qualité sans pour autant surpayer excessivement les bénéfices. Le ratio P/B de 3,47x traduit une valorisation nettement supérieure à la valeur comptable (les capitaux propres par action ressortant à environ 846 FCFA), ce qui est caractéristique des sociétés à forte intensité capitalistique et à rentabilité élevée comme les opérateurs télécoms. Enfin, l'EV/EBITDA de 5,2x apparaît raisonnable dans la fourchette sectorielle (5-10x), indiquant que la valeur d'entreprise reste contenue par rapport à la capacité opérationnelle de génération de cash-flows.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ONTBF affiche une progression totale de +6,34%, bien que la dernière séance (J-1) ait enregistré un léger repli de -0,34%, signalant une prise de profit marginale après une phase de hausse. Le range de trading s'établit entre un plus bas de 2 675 FCFA et un plus haut de 3 070 FCFA, soit une amplitude de 395 FCFA (environ 14,8% du cours moyen), ce qui reflète une tendance globalement haussière mais ponctuée de corrections. Les statistiques descriptives révèlent une moyenne de 2 849 FCFA très proche de la médiane (2 852 FCFA), confirmant une distribution symétrique du cours sans biais directionnel marqué, tandis que le mode à 2 800 FCFA indique un niveau d'équilibre psychologique fréquemment testé. L'écart-type de 81 FCFA avec un coefficient de variation de seulement 2,9% témoigne d'une dispersion très faible du cours autour de sa moyenne, signe d'une certaine stabilité. Le kurtosis de -0,263 (mésokurtique) et le skewness de -0,055 (distribution symétrique) suggèrent l'absence de pics extrêmes ou d'asymétrie significative, réduisant le risque de mouvements erratiques. La volatilité annualisée de 32,2% classe le titre dans la catégorie des valeurs à volatilité élevée (&gt;30%), ce qui est cohérent avec les incertitudes opérationnelles et réglementaires pesant sur le secteur télécoms burkinabè.</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(2 891,5 FCFA) et la MM50 (2 884,3 FCFA) se situent toutes deux en dessous du cours actuel (2 935 FCFA), avec la MM20 légèrement au-dessus de la MM50, configurant un croisement haussier classique. Cette configuration en "golden cross" implicite soutient la décision d'ACHAT, le cours évoluant au-dessus de ses deux moyennes de référence.</w:t>
      </w:r>
    </w:p>
    <w:p>
      <w:pPr>
        <w:spacing w:after="120" w:line="276" w:lineRule="auto"/>
      </w:pPr>
      <w:r>
        <w:t>**Bandes de Bollinger** : Le cours actuel (2 935 FCFA) se positionne dans la partie supérieure de la bande, entre la borne inférieure (2 777,5 FCFA) et la borne supérieure (3 005,5 FCFA), sans toutefois la franchir. Cette position médiane-haute, avec un cours à environ 55% de la largeur de la bande, justifie la décision NEUTRE, le titre n'étant ni en zone de surachat extrême ni en zone de survente.</w:t>
      </w:r>
    </w:p>
    <w:p>
      <w:pPr>
        <w:spacing w:after="120" w:line="276" w:lineRule="auto"/>
      </w:pPr>
      <w:r>
        <w:t>**MACD** : La ligne MACD (15,221) se situe nettement au-dessus de sa ligne de signal (8,415), avec un histogramme positif d'environ 6,8 points, confirmant un momentum haussier en cours. Cette divergence positive soutient la décision d'ACHAT, le croisement MACD-Signal étant récent et orienté à la hausse.</w:t>
      </w:r>
    </w:p>
    <w:p>
      <w:pPr>
        <w:spacing w:after="120" w:line="276" w:lineRule="auto"/>
      </w:pPr>
      <w:r>
        <w:t>**RSI** : À 54,815, le RSI se situe dans la zone neutre (30-70), sans atteindre les seuils de surachat (70) ou de survente (30). Cette position équilibrée indique que le titre dispose encore d'un potentiel de hausse sans être techniquement épuisé, justifiant la décision NEUTRE.</w:t>
      </w:r>
    </w:p>
    <w:p>
      <w:pPr>
        <w:spacing w:after="120" w:line="276" w:lineRule="auto"/>
      </w:pPr>
      <w:r>
        <w:t>**Stochastique** : Le %K (72,917) et le %D (76,389) évoluent tous deux en zone haute, avec le %K légèrement en dessous du %D, suggérant un début de croisement baissier potentiel. Cette configuration en zone de surachat relatif (proche de 80) justifie la décision NEUTRE, le titre pouvant connaître une consolidation à court terme.</w:t>
      </w:r>
    </w:p>
    <w:p>
      <w:pPr>
        <w:spacing w:after="120" w:line="276" w:lineRule="auto"/>
      </w:pPr>
      <w:r>
        <w:t>**Conclusion technique** : Les indicateurs techniques présentent un tableau mitigé mais globalement constructif. Les moyennes mobiles et le MACD émettent des signaux d'achat clairs, tandis que le RSI et les bandes de Bollinger restent neutres, et le stochastique suggère une prudence à court terme. La convergence des signaux haussiers (MM, MACD) avec des indicateurs de momentum neutres (RSI, Bollinger) plaide pour une poursuite modérée de la tendance haussière, avec un potentiel de consolidation avant une nouvelle impulsion.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ONTBF (ONATEL-SA) a réalisé un chiffre d'affaires de 146,18 milliards FCFA, en progression de +3,1% par rapport à 2024 (141,84 milliards FCFA), porté par les segments porteurs que sont le FTTH (+33% de parc), l'Internet mobile (+5%) et le Mobile Money (+14%). Cependant, le résultat net a chuté de -26% à 15,89 milliards FCFA contre 21,47 milliards en 2024, sous l'effet conjugué de la hausse des charges opérationnelles (énergie, maintenance en zones sécuritaires), de charges exceptionnelles (indemnités de fin d'engagement, litiges sociaux) et d'une sanction réglementaire de 1,543 milliard FCFA de l'ARCEP. La rentabilité reste néanmoins solide avec un ROE de 27,61% (bien supérieur au seuil de 15% considéré comme excellent) et un ROA de 4,89%, tandis que la marge nette s'établit à 10,87% et la marge opérationnelle à 17,56%. Le coefficient d'exploitation de 67,07% (charges/PNB) reste supérieur au seuil de 60% recommandé pour une banque efficace, mais s'explique par la nature capitalistique du secteur télécoms. Le coût du risque, mesuré par le ratio provisions/charges financières de 3,57%, demeure contenu. La structure financière révèle une autonomie financière de 17,71% (inférieure au seuil de 30% considéré comme sain), un ratio d'endettement de 186,99% et une capacité de remboursement de 2,29 années de CAF, ce qui reste gérable mais mérite surveillance. Les délais d'exploitation montrent un délai client de 30,78 jours (maîtrisé) et un délai fournisseur de 130,73 jours (favorable à la trésorerie), tandis que la durée de stockage de 1 669 jours apparaît anormalement élevée et pourrait refléter des stocks de matériel réseau à rotation lente. Sur la base du rapport T1 2026 (publié en avril 2026), le chiffre d'affaires progresse de +2,7% à 37,1 milliards FCFA avec une marge EBITDA maintenue à 41,3%, mais le résultat net recule à 3,577 milliards FCFA (marge nette de 9,6%), confirmant la persistance de la pression sur les marges. On estime donc que l'exercice 2026 devrait voir une stabilisation de la croissance du chiffre d'affaires autour de 3%, avec un résultat net potentiellement en légère reprise si les actions d'optimisation des coûts annoncées portent leurs fruits, mais le maintien d'une pression baissière sur les marges reste le scénario central. La recommandation fondamentale est de CONSERVER le titre, la solidité des fondamentaux (croissance du CA, base clients de 12,6 millions, génération de cash-flow opérationnel de 68,5 milliards FCFA) étant tempérée par la dégradation de la rentabilité et les risques réglementaires et sécuritaires.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révèle un profil d'investissement contrasté mais globalement équilibré. Sur le plan de la valorisation (Partie 0), le PER de 12,6x et le P/B de 3,47x indiquent une valorisation modérée à légèrement élevée, sans excès manifeste, tandis que l'EV/EBITDA de 5,2x suggère une certaine sous-évaluation relative par rapport à la capacité opérationnelle. Le comportement du cours (Partie 1) affiche une tendance haussière sur 100 jours (+6,34%) avec une volatilité élevée (32,2%) mais des statistiques rassurantes (distribution symétrique, absence de pics extrêmes), ce qui est favorable pour les investisseurs recherchant une exposition modérée au risque. Les signaux techniques (Partie 2) sont majoritairement haussiers (MM, MACD) avec des indicateurs de momentum neutres (RSI, Bollinger, Stochastique), suggérant une poursuite de la tendance haussière à moyen terme. Les fondamentaux (Partie 3) demeurent solides malgré la baisse du résultat net en 2025, avec un ROE de 27,61%, une génération de cash-flow opérationnel de 68,5 milliards FCFA et une base clients en croissance, mais les perspectives 2026 restent incertaines avec une pression persistante sur les marges. Les prédictions IA pour les 10 prochains jours ouvrables (du 5 au 9 octobre 2026) anticipent une légère correction baissière de 2 921 FCFA à 2 893 FCFA, ce qui contredit partiellement les signaux techniques haussiers et suggère une consolidation à court terme. Sur la base de cette synthèse globale, la recommandation finale est de **CONSERVER** le titre, avec un niveau de confiance **Moyen** et un niveau de risque global **Moyen**. L'horizon d'investissement optimal est le **moyen terme (3-12 mois)**, le temps que les actions d'optimisation des coûts portent leurs fruits et que la trajectoire des marges se stabilise, avec un potentiel de revalorisation vers les 3 000-3 100 FCFA si les résultats 2026 confirment une amélioration de la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3284.29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3,471 titres</w:t>
            </w:r>
          </w:p>
        </w:tc>
        <w:tc>
          <w:tcPr>
            <w:tcW w:type="dxa" w:w="2268"/>
            <w:shd w:fill="FFF2CC" w:val="clear"/>
          </w:tcPr>
          <w:p>
            <w:r>
              <w:rPr>
                <w:b/>
                <w:color w:val="503200"/>
                <w:sz w:val="16"/>
              </w:rPr>
              <w:t xml:space="preserve">Cours actuel : </w:t>
            </w:r>
            <w:r>
              <w:rPr>
                <w:color w:val="000000"/>
                <w:sz w:val="17"/>
              </w:rPr>
              <w:t>21,800 FCFA</w:t>
            </w:r>
          </w:p>
          <w:p>
            <w:r>
              <w:rPr>
                <w:b/>
                <w:color w:val="503200"/>
                <w:sz w:val="16"/>
              </w:rPr>
              <w:t xml:space="preserve">Var. 100 jours : </w:t>
            </w:r>
            <w:r>
              <w:rPr>
                <w:b/>
                <w:color w:val="007800"/>
                <w:sz w:val="17"/>
              </w:rPr>
              <w:t>+46.11%</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14,920 FCFA</w:t>
            </w:r>
          </w:p>
          <w:p>
            <w:r>
              <w:rPr>
                <w:b/>
                <w:color w:val="503200"/>
                <w:sz w:val="16"/>
              </w:rPr>
              <w:t xml:space="preserve">Volatilité ann. : </w:t>
            </w:r>
            <w:r>
              <w:rPr>
                <w:color w:val="000000"/>
                <w:sz w:val="17"/>
              </w:rPr>
              <w:t>30.5%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13.77% (Moyenne) — μ=17,914 FCFA, σ=2,468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β=1.1994 (Neutre (suit le marché)) — Cov=0.000081, Var(idx)=0.000068, ρ=0.514,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3,471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20,414</w:t>
            </w:r>
          </w:p>
        </w:tc>
        <w:tc>
          <w:tcPr>
            <w:tcW w:type="dxa" w:w="1440"/>
            <w:shd w:fill="FAFAFA" w:val="clear"/>
          </w:tcPr>
          <w:p>
            <w:r>
              <w:rPr>
                <w:b/>
                <w:sz w:val="17"/>
              </w:rPr>
              <w:t>21,546</w:t>
            </w:r>
          </w:p>
        </w:tc>
        <w:tc>
          <w:tcPr>
            <w:tcW w:type="dxa" w:w="1440"/>
            <w:shd w:fill="FAFAFA" w:val="clear"/>
          </w:tcPr>
          <w:p>
            <w:r>
              <w:rPr>
                <w:sz w:val="17"/>
              </w:rPr>
              <w:t>22,678</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20,136</w:t>
            </w:r>
          </w:p>
        </w:tc>
        <w:tc>
          <w:tcPr>
            <w:tcW w:type="dxa" w:w="1440"/>
            <w:shd w:fill="FAFAFA" w:val="clear"/>
          </w:tcPr>
          <w:p>
            <w:r>
              <w:rPr>
                <w:b/>
                <w:sz w:val="17"/>
              </w:rPr>
              <w:t>21,521</w:t>
            </w:r>
          </w:p>
        </w:tc>
        <w:tc>
          <w:tcPr>
            <w:tcW w:type="dxa" w:w="1440"/>
            <w:shd w:fill="FAFAFA" w:val="clear"/>
          </w:tcPr>
          <w:p>
            <w:r>
              <w:rPr>
                <w:sz w:val="17"/>
              </w:rPr>
              <w:t>22,907</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19,897</w:t>
            </w:r>
          </w:p>
        </w:tc>
        <w:tc>
          <w:tcPr>
            <w:tcW w:type="dxa" w:w="1440"/>
            <w:shd w:fill="FAFAFA" w:val="clear"/>
          </w:tcPr>
          <w:p>
            <w:r>
              <w:rPr>
                <w:b/>
                <w:sz w:val="17"/>
              </w:rPr>
              <w:t>21,494</w:t>
            </w:r>
          </w:p>
        </w:tc>
        <w:tc>
          <w:tcPr>
            <w:tcW w:type="dxa" w:w="1440"/>
            <w:shd w:fill="FAFAFA" w:val="clear"/>
          </w:tcPr>
          <w:p>
            <w:r>
              <w:rPr>
                <w:sz w:val="17"/>
              </w:rPr>
              <w:t>23,092</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19,684</w:t>
            </w:r>
          </w:p>
        </w:tc>
        <w:tc>
          <w:tcPr>
            <w:tcW w:type="dxa" w:w="1440"/>
            <w:shd w:fill="FAFAFA" w:val="clear"/>
          </w:tcPr>
          <w:p>
            <w:r>
              <w:rPr>
                <w:b/>
                <w:sz w:val="17"/>
              </w:rPr>
              <w:t>21,468</w:t>
            </w:r>
          </w:p>
        </w:tc>
        <w:tc>
          <w:tcPr>
            <w:tcW w:type="dxa" w:w="1440"/>
            <w:shd w:fill="FAFAFA" w:val="clear"/>
          </w:tcPr>
          <w:p>
            <w:r>
              <w:rPr>
                <w:sz w:val="17"/>
              </w:rPr>
              <w:t>23,252</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19,491</w:t>
            </w:r>
          </w:p>
        </w:tc>
        <w:tc>
          <w:tcPr>
            <w:tcW w:type="dxa" w:w="1440"/>
            <w:shd w:fill="FAFAFA" w:val="clear"/>
          </w:tcPr>
          <w:p>
            <w:r>
              <w:rPr>
                <w:b/>
                <w:sz w:val="17"/>
              </w:rPr>
              <w:t>21,442</w:t>
            </w:r>
          </w:p>
        </w:tc>
        <w:tc>
          <w:tcPr>
            <w:tcW w:type="dxa" w:w="1440"/>
            <w:shd w:fill="FAFAFA" w:val="clear"/>
          </w:tcPr>
          <w:p>
            <w:r>
              <w:rPr>
                <w:sz w:val="17"/>
              </w:rPr>
              <w:t>23,394</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19,311</w:t>
            </w:r>
          </w:p>
        </w:tc>
        <w:tc>
          <w:tcPr>
            <w:tcW w:type="dxa" w:w="1440"/>
            <w:shd w:fill="FAFAFA" w:val="clear"/>
          </w:tcPr>
          <w:p>
            <w:r>
              <w:rPr>
                <w:b/>
                <w:sz w:val="17"/>
              </w:rPr>
              <w:t>21,417</w:t>
            </w:r>
          </w:p>
        </w:tc>
        <w:tc>
          <w:tcPr>
            <w:tcW w:type="dxa" w:w="1440"/>
            <w:shd w:fill="FAFAFA" w:val="clear"/>
          </w:tcPr>
          <w:p>
            <w:r>
              <w:rPr>
                <w:sz w:val="17"/>
              </w:rPr>
              <w:t>23,523</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19,144</w:t>
            </w:r>
          </w:p>
        </w:tc>
        <w:tc>
          <w:tcPr>
            <w:tcW w:type="dxa" w:w="1440"/>
            <w:shd w:fill="FAFAFA" w:val="clear"/>
          </w:tcPr>
          <w:p>
            <w:r>
              <w:rPr>
                <w:b/>
                <w:sz w:val="17"/>
              </w:rPr>
              <w:t>21,392</w:t>
            </w:r>
          </w:p>
        </w:tc>
        <w:tc>
          <w:tcPr>
            <w:tcW w:type="dxa" w:w="1440"/>
            <w:shd w:fill="FAFAFA" w:val="clear"/>
          </w:tcPr>
          <w:p>
            <w:r>
              <w:rPr>
                <w:sz w:val="17"/>
              </w:rPr>
              <w:t>23,641</w:t>
            </w:r>
          </w:p>
        </w:tc>
        <w:tc>
          <w:tcPr>
            <w:tcW w:type="dxa" w:w="1440"/>
            <w:shd w:fill="FAFAFA" w:val="clear"/>
          </w:tcPr>
          <w:p>
            <w:r>
              <w:rPr>
                <w:b/>
                <w:color w:val="C00000"/>
                <w:sz w:val="17"/>
              </w:rPr>
              <w:t>-1.9%</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18,986</w:t>
            </w:r>
          </w:p>
        </w:tc>
        <w:tc>
          <w:tcPr>
            <w:tcW w:type="dxa" w:w="1440"/>
            <w:shd w:fill="FAFAFA" w:val="clear"/>
          </w:tcPr>
          <w:p>
            <w:r>
              <w:rPr>
                <w:b/>
                <w:sz w:val="17"/>
              </w:rPr>
              <w:t>21,368</w:t>
            </w:r>
          </w:p>
        </w:tc>
        <w:tc>
          <w:tcPr>
            <w:tcW w:type="dxa" w:w="1440"/>
            <w:shd w:fill="FAFAFA" w:val="clear"/>
          </w:tcPr>
          <w:p>
            <w:r>
              <w:rPr>
                <w:sz w:val="17"/>
              </w:rPr>
              <w:t>23,750</w:t>
            </w:r>
          </w:p>
        </w:tc>
        <w:tc>
          <w:tcPr>
            <w:tcW w:type="dxa" w:w="1440"/>
            <w:shd w:fill="FAFAFA"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18,836</w:t>
            </w:r>
          </w:p>
        </w:tc>
        <w:tc>
          <w:tcPr>
            <w:tcW w:type="dxa" w:w="1440"/>
            <w:shd w:fill="FFDCE0" w:val="clear"/>
          </w:tcPr>
          <w:p>
            <w:r>
              <w:rPr>
                <w:b/>
                <w:sz w:val="17"/>
              </w:rPr>
              <w:t>21,344</w:t>
            </w:r>
          </w:p>
        </w:tc>
        <w:tc>
          <w:tcPr>
            <w:tcW w:type="dxa" w:w="1440"/>
            <w:shd w:fill="FFDCE0" w:val="clear"/>
          </w:tcPr>
          <w:p>
            <w:r>
              <w:rPr>
                <w:sz w:val="17"/>
              </w:rPr>
              <w:t>23,852</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ORANGE CÔTE D'IVOIRE (ORAC)**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3 284,29 milliards FCFA, ORAC s'impose comme l'une des toutes premières capitalisations de la BRVM, représentant une part significative de la capitalisation totale du marché régional. Le BPA de 1 114 FCFA/action signifie que chaque titre génère un bénéfice net de plus de mille francs, ce qui traduit la forte rentabilité de l'opérateur télécoms. Le PER de 19,6x est nettement supérieur à la moyenne du marché BRVM (généralement comprise entre 8 et 12x), ce qui indique que les investisseurs acceptent de payer une prime de qualité pour ce leader sectoriel, bien que cette valorisation soit modérée au regard des standards internationaux du secteur télécoms. Le P/B de 4,64x confirme cette prime : le marché valorise ORAC à plus de quatre fois sa valeur comptable, reflétant la confiance dans la capacité de l'entreprise à générer des bénéfices futurs bien au-delà de ses actifs nets. Enfin, l'EV/EBITDA de 7,8x, situé dans la fourchette raisonnable de 5-10x, suggère que la valeur totale de l'entreprise (dette incluse) reste cohérente avec sa capacité opérationnelle à générer des liquidités.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spectaculaire de +46,11%, avec une dernière séance en hausse de +1,40%, portant le cours actuel à 21 800 FCFA. Le titre a évolué dans un range de trading large, entre un plus bas de 14 920 FCFA et un plus haut de 22 500 FCFA, soit une amplitude de plus de 50%, témoignant d'une dynamique haussière puissante et d'un intérêt croissant des investisseurs. La tendance générale est clairement haussière, soutenue par des fondamentaux solides et une liquidité moyenne de 3 471 titres échangés par jour. Les statistiques descriptives révèlent une moyenne de 17 914 FCFA supérieure à la médiane de 16 725 FCFA, confirmant une asymétrie positive (skewness de 0,708) avec davantage de journées sous la moyenne, typique d'un titre ayant connu des poussées haussières ponctuelles. L'écart-type de 2 480 FCFA (CV de 13,8%) indique une dispersion modérée du cours autour de sa moyenne, tandis que le kurtosis négatif (-1,175, distribution platykurtique) suggère une faible concentration des rendements et un risque de pics de volatilité moins prononcé qu'une distribution normale. La volatilité annualisée de 30,5% positionne ORAC dans la catégorie des titres à volatilité modérée à élevée (seuil de 30%), ce qui est cohérent avec un titre ayant connu une forte appréciation récente et susceptible de connaître des corrections.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21 705,75 FCFA et la MM50 à 19 806,00 FCFA, toutes deux inférieures au cours actuel de 21 800 FCFA. Cette configuration haussière (cours &gt; MM20 &gt; MM50) confirme la tendance positive de moyen terme et justifie la décision d'achat. Le cours évolue au-dessus de ses moyennes, signalant que les acheteurs conservent la main.</w:t>
      </w:r>
    </w:p>
    <w:p>
      <w:pPr>
        <w:spacing w:after="120" w:line="276" w:lineRule="auto"/>
      </w:pPr>
      <w:r>
        <w:t>**Bandes de Bollinger** : La borne supérieure se situe à 22 971,88 FCFA et la borne inférieure à 20 439,62 FCFA, avec un cours actuel de 21 800 FCFA positionné légèrement au-dessus de la bande médiane. Cette position centrale dans le canal de Bollinger, avec une largeur de bande relativement étroite, indique une volatilité contenue et une décision neutre : le titre n'est ni en suracheté ni en survente, laissant présager une consolidation avant une nouvelle impulsion.</w:t>
      </w:r>
    </w:p>
    <w:p>
      <w:pPr>
        <w:spacing w:after="120" w:line="276" w:lineRule="auto"/>
      </w:pPr>
      <w:r>
        <w:t>**MACD** : La valeur du MACD (391,262) est inférieure à son signal (540,033), générant une décision de vente. Cette divergence baissière indique un essoufflement du momentum haussier à court terme, bien que le MACD reste en territoire positif, ce qui tempère la portée baissière du signal.</w:t>
      </w:r>
    </w:p>
    <w:p>
      <w:pPr>
        <w:spacing w:after="120" w:line="276" w:lineRule="auto"/>
      </w:pPr>
      <w:r>
        <w:t>**RSI** : À 42,729, le RSI se situe en zone neutre (30-70), sans signal de surachat ni de survente. Cette valeur légèrement sous la barre des 50 suggère une pression vendeuse modérée mais non alarmante, laissant la porte ouverte à un rebond technique.</w:t>
      </w:r>
    </w:p>
    <w:p>
      <w:pPr>
        <w:spacing w:after="120" w:line="276" w:lineRule="auto"/>
      </w:pPr>
      <w:r>
        <w:t>**Stochastique** : Le %K (66,667) est supérieur au %D (61,984), avec un croisement haussier en cours. Cette configuration indique que le momentum de court terme reprend de la vigueur, bien que les deux lignes restent en zone neutre-haute, sans signal de surachat imminent.</w:t>
      </w:r>
    </w:p>
    <w:p>
      <w:pPr>
        <w:spacing w:after="120" w:line="276" w:lineRule="auto"/>
      </w:pPr>
      <w:r>
        <w:t>**Conclusion technique** : Les indicateurs techniques présentent un tableau mitigé. Les moyennes mobiles et le stochastique plaident pour une poursuite de la hausse, tandis que le MACD et le RSI suggèrent une pause ou une consolidation. La position centrale du cours dans les bandes de Bollinger confirme cette phase d'indécision. Dans l'ensemble, la tendance de fond reste haussière, mais un essoufflement à court terme est probable avant une nouvelle impulsion.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entreprise en pleine croissance et remarquablement rentable. Le chiffre d'affaires consolidé s'établit à 1 197,1 milliards FCFA, en progression de +10,4% par rapport à 2024 (1 084,1 milliards FCFA), porté par la dynamique commerciale en Côte d'Ivoire, au Burkina Faso et au Liberia. Le résultat net consolidé atteint 167,8 milliards FCFA (+6,1%), tandis que le résultat net part du groupe ressort à 129,1 milliards FCFA (+14,5%). La rentabilité des fonds propres (ROE) est excellente à 23,71%, bien supérieure au seuil de 15% considéré comme remarquable, et le ROA de 6,57% témoigne d'une utilisation efficace des actifs. La marge nette de 14,02% et la marge opérationnelle de 23,99% confirment la solidité du modèle économique. En tant qu'entreprise non bancaire, l'analyse des délais d'exploitation est pertinente : le délai clients de 52,26 jours est modéré, tandis que le délai fournisseurs de 210,87 jours est très favorable à la trésorerie. Le BFR est négatif à -198,0 milliards FCFA, ce qui constitue un point fort majeur : l'entreprise finance son cycle d'exploitation par ses fournisseurs et génère de la trésorerie. Le Free Cash Flow de 156,2 milliards FCFA et la CAF de 340,0 milliards FCFA confirment la capacité de l'entreprise à autofinancer ses investissements (184,2 milliards FCFA en 2025). Le ratio d'endettement de 47,46% et l'autonomie financière de 27,71% (légèrement sous le seuil de 30%) appellent une surveillance, mais la capacité de remboursement de 0,99 an et la couverture des intérêts de 1 018% rassurent sur la solvabilité. Les rapports trimestriels récents confirment cette dynamique : le T1 2026 (publié en 2026) affiche un chiffre d'affaires de 325,6 milliards FCFA (+14,8%) et un résultat net de 48,3 milliards FCFA (+25,2%), avec une marge nette en amélioration à 14,8%. Sur la base de ce rapport T1 2026, on peut estimer que l'exercice 2026 devrait enregistrer une accélération de la croissance du chiffre d'affaires (potentiellement +12% à +14%) et une amélioration de la rentabilité nette, portée par l'effet de levier opérationnel et la maîtrise des coûts. La politique de dividende, avec un dividende brut de 800 FCFA par action (rendement d'environ 3,7% au cours actuel), reste attractive mais marque un recentrage vers l'autofinancement des investissements. La recommandation fondamentale est donc positive : ORAC est une entreprise solide, rentable, en croissance et bien positionnée pour capter la transformation numérique de l'Afrique de l'Ouest, avec des risques modérés liés à la pression fiscale et réglementaire.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conduit à une recommandation nuancée. La valorisation (Partie 0) est exigeante mais justifiée : le PER de 19,6x et le P/B de 4,64x traduisent une prime de qualité, tandis que l'EV/EBITDA de 7,8x reste raisonnable. Le comportement du cours (Partie 1) est haussier sur 100 jours (+46,11%) avec une volatilité modérée (30,5%) et une distribution asymétrique positive, ce qui est globalement favorable mais suggère une possible consolidation après une telle performance. Les signaux techniques (Partie 2) sont mitigés : les moyennes mobiles et le stochastique sont haussiers, mais le MACD et le RSI plaident pour une pause, créant une divergence qui appelle à la prudence à court terme. Les fondamentaux (Partie 3) sont excellents : croissance du CA (+10,4% en 2025), ROE de 23,71%, BFR négatif, et accélération confirmée par le T1 2026 (+14,8% de CA, +25,2% de résultat net). Les prédictions IA (J+1 à J+10) anticipent une légère correction vers 21 442 FCFA d'ici le 9 octobre 2026, ce qui contredit partiellement les signaux haussiers des moyennes mobiles mais confirme l'essoufflement technique identifié par le MACD. Sur la base de cette synthèse, la recommandation finale est **CONSERVER** avec un biais haussier. En effet, la convergence entre fondamentaux solides, valorisation exigeante mais justifiée et tendance de fond haussière soutient une perspective positive à moyen terme, mais la divergence technique à court terme et les prédictions de correction invitent à ne pas initier de nouvelles positions à ce niveau de prix. Le niveau de confiance est **Moyen**, car si les fondamentaux sont robustes, l'incertitude technique et la valorisation tendue limitent la visibilité. Le niveau de risque global est **Moyen**, reflétant la volatilité modérée du titre et les risques réglementaires et fiscaux identifiés. L'horizon d'investissement optimal est le **moyen terme (3-12 mois)**, période durant laquelle la croissance des bénéfices devrait rattraper la valorisation actuelle et permettre une appréciation du cours, avec un objectif potentiel de 23 000-24 000 FCFA si les résultats du T2 2026 confirment la tendance du T1.</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208.25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5,116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+17.65%</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38.7%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8.51% (Moyenne) — μ=2,888 FCFA, σ=246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β=0.6638 (Défensif) — Cov=0.000045, Var(idx)=0.000068, ρ=0.224,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σ_j=2.44%/j (Stable) — Vol. annualisée≈38.7%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2,783</w:t>
            </w:r>
          </w:p>
        </w:tc>
        <w:tc>
          <w:tcPr>
            <w:tcW w:type="dxa" w:w="1440"/>
            <w:shd w:fill="FAFAFA" w:val="clear"/>
          </w:tcPr>
          <w:p>
            <w:r>
              <w:rPr>
                <w:b/>
                <w:sz w:val="17"/>
              </w:rPr>
              <w:t>2,962</w:t>
            </w:r>
          </w:p>
        </w:tc>
        <w:tc>
          <w:tcPr>
            <w:tcW w:type="dxa" w:w="1440"/>
            <w:shd w:fill="FAFAFA" w:val="clear"/>
          </w:tcPr>
          <w:p>
            <w:r>
              <w:rPr>
                <w:sz w:val="17"/>
              </w:rPr>
              <w:t>3,142</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2,739</w:t>
            </w:r>
          </w:p>
        </w:tc>
        <w:tc>
          <w:tcPr>
            <w:tcW w:type="dxa" w:w="1440"/>
            <w:shd w:fill="FAFAFA" w:val="clear"/>
          </w:tcPr>
          <w:p>
            <w:r>
              <w:rPr>
                <w:b/>
                <w:sz w:val="17"/>
              </w:rPr>
              <w:t>2,958</w:t>
            </w:r>
          </w:p>
        </w:tc>
        <w:tc>
          <w:tcPr>
            <w:tcW w:type="dxa" w:w="1440"/>
            <w:shd w:fill="FAFAFA" w:val="clear"/>
          </w:tcPr>
          <w:p>
            <w:r>
              <w:rPr>
                <w:sz w:val="17"/>
              </w:rPr>
              <w:t>3,178</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2,701</w:t>
            </w:r>
          </w:p>
        </w:tc>
        <w:tc>
          <w:tcPr>
            <w:tcW w:type="dxa" w:w="1440"/>
            <w:shd w:fill="FAFAFA" w:val="clear"/>
          </w:tcPr>
          <w:p>
            <w:r>
              <w:rPr>
                <w:b/>
                <w:sz w:val="17"/>
              </w:rPr>
              <w:t>2,954</w:t>
            </w:r>
          </w:p>
        </w:tc>
        <w:tc>
          <w:tcPr>
            <w:tcW w:type="dxa" w:w="1440"/>
            <w:shd w:fill="FAFAFA" w:val="clear"/>
          </w:tcPr>
          <w:p>
            <w:r>
              <w:rPr>
                <w:sz w:val="17"/>
              </w:rPr>
              <w:t>3,207</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2,668</w:t>
            </w:r>
          </w:p>
        </w:tc>
        <w:tc>
          <w:tcPr>
            <w:tcW w:type="dxa" w:w="1440"/>
            <w:shd w:fill="FAFAFA" w:val="clear"/>
          </w:tcPr>
          <w:p>
            <w:r>
              <w:rPr>
                <w:b/>
                <w:sz w:val="17"/>
              </w:rPr>
              <w:t>2,950</w:t>
            </w:r>
          </w:p>
        </w:tc>
        <w:tc>
          <w:tcPr>
            <w:tcW w:type="dxa" w:w="1440"/>
            <w:shd w:fill="FAFAFA" w:val="clear"/>
          </w:tcPr>
          <w:p>
            <w:r>
              <w:rPr>
                <w:sz w:val="17"/>
              </w:rPr>
              <w:t>3,233</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2,638</w:t>
            </w:r>
          </w:p>
        </w:tc>
        <w:tc>
          <w:tcPr>
            <w:tcW w:type="dxa" w:w="1440"/>
            <w:shd w:fill="FAFAFA" w:val="clear"/>
          </w:tcPr>
          <w:p>
            <w:r>
              <w:rPr>
                <w:b/>
                <w:sz w:val="17"/>
              </w:rPr>
              <w:t>2,947</w:t>
            </w:r>
          </w:p>
        </w:tc>
        <w:tc>
          <w:tcPr>
            <w:tcW w:type="dxa" w:w="1440"/>
            <w:shd w:fill="FAFAFA" w:val="clear"/>
          </w:tcPr>
          <w:p>
            <w:r>
              <w:rPr>
                <w:sz w:val="17"/>
              </w:rPr>
              <w:t>3,256</w:t>
            </w:r>
          </w:p>
        </w:tc>
        <w:tc>
          <w:tcPr>
            <w:tcW w:type="dxa" w:w="1440"/>
            <w:shd w:fill="FAFAFA" w:val="clear"/>
          </w:tcPr>
          <w:p>
            <w:r>
              <w:rPr>
                <w:b/>
                <w:color w:val="C00000"/>
                <w:sz w:val="17"/>
              </w:rPr>
              <w:t>-1.8%</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2,610</w:t>
            </w:r>
          </w:p>
        </w:tc>
        <w:tc>
          <w:tcPr>
            <w:tcW w:type="dxa" w:w="1440"/>
            <w:shd w:fill="FAFAFA" w:val="clear"/>
          </w:tcPr>
          <w:p>
            <w:r>
              <w:rPr>
                <w:b/>
                <w:sz w:val="17"/>
              </w:rPr>
              <w:t>2,943</w:t>
            </w:r>
          </w:p>
        </w:tc>
        <w:tc>
          <w:tcPr>
            <w:tcW w:type="dxa" w:w="1440"/>
            <w:shd w:fill="FAFAFA" w:val="clear"/>
          </w:tcPr>
          <w:p>
            <w:r>
              <w:rPr>
                <w:sz w:val="17"/>
              </w:rPr>
              <w:t>3,276</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2,584</w:t>
            </w:r>
          </w:p>
        </w:tc>
        <w:tc>
          <w:tcPr>
            <w:tcW w:type="dxa" w:w="1440"/>
            <w:shd w:fill="FFDCE0" w:val="clear"/>
          </w:tcPr>
          <w:p>
            <w:r>
              <w:rPr>
                <w:b/>
                <w:sz w:val="17"/>
              </w:rPr>
              <w:t>2,939</w:t>
            </w:r>
          </w:p>
        </w:tc>
        <w:tc>
          <w:tcPr>
            <w:tcW w:type="dxa" w:w="1440"/>
            <w:shd w:fill="FFDCE0" w:val="clear"/>
          </w:tcPr>
          <w:p>
            <w:r>
              <w:rPr>
                <w:sz w:val="17"/>
              </w:rPr>
              <w:t>3,295</w:t>
            </w:r>
          </w:p>
        </w:tc>
        <w:tc>
          <w:tcPr>
            <w:tcW w:type="dxa" w:w="1440"/>
            <w:shd w:fill="FFDCE0"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2,559</w:t>
            </w:r>
          </w:p>
        </w:tc>
        <w:tc>
          <w:tcPr>
            <w:tcW w:type="dxa" w:w="1440"/>
            <w:shd w:fill="FFDCE0" w:val="clear"/>
          </w:tcPr>
          <w:p>
            <w:r>
              <w:rPr>
                <w:b/>
                <w:sz w:val="17"/>
              </w:rPr>
              <w:t>2,936</w:t>
            </w:r>
          </w:p>
        </w:tc>
        <w:tc>
          <w:tcPr>
            <w:tcW w:type="dxa" w:w="1440"/>
            <w:shd w:fill="FFDCE0" w:val="clear"/>
          </w:tcPr>
          <w:p>
            <w:r>
              <w:rPr>
                <w:sz w:val="17"/>
              </w:rPr>
              <w:t>3,313</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2,536</w:t>
            </w:r>
          </w:p>
        </w:tc>
        <w:tc>
          <w:tcPr>
            <w:tcW w:type="dxa" w:w="1440"/>
            <w:shd w:fill="FFDCE0" w:val="clear"/>
          </w:tcPr>
          <w:p>
            <w:r>
              <w:rPr>
                <w:b/>
                <w:sz w:val="17"/>
              </w:rPr>
              <w:t>2,933</w:t>
            </w:r>
          </w:p>
        </w:tc>
        <w:tc>
          <w:tcPr>
            <w:tcW w:type="dxa" w:w="1440"/>
            <w:shd w:fill="FFDCE0" w:val="clear"/>
          </w:tcPr>
          <w:p>
            <w:r>
              <w:rPr>
                <w:sz w:val="17"/>
              </w:rPr>
              <w:t>3,330</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ORAGROUP (ORGT)</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208,25 milliards FCFA, ORGT se positionne parmi les valeurs bancaires de premier plan de la cote BRVM, reflétant la taille significative du groupe panafricain (12 filiales bancaires). Le BPA de 312 FCFA/action signifie que chaque titre génère près de 312 FCFA de bénéfice net, un niveau solide qui, rapporté au cours actuel de 3 000 FCFA, donne un PER de 9,6x — légèrement inférieur à la moyenne BRVM (8-12x), suggérant une valorisation raisonnable voire légèrement sous-évaluée au regard des bénéfices. Le P/B de 1,84x indique que le marché valorise l'action à près du double de sa valeur comptable, ce qui reste dans la fourchette raisonnable (1-2x) pour une banque en redressement. En revanche, l'EV/EBITDA de 19,7x apparaît très exigeant (&gt;15x), signalant que la valeur d'entreprise intègre déjà une forte anticipation de reprise opérationnelle — un point de vigilance pour les investisseurs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ORGT affiche une performance remarquable de **+17,65%**, avec une dernière séance en forte hausse de **+3,45%**, portant le cours à 3 000 FCFA. Le titre a évolué dans un range large de 2 435 FCFA (plus bas) à 3 400 FCFA (plus haut), soit une amplitude de près de 40%, traduisant une tendance générale haussière mais ponctuée de corrections significatives. Les statistiques descriptives révèlent une **moyenne de 2 888 FCFA** supérieure à la **médiane de 2 790 FCFA**, avec un mode à 2 680 FCFA : cet écart positif indique une légère asymétrie à droite, confirmée par le **skewness de 0,300** (distribution quasi-symétrique mais étirée vers les hausses). L'**écart-type de 247 FCFA** et le **CV de 8,5%** témoignent d'une dispersion modérée du cours autour de sa moyenne, tandis que le **kurtosis de -1,210** (distribution platykurtique) signale une faible concentration des rendements et un risque de pics de volatilité moins prononcé qu'une distribution normale. La **volatilité annualisée de 38,7%** classe ORGT dans la catégorie des titres à volatilité élevée (&gt;30%), ce qui est cohérent avec le profil de redressement du groupe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(3 146,5 FCFA) et la MM50 (3 090,0 FCFA) se situent toutes deux au-dessus du cours actuel (3 000 FCFA), ce qui place le titre en position de faiblesse relative à court terme. Toutefois, la MM20 reste supérieure à la MM50, conservant une configuration haussière de fond, ce qui justifie la décision **Achat** fournie malgré la correction en cours.</w:t>
      </w:r>
    </w:p>
    <w:p>
      <w:pPr>
        <w:spacing w:after="120" w:line="276" w:lineRule="auto"/>
      </w:pPr>
      <w:r>
        <w:t>**Bandes de Bollinger** : Le cours (3 000 FCFA) évolue dans la partie basse de la bande, entre la borne inférieure (2 787,96 FCFA) et la borne supérieure (3 505,04 FCFA), sans franchissement des extrêmes. Cette position médiane-basse, couplée à un écart-type modéré, traduit une volatilité contenue et justifie la décision **Neutre** — ni signal d'achat agressif, ni signal de vente.</w:t>
      </w:r>
    </w:p>
    <w:p>
      <w:pPr>
        <w:spacing w:after="120" w:line="276" w:lineRule="auto"/>
      </w:pPr>
      <w:r>
        <w:t>**MACD** : La valeur du MACD (-49,365) est nettement inférieure à son signal (-19,724), confirmant un momentum baissier à court terme et une divergence négative persistante. Cette configuration justifie pleinement la décision **Vente**, indiquant que la pression vendeuse reste dominante malgré le rebond de la dernière séance.</w:t>
      </w:r>
    </w:p>
    <w:p>
      <w:pPr>
        <w:spacing w:after="120" w:line="276" w:lineRule="auto"/>
      </w:pPr>
      <w:r>
        <w:t>**RSI** : À 40,889, le RSI se situe en zone neutre (30-70), sans atteindre la zone de survente (&lt;30) qui déclencherait un signal d'achat technique. Cette position médiane-basse reflète un équilibre précaire entre vendeurs et acheteurs, justifiant la décision **Neutre** — le titre n'est ni survendu, ni suracheté.</w:t>
      </w:r>
    </w:p>
    <w:p>
      <w:pPr>
        <w:spacing w:after="120" w:line="276" w:lineRule="auto"/>
      </w:pPr>
      <w:r>
        <w:t>**Stochastique** : Le %K (40,404) est légèrement supérieur au %D (33,535), suggérant un début de croisement haussier potentiel mais encore fragile. Les deux lignes évoluent en zone basse sans franchir le seuil de survente (20), ce qui justifie la décision **Neutre** — un signal d'achat ne serait validé qu'en cas de croisement franc au-dessus de 20.</w:t>
      </w:r>
    </w:p>
    <w:p>
      <w:pPr>
        <w:spacing w:after="120" w:line="276" w:lineRule="auto"/>
      </w:pPr>
      <w:r>
        <w:t>**Conclusion technique** : Les indicateurs présentent une configuration **mitigée** : les moyennes mobiles restent haussières de fond (MM20 &gt; MM50) mais le cours est passé sous ces supports, tandis que le MACD confirme un momentum baissier et que le RSI/Stochastique demeurent neutres. Le titre se trouve dans une phase de consolidation après un rallye de +17,65%, avec un potentiel de rebond technique mais sans confirmation claire — la prudence est de mise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ORGT affiche un **Produit Net Bancaire (PNB) de 186,609 milliards FCFA**, en recul de -4,52% par rapport à 2024 (195,436 Mds FCFA), reflétant une contraction volontaire de l'activité de crédit. Le **résultat net consolidé s'établit à 21,643 milliards FCFA**, marquant un redressement spectaculaire après la perte de -44,363 Mds FCFA en 2024 (+149%). Le **ROE de 19,13%** (&gt;15% = excellent) et le **ROA de 0,54%** témoignent d'une rentabilité des fonds propres solide, bien que la marge nette de 11,60% reste tirée par la normalisation du coût du risque plutôt que par la croissance organique.</w:t>
      </w:r>
    </w:p>
    <w:p>
      <w:pPr>
        <w:spacing w:after="120" w:line="276" w:lineRule="auto"/>
      </w:pPr>
      <w:r>
        <w:t>**Adaptation au secteur bancaire** : Le **coefficient d'exploitation de 42,85%** (&lt;60% = banque efficace, &lt;50% = excellente) confirme une gestion rigoureuse des coûts, avec des frais généraux en baisse de -12%. Le **coût du risque de 3,74%** (provisions / charges financières) demeure modéré mais doit être surveillé après la chute drastique des provisions (-90% en 2025). La structure bilancielle révèle une **transformation saine** : les dépôts clientèle (3 088,7 Mds FCFA) couvrent largement les créances clientèle (1 523,8 Mds FCFA), avec un ratio de couverture de 203%, et les créances interbancaires (275,5 Mds FCFA) restent maîtrisées. L'**autonomie financière de 2,82%** est faible (norme bancaire : &gt;30%), mais s'explique par la nature du bilan bancaire où les dépôts constituent le principal passif — le ratio d'endettement de 444,94% est structurel pour une banque.</w:t>
      </w:r>
    </w:p>
    <w:p>
      <w:pPr>
        <w:spacing w:after="120" w:line="276" w:lineRule="auto"/>
      </w:pPr>
      <w:r>
        <w:t>**Estimations basées sur les rapports trimestriels** : Sur la base du **rapport T1 2026 (publié en 2026)**, le PNB recule de -2% à 50,124 Mds FCFA, mais le résultat net progresse de +37% à 6,555 Mds FCFA, confirmant la poursuite de la dynamique de redressement. Les dépôts clientèle augmentent de +14% à 3 343 Mds FCFA, tandis que les crédits nets reculent de -12% — la stratégie de sélectivité se poursuit. On estime que l'exercice 2026 devrait consolider le retour à la rentabilité avec un résultat net annuel projeté entre 25 et 28 Mds FCFA, porté par la maîtrise des coûts et l'amélioration continue du coût du risque, bien que la faiblesse du PNB reste un point de vigilance.</w:t>
      </w:r>
    </w:p>
    <w:p>
      <w:pPr>
        <w:spacing w:after="120" w:line="276" w:lineRule="auto"/>
      </w:pPr>
      <w:r>
        <w:t>**Évolution pluriannuelle** : Les rapports S1 2025 (publié en 2025) et T3 2025 (publié en 2025) confirment la trajectoire : bénéfice net de 18,3 Mds FCFA au S1 2025 (+232% vs S1 2024) et 19,6 Mds FCFA à fin septembre 2025 (+248%). La direction souligne une réduction de -74% du coût net du risque et une baisse de -15% des frais généraux, validant la stratégie d'assainissement.</w:t>
      </w:r>
    </w:p>
    <w:p>
      <w:pPr>
        <w:spacing w:after="120" w:line="276" w:lineRule="auto"/>
      </w:pPr>
      <w:r>
        <w:t>**Recommandation fondamentale** : La solidité financière s'améliore (capitaux propres +17% à 113,2 Mds FCFA), mais la baisse du PNB et l'absence de dividende (confirmée par l'avis de convocation à l'AG du 23 juillet 2026) incitent à la **prudence**. Le redressement est réel mais dépend encore largement de facteurs non récurrents (baisse du coût du risque). Recommandation : **CONSERVER** en attendant la confirmation d'une reprise durable du PNB.</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**contrasté mais globalement favorable**. La **valorisation (Partie 0)** apparaît raisonnable avec un PER de 9,6x (légèrement sous la moyenne BRVM) et un P/B de 1,84x, bien que l'EV/EBITDA de 19,7x intègre déjà une forte anticipation de reprise. Le **comportement du cours (Partie 1)** est haussier sur 100 jours (+17,65%) mais avec une volatilité élevée (38,7%) et une distribution platykurtique (kurtosis -1,21) qui limite les risques de pics extrêmes — un profil favorable pour les investisseurs tolérant au risque. Les **signaux techniques (Partie 2)** sont mitigés : les moyennes mobiles restent haussières de fond mais le MACD est baissier et le RSI/Stochastique neutres, suggérant une consolidation en cours plutôt qu'un retournement. Les **fondamentaux (Partie 3)** montrent un redressement spectaculaire (ROE 19,13%, coefficient d'exploitation 42,85%) mais fragilisé par la baisse du PNB (-4,52%) et l'absence de dividende. Les **prédictions IA (J+1 à J+10)** anticipent une légère correction vers 2 947 FCFA (-1,8%), ce qui contredit le rebond de la dernière séance mais reste cohérent avec le momentum baissier du MACD.</w:t>
      </w:r>
    </w:p>
    <w:p>
      <w:pPr>
        <w:spacing w:after="120" w:line="276" w:lineRule="auto"/>
      </w:pPr>
      <w:r>
        <w:t>**Recommandation finale : CONSERVER** — Justification : la convergence entre une valorisation raisonnable, des fondamentaux en nette amélioration et une prédiction de légère correction suggère que le titre est correctement valorisé à 3 000 FCFA. Un **ACHAT** serait prématuré sans confirmation d'une reprise du PNB, tandis qu'une **VENTE** serait excessive au vu du redressement opérationnel. **Niveau de confiance : Moyen** (les signaux techniques et fondamentaux divergent partiellement). **Niveau de risque : Élevé** (volatilité 38,7%, dépendance à la baisse du coût du risque, absence de dividende). **Horizon d'investissement optimal : Moyen terme (3-12 mois)** — le temps que la dynamique commerciale se confirme et que le PNB stabilise sa trajectoire.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128.31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3,937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+6.41%</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7,680 FCFA</w:t>
            </w:r>
          </w:p>
          <w:p>
            <w:r>
              <w:rPr>
                <w:b/>
                <w:color w:val="503200"/>
                <w:sz w:val="16"/>
              </w:rPr>
              <w:t xml:space="preserve">Volatilité ann. : </w:t>
            </w:r>
            <w:r>
              <w:rPr>
                <w:color w:val="000000"/>
                <w:sz w:val="17"/>
              </w:rPr>
              <w:t>31.9%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5.62% (Moyenne) — μ=8,613 FCFA, σ=484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β=0.0558 (Défensif) — Cov=0.000004, Var(idx)=0.000068, ρ=0.023,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σ_j=2.01%/j (Stable) — Vol. annualisée≈31.9%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7,845</w:t>
            </w:r>
          </w:p>
        </w:tc>
        <w:tc>
          <w:tcPr>
            <w:tcW w:type="dxa" w:w="1440"/>
            <w:shd w:fill="FAFAFA" w:val="clear"/>
          </w:tcPr>
          <w:p>
            <w:r>
              <w:rPr>
                <w:b/>
                <w:sz w:val="17"/>
              </w:rPr>
              <w:t>8,151</w:t>
            </w:r>
          </w:p>
        </w:tc>
        <w:tc>
          <w:tcPr>
            <w:tcW w:type="dxa" w:w="1440"/>
            <w:shd w:fill="FAFAFA" w:val="clear"/>
          </w:tcPr>
          <w:p>
            <w:r>
              <w:rPr>
                <w:sz w:val="17"/>
              </w:rPr>
              <w:t>8,456</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7,728</w:t>
            </w:r>
          </w:p>
        </w:tc>
        <w:tc>
          <w:tcPr>
            <w:tcW w:type="dxa" w:w="1440"/>
            <w:shd w:fill="FFDCE0" w:val="clear"/>
          </w:tcPr>
          <w:p>
            <w:r>
              <w:rPr>
                <w:b/>
                <w:sz w:val="17"/>
              </w:rPr>
              <w:t>8,100</w:t>
            </w:r>
          </w:p>
        </w:tc>
        <w:tc>
          <w:tcPr>
            <w:tcW w:type="dxa" w:w="1440"/>
            <w:shd w:fill="FFDCE0" w:val="clear"/>
          </w:tcPr>
          <w:p>
            <w:r>
              <w:rPr>
                <w:sz w:val="17"/>
              </w:rPr>
              <w:t>8,472</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2026-10-07</w:t>
            </w:r>
          </w:p>
        </w:tc>
        <w:tc>
          <w:tcPr>
            <w:tcW w:type="dxa" w:w="1440"/>
            <w:shd w:fill="FFDCE0" w:val="clear"/>
          </w:tcPr>
          <w:p>
            <w:r>
              <w:rPr>
                <w:sz w:val="17"/>
              </w:rPr>
              <w:t>7,624</w:t>
            </w:r>
          </w:p>
        </w:tc>
        <w:tc>
          <w:tcPr>
            <w:tcW w:type="dxa" w:w="1440"/>
            <w:shd w:fill="FFDCE0" w:val="clear"/>
          </w:tcPr>
          <w:p>
            <w:r>
              <w:rPr>
                <w:b/>
                <w:sz w:val="17"/>
              </w:rPr>
              <w:t>8,051</w:t>
            </w:r>
          </w:p>
        </w:tc>
        <w:tc>
          <w:tcPr>
            <w:tcW w:type="dxa" w:w="1440"/>
            <w:shd w:fill="FFDCE0" w:val="clear"/>
          </w:tcPr>
          <w:p>
            <w:r>
              <w:rPr>
                <w:sz w:val="17"/>
              </w:rPr>
              <w:t>8,478</w:t>
            </w:r>
          </w:p>
        </w:tc>
        <w:tc>
          <w:tcPr>
            <w:tcW w:type="dxa" w:w="1440"/>
            <w:shd w:fill="FFDCE0" w:val="clear"/>
          </w:tcPr>
          <w:p>
            <w:r>
              <w:rPr>
                <w:b/>
                <w:color w:val="C00000"/>
                <w:sz w:val="17"/>
              </w:rPr>
              <w:t>-3.0%</w:t>
            </w:r>
          </w:p>
        </w:tc>
      </w:tr>
      <w:tr>
        <w:tc>
          <w:tcPr>
            <w:tcW w:type="dxa" w:w="1440"/>
            <w:shd w:fill="FFDCE0" w:val="clear"/>
          </w:tcPr>
          <w:p>
            <w:r>
              <w:rPr>
                <w:sz w:val="17"/>
              </w:rPr>
              <w:t>J+4  Moyenne</w:t>
            </w:r>
          </w:p>
        </w:tc>
        <w:tc>
          <w:tcPr>
            <w:tcW w:type="dxa" w:w="1440"/>
            <w:shd w:fill="FFDCE0" w:val="clear"/>
          </w:tcPr>
          <w:p>
            <w:r>
              <w:rPr>
                <w:sz w:val="17"/>
              </w:rPr>
              <w:t>2026-10-08</w:t>
            </w:r>
          </w:p>
        </w:tc>
        <w:tc>
          <w:tcPr>
            <w:tcW w:type="dxa" w:w="1440"/>
            <w:shd w:fill="FFDCE0" w:val="clear"/>
          </w:tcPr>
          <w:p>
            <w:r>
              <w:rPr>
                <w:sz w:val="17"/>
              </w:rPr>
              <w:t>7,531</w:t>
            </w:r>
          </w:p>
        </w:tc>
        <w:tc>
          <w:tcPr>
            <w:tcW w:type="dxa" w:w="1440"/>
            <w:shd w:fill="FFDCE0" w:val="clear"/>
          </w:tcPr>
          <w:p>
            <w:r>
              <w:rPr>
                <w:b/>
                <w:sz w:val="17"/>
              </w:rPr>
              <w:t>8,005</w:t>
            </w:r>
          </w:p>
        </w:tc>
        <w:tc>
          <w:tcPr>
            <w:tcW w:type="dxa" w:w="1440"/>
            <w:shd w:fill="FFDCE0" w:val="clear"/>
          </w:tcPr>
          <w:p>
            <w:r>
              <w:rPr>
                <w:sz w:val="17"/>
              </w:rPr>
              <w:t>8,480</w:t>
            </w:r>
          </w:p>
        </w:tc>
        <w:tc>
          <w:tcPr>
            <w:tcW w:type="dxa" w:w="1440"/>
            <w:shd w:fill="FFDCE0" w:val="clear"/>
          </w:tcPr>
          <w:p>
            <w:r>
              <w:rPr>
                <w:b/>
                <w:color w:val="C00000"/>
                <w:sz w:val="17"/>
              </w:rPr>
              <w:t>-3.6%</w:t>
            </w:r>
          </w:p>
        </w:tc>
      </w:tr>
      <w:tr>
        <w:tc>
          <w:tcPr>
            <w:tcW w:type="dxa" w:w="1440"/>
            <w:shd w:fill="FFDCE0" w:val="clear"/>
          </w:tcPr>
          <w:p>
            <w:r>
              <w:rPr>
                <w:sz w:val="17"/>
              </w:rPr>
              <w:t>J+5  Moyenne</w:t>
            </w:r>
          </w:p>
        </w:tc>
        <w:tc>
          <w:tcPr>
            <w:tcW w:type="dxa" w:w="1440"/>
            <w:shd w:fill="FFDCE0" w:val="clear"/>
          </w:tcPr>
          <w:p>
            <w:r>
              <w:rPr>
                <w:sz w:val="17"/>
              </w:rPr>
              <w:t>2026-10-09</w:t>
            </w:r>
          </w:p>
        </w:tc>
        <w:tc>
          <w:tcPr>
            <w:tcW w:type="dxa" w:w="1440"/>
            <w:shd w:fill="FFDCE0" w:val="clear"/>
          </w:tcPr>
          <w:p>
            <w:r>
              <w:rPr>
                <w:sz w:val="17"/>
              </w:rPr>
              <w:t>7,444</w:t>
            </w:r>
          </w:p>
        </w:tc>
        <w:tc>
          <w:tcPr>
            <w:tcW w:type="dxa" w:w="1440"/>
            <w:shd w:fill="FFDCE0" w:val="clear"/>
          </w:tcPr>
          <w:p>
            <w:r>
              <w:rPr>
                <w:b/>
                <w:sz w:val="17"/>
              </w:rPr>
              <w:t>7,961</w:t>
            </w:r>
          </w:p>
        </w:tc>
        <w:tc>
          <w:tcPr>
            <w:tcW w:type="dxa" w:w="1440"/>
            <w:shd w:fill="FFDCE0" w:val="clear"/>
          </w:tcPr>
          <w:p>
            <w:r>
              <w:rPr>
                <w:sz w:val="17"/>
              </w:rPr>
              <w:t>8,478</w:t>
            </w:r>
          </w:p>
        </w:tc>
        <w:tc>
          <w:tcPr>
            <w:tcW w:type="dxa" w:w="1440"/>
            <w:shd w:fill="FFDCE0" w:val="clear"/>
          </w:tcPr>
          <w:p>
            <w:r>
              <w:rPr>
                <w:b/>
                <w:color w:val="C00000"/>
                <w:sz w:val="17"/>
              </w:rPr>
              <w:t>-4.1%</w:t>
            </w:r>
          </w:p>
        </w:tc>
      </w:tr>
      <w:tr>
        <w:tc>
          <w:tcPr>
            <w:tcW w:type="dxa" w:w="1440"/>
            <w:shd w:fill="FFDCE0" w:val="clear"/>
          </w:tcPr>
          <w:p>
            <w:r>
              <w:rPr>
                <w:sz w:val="17"/>
              </w:rPr>
              <w:t>J+6  Moyenne</w:t>
            </w:r>
          </w:p>
        </w:tc>
        <w:tc>
          <w:tcPr>
            <w:tcW w:type="dxa" w:w="1440"/>
            <w:shd w:fill="FFDCE0" w:val="clear"/>
          </w:tcPr>
          <w:p>
            <w:r>
              <w:rPr>
                <w:sz w:val="17"/>
              </w:rPr>
              <w:t>2026-10-12</w:t>
            </w:r>
          </w:p>
        </w:tc>
        <w:tc>
          <w:tcPr>
            <w:tcW w:type="dxa" w:w="1440"/>
            <w:shd w:fill="FFDCE0" w:val="clear"/>
          </w:tcPr>
          <w:p>
            <w:r>
              <w:rPr>
                <w:sz w:val="17"/>
              </w:rPr>
              <w:t>7,364</w:t>
            </w:r>
          </w:p>
        </w:tc>
        <w:tc>
          <w:tcPr>
            <w:tcW w:type="dxa" w:w="1440"/>
            <w:shd w:fill="FFDCE0" w:val="clear"/>
          </w:tcPr>
          <w:p>
            <w:r>
              <w:rPr>
                <w:b/>
                <w:sz w:val="17"/>
              </w:rPr>
              <w:t>7,919</w:t>
            </w:r>
          </w:p>
        </w:tc>
        <w:tc>
          <w:tcPr>
            <w:tcW w:type="dxa" w:w="1440"/>
            <w:shd w:fill="FFDCE0" w:val="clear"/>
          </w:tcPr>
          <w:p>
            <w:r>
              <w:rPr>
                <w:sz w:val="17"/>
              </w:rPr>
              <w:t>8,475</w:t>
            </w:r>
          </w:p>
        </w:tc>
        <w:tc>
          <w:tcPr>
            <w:tcW w:type="dxa" w:w="1440"/>
            <w:shd w:fill="FFDCE0" w:val="clear"/>
          </w:tcPr>
          <w:p>
            <w:r>
              <w:rPr>
                <w:b/>
                <w:color w:val="C00000"/>
                <w:sz w:val="17"/>
              </w:rPr>
              <w:t>-4.6%</w:t>
            </w:r>
          </w:p>
        </w:tc>
      </w:tr>
      <w:tr>
        <w:tc>
          <w:tcPr>
            <w:tcW w:type="dxa" w:w="1440"/>
            <w:shd w:fill="FFDCE0" w:val="clear"/>
          </w:tcPr>
          <w:p>
            <w:r>
              <w:rPr>
                <w:sz w:val="17"/>
              </w:rPr>
              <w:t>J+7  Moyenne</w:t>
            </w:r>
          </w:p>
        </w:tc>
        <w:tc>
          <w:tcPr>
            <w:tcW w:type="dxa" w:w="1440"/>
            <w:shd w:fill="FFDCE0" w:val="clear"/>
          </w:tcPr>
          <w:p>
            <w:r>
              <w:rPr>
                <w:sz w:val="17"/>
              </w:rPr>
              <w:t>2026-10-13</w:t>
            </w:r>
          </w:p>
        </w:tc>
        <w:tc>
          <w:tcPr>
            <w:tcW w:type="dxa" w:w="1440"/>
            <w:shd w:fill="FFDCE0" w:val="clear"/>
          </w:tcPr>
          <w:p>
            <w:r>
              <w:rPr>
                <w:sz w:val="17"/>
              </w:rPr>
              <w:t>7,288</w:t>
            </w:r>
          </w:p>
        </w:tc>
        <w:tc>
          <w:tcPr>
            <w:tcW w:type="dxa" w:w="1440"/>
            <w:shd w:fill="FFDCE0" w:val="clear"/>
          </w:tcPr>
          <w:p>
            <w:r>
              <w:rPr>
                <w:b/>
                <w:sz w:val="17"/>
              </w:rPr>
              <w:t>7,879</w:t>
            </w:r>
          </w:p>
        </w:tc>
        <w:tc>
          <w:tcPr>
            <w:tcW w:type="dxa" w:w="1440"/>
            <w:shd w:fill="FFDCE0" w:val="clear"/>
          </w:tcPr>
          <w:p>
            <w:r>
              <w:rPr>
                <w:sz w:val="17"/>
              </w:rPr>
              <w:t>8,470</w:t>
            </w:r>
          </w:p>
        </w:tc>
        <w:tc>
          <w:tcPr>
            <w:tcW w:type="dxa" w:w="1440"/>
            <w:shd w:fill="FFDCE0" w:val="clear"/>
          </w:tcPr>
          <w:p>
            <w:r>
              <w:rPr>
                <w:b/>
                <w:color w:val="C00000"/>
                <w:sz w:val="17"/>
              </w:rPr>
              <w:t>-5.1%</w:t>
            </w:r>
          </w:p>
        </w:tc>
      </w:tr>
      <w:tr>
        <w:tc>
          <w:tcPr>
            <w:tcW w:type="dxa" w:w="1440"/>
            <w:shd w:fill="FFDCE0" w:val="clear"/>
          </w:tcPr>
          <w:p>
            <w:r>
              <w:rPr>
                <w:sz w:val="17"/>
              </w:rPr>
              <w:t>J+8  Moyenne</w:t>
            </w:r>
          </w:p>
        </w:tc>
        <w:tc>
          <w:tcPr>
            <w:tcW w:type="dxa" w:w="1440"/>
            <w:shd w:fill="FFDCE0" w:val="clear"/>
          </w:tcPr>
          <w:p>
            <w:r>
              <w:rPr>
                <w:sz w:val="17"/>
              </w:rPr>
              <w:t>2026-10-14</w:t>
            </w:r>
          </w:p>
        </w:tc>
        <w:tc>
          <w:tcPr>
            <w:tcW w:type="dxa" w:w="1440"/>
            <w:shd w:fill="FFDCE0" w:val="clear"/>
          </w:tcPr>
          <w:p>
            <w:r>
              <w:rPr>
                <w:sz w:val="17"/>
              </w:rPr>
              <w:t>7,217</w:t>
            </w:r>
          </w:p>
        </w:tc>
        <w:tc>
          <w:tcPr>
            <w:tcW w:type="dxa" w:w="1440"/>
            <w:shd w:fill="FFDCE0" w:val="clear"/>
          </w:tcPr>
          <w:p>
            <w:r>
              <w:rPr>
                <w:b/>
                <w:sz w:val="17"/>
              </w:rPr>
              <w:t>7,840</w:t>
            </w:r>
          </w:p>
        </w:tc>
        <w:tc>
          <w:tcPr>
            <w:tcW w:type="dxa" w:w="1440"/>
            <w:shd w:fill="FFDCE0" w:val="clear"/>
          </w:tcPr>
          <w:p>
            <w:r>
              <w:rPr>
                <w:sz w:val="17"/>
              </w:rPr>
              <w:t>8,464</w:t>
            </w:r>
          </w:p>
        </w:tc>
        <w:tc>
          <w:tcPr>
            <w:tcW w:type="dxa" w:w="1440"/>
            <w:shd w:fill="FFDCE0" w:val="clear"/>
          </w:tcPr>
          <w:p>
            <w:r>
              <w:rPr>
                <w:b/>
                <w:color w:val="C00000"/>
                <w:sz w:val="17"/>
              </w:rPr>
              <w:t>-5.5%</w:t>
            </w:r>
          </w:p>
        </w:tc>
      </w:tr>
      <w:tr>
        <w:tc>
          <w:tcPr>
            <w:tcW w:type="dxa" w:w="1440"/>
            <w:shd w:fill="FFDCE0" w:val="clear"/>
          </w:tcPr>
          <w:p>
            <w:r>
              <w:rPr>
                <w:sz w:val="17"/>
              </w:rPr>
              <w:t>J+9  Moyenne</w:t>
            </w:r>
          </w:p>
        </w:tc>
        <w:tc>
          <w:tcPr>
            <w:tcW w:type="dxa" w:w="1440"/>
            <w:shd w:fill="FFDCE0" w:val="clear"/>
          </w:tcPr>
          <w:p>
            <w:r>
              <w:rPr>
                <w:sz w:val="17"/>
              </w:rPr>
              <w:t>2026-10-15</w:t>
            </w:r>
          </w:p>
        </w:tc>
        <w:tc>
          <w:tcPr>
            <w:tcW w:type="dxa" w:w="1440"/>
            <w:shd w:fill="FFDCE0" w:val="clear"/>
          </w:tcPr>
          <w:p>
            <w:r>
              <w:rPr>
                <w:sz w:val="17"/>
              </w:rPr>
              <w:t>7,149</w:t>
            </w:r>
          </w:p>
        </w:tc>
        <w:tc>
          <w:tcPr>
            <w:tcW w:type="dxa" w:w="1440"/>
            <w:shd w:fill="FFDCE0" w:val="clear"/>
          </w:tcPr>
          <w:p>
            <w:r>
              <w:rPr>
                <w:b/>
                <w:sz w:val="17"/>
              </w:rPr>
              <w:t>7,804</w:t>
            </w:r>
          </w:p>
        </w:tc>
        <w:tc>
          <w:tcPr>
            <w:tcW w:type="dxa" w:w="1440"/>
            <w:shd w:fill="FFDCE0" w:val="clear"/>
          </w:tcPr>
          <w:p>
            <w:r>
              <w:rPr>
                <w:sz w:val="17"/>
              </w:rPr>
              <w:t>8,458</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 RAPPORT D'ANALYSE FINANCIÈRE — PALC (PALMCI S.A.)</w:t>
        <w:br/>
        <w:t>**Bourse Régionale des Valeurs Mobilières (BRVM) — Secteur Agro-industriel**</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PALC affiche une capitalisation boursière de 128,31 milliards FCFA, un niveau significatif qui positionne le titre parmi les valeurs moyennes à grandes de la cote BRVM, cohérent avec sa stature de leader ouest-africain de l'huile de palme. Le BPA s'établit à 1 003 FCFA/action, ce qui signifie que chaque titre génère environ 1 003 FCFA de bénéfice net, un niveau respectable qui traduit la capacité bénéficiaire de l'entreprise. Le PER de 8,3x se situe dans la fourchette basse de la moyenne BRVM (8-12x), suggérant que les investisseurs ne paient pas cher pour les bénéfices actuels, avec un potentiel de sous-évaluation. Le P/B de 0,90x est particulièrement notable : le marché valorise PALC en dessous de sa valeur comptable, ce qui constitue historiquement un signal d'opportunité pour les investisseurs value. Enfin, l'EV/EBITDA de 4,0x, inférieur au seuil de 5x, indique que la valeur d'entreprise (capitalisation + dette nette) reste très raisonnable par rapport à la capacité opérationnelle de génération de cash-flow, renforçant le diagnostic de sous-évaluation relative.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PALC a enregistré une variation totale de +6,41%, avec une dernière séance (J-1) quasi stable à +0,12%, le cours actuel s'établissant à 8 300 FCFA. Le range de trading s'étend de 7 680 FCFA (plus bas) à 9 640 FCFA (plus haut), soit une amplitude de près de 25%, témoignant d'une réelle dynamique de marché malgré une tendance générale modérément haussière. Les statistiques descriptives révèlent une moyenne de 8 613 FCFA légèrement supérieure à la médiane de 8 690 FCFA — écart faible qui suggère une distribution globalement équilibrée, confirmée par un skewness de -0,220 (asymétrie légèrement négative, sans biais marqué). L'écart-type de 487 FCFA avec un coefficient de variation de 5,7% indique une dispersion modérée du cours autour de sa moyenne, tandis que le kurtosis de -0,422 (mésokurtique) signale une distribution proche de la normale, sans risque excessif de pics extrêmes. La volatilité annualisée de 31,9% classe le titre dans la catégorie des valeurs à volatilité élevée (&gt;30%), ce qui implique un risque de marché non négligeable mais cohérent avec le secteur agro-industriel exposé aux cours des matières premières.</w:t>
      </w:r>
    </w:p>
    <w:p>
      <w:pPr>
        <w:spacing w:after="120" w:line="276" w:lineRule="auto"/>
      </w:pPr>
      <w:r>
        <w:t>---</w:t>
      </w:r>
    </w:p>
    <w:p>
      <w:pPr>
        <w:spacing w:after="120" w:line="276" w:lineRule="auto"/>
      </w:pPr>
      <w:r>
        <w:t>## PARTIE 2 : ANALYSE TECHNIQUE DÉTAILLÉE</w:t>
      </w:r>
    </w:p>
    <w:p>
      <w:pPr>
        <w:spacing w:after="120" w:line="276" w:lineRule="auto"/>
      </w:pPr>
      <w:r>
        <w:t>**Moyennes Mobiles** : La MM20 (8 393,25 FCFA) et la MM50 (8 824,0 FCFA) encadrent le cours actuel de 8 300 FCFA, qui évolue en dessous des deux moyennes. Cette configuration baissière — cours sous MM20 sous MM50 — justifie la décision technique de **Vente**, signalant une pression vendeuse persistante à court et moyen terme.</w:t>
      </w:r>
    </w:p>
    <w:p>
      <w:pPr>
        <w:spacing w:after="120" w:line="276" w:lineRule="auto"/>
      </w:pPr>
      <w:r>
        <w:t>**Bandes de Bollinger** : Le cours (8 300 FCFA) se situe dans la partie basse de la bande, entre la borne inférieure (7 913,73 FCFA) et la borne supérieure (8 872,77 FCFA), sans franchissement des extrêmes. La décision **Neutre** reflète l'absence de signal de surachat ou de survente, avec une volatilité contenue dans les bandes.</w:t>
      </w:r>
    </w:p>
    <w:p>
      <w:pPr>
        <w:spacing w:after="120" w:line="276" w:lineRule="auto"/>
      </w:pPr>
      <w:r>
        <w:t>**MACD** : La valeur du MACD (-195,869) est légèrement supérieure à son signal (-203,278), générant un croisement haussier marginal. Cette divergence positive, bien que faible, justifie la décision **Achat**, indiquant un possible retournement de momentum à court terme.</w:t>
      </w:r>
    </w:p>
    <w:p>
      <w:pPr>
        <w:spacing w:after="120" w:line="276" w:lineRule="auto"/>
      </w:pPr>
      <w:r>
        <w:t>**RSI** : À 50,0, le RSI se situe exactement au point d'équilibre entre surachat (&gt;70) et survente (&lt;30). La décision **Neutre** est cohérente avec cette position médiane, traduisant un marché sans pression directionnelle claire.</w:t>
      </w:r>
    </w:p>
    <w:p>
      <w:pPr>
        <w:spacing w:after="120" w:line="276" w:lineRule="auto"/>
      </w:pPr>
      <w:r>
        <w:t>**Stochastique** : Le %K (44,954) est légèrement supérieur au %D (41,284), sans croisement significatif ni zone extrême. La décision **Neutre** confirme l'absence de signal fort, le marché évoluant dans une phase de consolidation.</w:t>
      </w:r>
    </w:p>
    <w:p>
      <w:pPr>
        <w:spacing w:after="120" w:line="276" w:lineRule="auto"/>
      </w:pPr>
      <w:r>
        <w:t>**Conclusion technique** : Les indicateurs présentent une divergence notable — les moyennes mobiles émettent un signal baissier (cours sous MM20/MM50) tandis que le MACD suggère un début de retournement haussier. Le RSI, les Bandes de Bollinger et le Stochastique restent neutres, reflétant une phase d'indécision. Cette configuration mitigée plaide pour une prudence à court terme, avec une possible stabilisation avant un rebond technique si le MACD confirme sa divergence positive.</w:t>
      </w:r>
    </w:p>
    <w:p>
      <w:pPr>
        <w:spacing w:after="120" w:line="276" w:lineRule="auto"/>
      </w:pPr>
      <w:r>
        <w:t>---</w:t>
      </w:r>
    </w:p>
    <w:p>
      <w:pPr>
        <w:spacing w:after="120" w:line="276" w:lineRule="auto"/>
      </w:pPr>
      <w:r>
        <w:t>## PARTIE 3 : ANALYSE FONDAMENTALE</w:t>
      </w:r>
    </w:p>
    <w:p>
      <w:pPr>
        <w:spacing w:after="120" w:line="276" w:lineRule="auto"/>
      </w:pPr>
      <w:r>
        <w:t>En 2025, PALC (PALMCI S.A.) a réalisé un chiffre d'affaires de 197,630 milliards FCFA, en croissance de +14,8% par rapport à 2024 (172,2 milliards FCFA), portée principalement par les ventes de produits fabriqués (+10,2%) et les produits accessoires (+56,6%). Le résultat net s'établit à 15,509 milliards FCFA, en léger recul de -2,2% vs 2024 (15,9 milliards), avec une marge nette de 7,85% — en retrait par rapport aux 9,2% de 2024, sous l'effet de la hausse des charges (personnel +4,0%, services extérieurs +30,3%, impôts +56,8%). Le ROE de 10,87% et le ROA de 7,79% traduisent une rentabilité correcte mais en deçà des standards d'excellence (&gt;15% pour le ROE), tandis que la structure financière reste très saine : autonomie financière de 71,64%, ratio d'endettement de 0,56%, et liquidité générale de 171,95%. Le BFR de 44,623 milliards FCFA et le délai clients élevé de 142,58 jours constituent un point de vigilance pour la trésorerie, bien que la trésorerie nette négative (-4,559 milliards FCFA) soit compensée par un flux opérationnel solide de 38,741 milliards FCFA. Les rapports trimestriels 2025 confirment cette dynamique : le T1 2025 (rapport du 31/03/2025) affichait un CA de 67,5 milliards (+32%) et un résultat net de 11,6 milliards (+65%), le S1 2025 (rapport du 30/06/2025) un CA de 134,8 milliards (+25%) et un résultat net de 22,9 milliards (+37%), et le T3 2025 (rapport du 30/09/2025) un CA cumulé de 168,9 milliards (+18%) avec un résultat net de 18,0 milliards (+11%). Cependant, le rapport T1 2026 (publié en 2026) révèle un net ralentissement : CA de 49,4 milliards (-27%) et résultat net de 1,6 milliard (-86%), que la direction attribue à un décalage temporel des ventes. Sur la base de ces éléments, on estime que l'exercice 2026 pourrait être plus difficile que prévu, avec un résultat net potentiellement inférieur à celui de 2025 si le redressement des ventes ne se matérialise pas au S2 2026. La recommandation fondamentale reste **CONSERVER**, avec une surveillance active des marges, de la trésorerie et des cours de l'huile de palme.</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contrasté. **En termes de valorisation (Partie 0)**, les ratios PER (8,3x), P/B (0,90x) et EV/EBITDA (4,0x) indiquent une sous-évaluation relative du titre par rapport à ses fondamentaux et à la moyenne du marché BRVM, offrant une marge de sécurité intéressante. **Le comportement du cours (Partie 1)** montre une tendance modérément haussière (+6,41% sur 100 jours) avec une volatilité élevée (31,9%) mais une distribution équilibrée (skewness -0,220, kurtosis -0,422), sans risque extrême de pics. **Les signaux techniques (Partie 2)** sont mitigés : divergence entre les moyennes mobiles (baissières) et le MACD (haussier), avec un RSI et un stochastique neutres, suggérant une phase d'indécision propice à la prudence. **Les fondamentaux (Partie 3)** demeurent solides (CA 2025 de 197,6 milliards FCFA, ROE de 10,87%, structure financière saine), mais le T1 2026 (-86% de résultat net) introduit une incertitude significative sur la trajectoire bénéficiaire à court terme. **Les prédictions IA (J+1 à J+10)** anticipent une trajectoire baissière (8 151 → 7 961 FCFA), ce qui contredit les signaux de valorisation et le MACD haussier, mais s'aligne sur la pression baissière des moyennes mobiles et les inquiétudes fondamentales à court terme. **Recommandation finale : CONSERVER**, avec un niveau de confiance **Moyen** et un risque global **Moyen**. La convergence partielle entre valorisation attractive, fondamentaux solides mais en ralentissement, et signaux techniques mitigés plaide pour une position attentiste. Un **ACHAT** serait justifié si le titre se rapproche de la borne inférieure des Bandes de Bollinger (7 913 FCFA) avec confirmation d'un rebond du MACD et stabilisation des ventes au T2 2026. **Horizon d'investissement optimal : moyen terme (3-12 mois)**, le temps que la visibilité sur l'exercice 2026 s'améliore et que les cours de l'huile de palme se stabilisent.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39.99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1,132 titres</w:t>
            </w:r>
          </w:p>
        </w:tc>
        <w:tc>
          <w:tcPr>
            <w:tcW w:type="dxa" w:w="2268"/>
            <w:shd w:fill="FFF2CC" w:val="clear"/>
          </w:tcPr>
          <w:p>
            <w:r>
              <w:rPr>
                <w:b/>
                <w:color w:val="503200"/>
                <w:sz w:val="16"/>
              </w:rPr>
              <w:t xml:space="preserve">Cours actuel : </w:t>
            </w:r>
            <w:r>
              <w:rPr>
                <w:color w:val="000000"/>
                <w:sz w:val="17"/>
              </w:rPr>
              <w:t>3,905 FCFA</w:t>
            </w:r>
          </w:p>
          <w:p>
            <w:r>
              <w:rPr>
                <w:b/>
                <w:color w:val="503200"/>
                <w:sz w:val="16"/>
              </w:rPr>
              <w:t xml:space="preserve">Var. 100 jours : </w:t>
            </w:r>
            <w:r>
              <w:rPr>
                <w:b/>
                <w:color w:val="007800"/>
                <w:sz w:val="17"/>
              </w:rPr>
              <w:t>+5.68%</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5.99% (Moyenne) — μ=4,346 FCFA, σ=260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β=-0.3155 (Contre-cyclique) — Cov=-0.000021, Var(idx)=0.000068, ρ=-0.110,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3,756</w:t>
            </w:r>
          </w:p>
        </w:tc>
        <w:tc>
          <w:tcPr>
            <w:tcW w:type="dxa" w:w="1440"/>
            <w:shd w:fill="FAFAFA" w:val="clear"/>
          </w:tcPr>
          <w:p>
            <w:r>
              <w:rPr>
                <w:b/>
                <w:sz w:val="17"/>
              </w:rPr>
              <w:t>3,964</w:t>
            </w:r>
          </w:p>
        </w:tc>
        <w:tc>
          <w:tcPr>
            <w:tcW w:type="dxa" w:w="1440"/>
            <w:shd w:fill="FAFAFA" w:val="clear"/>
          </w:tcPr>
          <w:p>
            <w:r>
              <w:rPr>
                <w:sz w:val="17"/>
              </w:rPr>
              <w:t>4,173</w:t>
            </w:r>
          </w:p>
        </w:tc>
        <w:tc>
          <w:tcPr>
            <w:tcW w:type="dxa" w:w="1440"/>
            <w:shd w:fill="FAFAFA" w:val="clear"/>
          </w:tcPr>
          <w:p>
            <w:r>
              <w:rPr>
                <w:b/>
                <w:color w:val="008000"/>
                <w:sz w:val="17"/>
              </w:rPr>
              <w:t>+1.5%</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3,711</w:t>
            </w:r>
          </w:p>
        </w:tc>
        <w:tc>
          <w:tcPr>
            <w:tcW w:type="dxa" w:w="1440"/>
            <w:shd w:fill="FAFAFA" w:val="clear"/>
          </w:tcPr>
          <w:p>
            <w:r>
              <w:rPr>
                <w:b/>
                <w:sz w:val="17"/>
              </w:rPr>
              <w:t>3,967</w:t>
            </w:r>
          </w:p>
        </w:tc>
        <w:tc>
          <w:tcPr>
            <w:tcW w:type="dxa" w:w="1440"/>
            <w:shd w:fill="FAFAFA" w:val="clear"/>
          </w:tcPr>
          <w:p>
            <w:r>
              <w:rPr>
                <w:sz w:val="17"/>
              </w:rPr>
              <w:t>4,223</w:t>
            </w:r>
          </w:p>
        </w:tc>
        <w:tc>
          <w:tcPr>
            <w:tcW w:type="dxa" w:w="1440"/>
            <w:shd w:fill="FAFAFA" w:val="clear"/>
          </w:tcPr>
          <w:p>
            <w:r>
              <w:rPr>
                <w:b/>
                <w:color w:val="008000"/>
                <w:sz w:val="17"/>
              </w:rPr>
              <w:t>+1.6%</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3,674</w:t>
            </w:r>
          </w:p>
        </w:tc>
        <w:tc>
          <w:tcPr>
            <w:tcW w:type="dxa" w:w="1440"/>
            <w:shd w:fill="FAFAFA" w:val="clear"/>
          </w:tcPr>
          <w:p>
            <w:r>
              <w:rPr>
                <w:b/>
                <w:sz w:val="17"/>
              </w:rPr>
              <w:t>3,970</w:t>
            </w:r>
          </w:p>
        </w:tc>
        <w:tc>
          <w:tcPr>
            <w:tcW w:type="dxa" w:w="1440"/>
            <w:shd w:fill="FAFAFA" w:val="clear"/>
          </w:tcPr>
          <w:p>
            <w:r>
              <w:rPr>
                <w:sz w:val="17"/>
              </w:rPr>
              <w:t>4,266</w:t>
            </w:r>
          </w:p>
        </w:tc>
        <w:tc>
          <w:tcPr>
            <w:tcW w:type="dxa" w:w="1440"/>
            <w:shd w:fill="FAFAFA" w:val="clear"/>
          </w:tcPr>
          <w:p>
            <w:r>
              <w:rPr>
                <w:b/>
                <w:color w:val="008000"/>
                <w:sz w:val="17"/>
              </w:rPr>
              <w:t>+1.7%</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3,642</w:t>
            </w:r>
          </w:p>
        </w:tc>
        <w:tc>
          <w:tcPr>
            <w:tcW w:type="dxa" w:w="1440"/>
            <w:shd w:fill="FAFAFA" w:val="clear"/>
          </w:tcPr>
          <w:p>
            <w:r>
              <w:rPr>
                <w:b/>
                <w:sz w:val="17"/>
              </w:rPr>
              <w:t>3,973</w:t>
            </w:r>
          </w:p>
        </w:tc>
        <w:tc>
          <w:tcPr>
            <w:tcW w:type="dxa" w:w="1440"/>
            <w:shd w:fill="FAFAFA" w:val="clear"/>
          </w:tcPr>
          <w:p>
            <w:r>
              <w:rPr>
                <w:sz w:val="17"/>
              </w:rPr>
              <w:t>4,303</w:t>
            </w:r>
          </w:p>
        </w:tc>
        <w:tc>
          <w:tcPr>
            <w:tcW w:type="dxa" w:w="1440"/>
            <w:shd w:fill="FAFAFA" w:val="clear"/>
          </w:tcPr>
          <w:p>
            <w:r>
              <w:rPr>
                <w:b/>
                <w:color w:val="008000"/>
                <w:sz w:val="17"/>
              </w:rPr>
              <w:t>+1.7%</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3,612</w:t>
            </w:r>
          </w:p>
        </w:tc>
        <w:tc>
          <w:tcPr>
            <w:tcW w:type="dxa" w:w="1440"/>
            <w:shd w:fill="FAFAFA" w:val="clear"/>
          </w:tcPr>
          <w:p>
            <w:r>
              <w:rPr>
                <w:b/>
                <w:sz w:val="17"/>
              </w:rPr>
              <w:t>3,975</w:t>
            </w:r>
          </w:p>
        </w:tc>
        <w:tc>
          <w:tcPr>
            <w:tcW w:type="dxa" w:w="1440"/>
            <w:shd w:fill="FAFAFA" w:val="clear"/>
          </w:tcPr>
          <w:p>
            <w:r>
              <w:rPr>
                <w:sz w:val="17"/>
              </w:rPr>
              <w:t>4,337</w:t>
            </w:r>
          </w:p>
        </w:tc>
        <w:tc>
          <w:tcPr>
            <w:tcW w:type="dxa" w:w="1440"/>
            <w:shd w:fill="FAFAFA" w:val="clear"/>
          </w:tcPr>
          <w:p>
            <w:r>
              <w:rPr>
                <w:b/>
                <w:color w:val="008000"/>
                <w:sz w:val="17"/>
              </w:rPr>
              <w:t>+1.8%</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3,585</w:t>
            </w:r>
          </w:p>
        </w:tc>
        <w:tc>
          <w:tcPr>
            <w:tcW w:type="dxa" w:w="1440"/>
            <w:shd w:fill="FAFAFA" w:val="clear"/>
          </w:tcPr>
          <w:p>
            <w:r>
              <w:rPr>
                <w:b/>
                <w:sz w:val="17"/>
              </w:rPr>
              <w:t>3,977</w:t>
            </w:r>
          </w:p>
        </w:tc>
        <w:tc>
          <w:tcPr>
            <w:tcW w:type="dxa" w:w="1440"/>
            <w:shd w:fill="FAFAFA" w:val="clear"/>
          </w:tcPr>
          <w:p>
            <w:r>
              <w:rPr>
                <w:sz w:val="17"/>
              </w:rPr>
              <w:t>4,369</w:t>
            </w:r>
          </w:p>
        </w:tc>
        <w:tc>
          <w:tcPr>
            <w:tcW w:type="dxa" w:w="1440"/>
            <w:shd w:fill="FAFAFA" w:val="clear"/>
          </w:tcPr>
          <w:p>
            <w:r>
              <w:rPr>
                <w:b/>
                <w:color w:val="008000"/>
                <w:sz w:val="17"/>
              </w:rPr>
              <w:t>+1.8%</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3,560</w:t>
            </w:r>
          </w:p>
        </w:tc>
        <w:tc>
          <w:tcPr>
            <w:tcW w:type="dxa" w:w="1440"/>
            <w:shd w:fill="FAFAFA" w:val="clear"/>
          </w:tcPr>
          <w:p>
            <w:r>
              <w:rPr>
                <w:b/>
                <w:sz w:val="17"/>
              </w:rPr>
              <w:t>3,980</w:t>
            </w:r>
          </w:p>
        </w:tc>
        <w:tc>
          <w:tcPr>
            <w:tcW w:type="dxa" w:w="1440"/>
            <w:shd w:fill="FAFAFA" w:val="clear"/>
          </w:tcPr>
          <w:p>
            <w:r>
              <w:rPr>
                <w:sz w:val="17"/>
              </w:rPr>
              <w:t>4,399</w:t>
            </w:r>
          </w:p>
        </w:tc>
        <w:tc>
          <w:tcPr>
            <w:tcW w:type="dxa" w:w="1440"/>
            <w:shd w:fill="FAFAFA" w:val="clear"/>
          </w:tcPr>
          <w:p>
            <w:r>
              <w:rPr>
                <w:b/>
                <w:color w:val="008000"/>
                <w:sz w:val="17"/>
              </w:rPr>
              <w:t>+1.9%</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3,537</w:t>
            </w:r>
          </w:p>
        </w:tc>
        <w:tc>
          <w:tcPr>
            <w:tcW w:type="dxa" w:w="1440"/>
            <w:shd w:fill="FAFAFA" w:val="clear"/>
          </w:tcPr>
          <w:p>
            <w:r>
              <w:rPr>
                <w:b/>
                <w:sz w:val="17"/>
              </w:rPr>
              <w:t>3,982</w:t>
            </w:r>
          </w:p>
        </w:tc>
        <w:tc>
          <w:tcPr>
            <w:tcW w:type="dxa" w:w="1440"/>
            <w:shd w:fill="FAFAFA" w:val="clear"/>
          </w:tcPr>
          <w:p>
            <w:r>
              <w:rPr>
                <w:sz w:val="17"/>
              </w:rPr>
              <w:t>4,426</w:t>
            </w:r>
          </w:p>
        </w:tc>
        <w:tc>
          <w:tcPr>
            <w:tcW w:type="dxa" w:w="1440"/>
            <w:shd w:fill="FAFAFA" w:val="clear"/>
          </w:tcPr>
          <w:p>
            <w:r>
              <w:rPr>
                <w:b/>
                <w:color w:val="008000"/>
                <w:sz w:val="17"/>
              </w:rPr>
              <w:t>+2.0%</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3,515</w:t>
            </w:r>
          </w:p>
        </w:tc>
        <w:tc>
          <w:tcPr>
            <w:tcW w:type="dxa" w:w="1440"/>
            <w:shd w:fill="C6EFCE" w:val="clear"/>
          </w:tcPr>
          <w:p>
            <w:r>
              <w:rPr>
                <w:b/>
                <w:sz w:val="17"/>
              </w:rPr>
              <w:t>3,984</w:t>
            </w:r>
          </w:p>
        </w:tc>
        <w:tc>
          <w:tcPr>
            <w:tcW w:type="dxa" w:w="1440"/>
            <w:shd w:fill="C6EFCE" w:val="clear"/>
          </w:tcPr>
          <w:p>
            <w:r>
              <w:rPr>
                <w:sz w:val="17"/>
              </w:rPr>
              <w:t>4,453</w:t>
            </w:r>
          </w:p>
        </w:tc>
        <w:tc>
          <w:tcPr>
            <w:tcW w:type="dxa" w:w="1440"/>
            <w:shd w:fill="C6EFCE" w:val="clear"/>
          </w:tcPr>
          <w:p>
            <w:r>
              <w:rPr>
                <w:b/>
                <w:color w:val="008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39,99 milliards FCFA, PRSC se positionne comme une valeur de taille intermédiaire sur le compartiment des entreprises non bancaires de la BRVM, ce qui lui confère une liquidité modérée (volume moyen de 1 132 titres/jour). Le BPA de 231 FCFA/action signifie que chaque titre génère près de 231 FCFA de bénéfice net, un niveau correct pour une société de distribution automobile. Le PER de 16,9x apparaît nettement supérieur à la moyenne du marché BRVM (8-12x), traduisant une prime de valorisation que les investisseurs accordent à la qualité de la franchise Tractafric et à sa position de leader sur le marché ivoirien. Le P/B de 3,47x confirme cette prime de croissance, le marché valorisant la société à plus de trois fois ses fonds propres comptables (11,53 Mds FCFA), tandis que l'EV/EBITDA de 8,9x situe la valeur totale de l'entreprise à un niveau raisonnable par rapport à sa capacité opérationnelle dégagée (EBE de 5,787 Mds FCFA en 2025). L'ensemble de ces ratios dessine un profil de valorisation modérément tendu, justifié par la solidité des fondamentaux mais offrant peu de marge de sécurité.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PRSC affiche une variation totale positive de +5,68%, mais la dernière séance a enregistré une correction marquée de -4,76%, ramenant le cours à 3 905 FCFA. Le range de trading s'étend de 3 620 FCFA (plus bas) à 4 740 FCFA (plus haut), soit une amplitude de 1 120 FCFA (30,9%) qui témoigne d'une réelle volatilité intra-période. La tendance générale reste haussière sur la période, mais la récente cassure sous les 4 000 FCFA signale une pression vendeuse de court terme. Les statistiques descriptives révèlent une moyenne de 4 346 FCFA supérieure à la médiane de 4 402 FCFA — écart qui, combiné au mode à 4 400 FCFA, indique une concentration des échanges autour de 4 400 FCFA avec des incursions baissières récentes tirant la moyenne vers le bas. L'écart-type de 261 FCFA (CV de 6,0%) traduit une dispersion modérée du cours, mais le kurtosis de 1,103 (leptokurtique) signale des queues épaisses et un risque de pics de volatilité, tandis que le skewness de -1,269 (asymétrie négative) indique davantage de journées au-dessus de la moyenne, mais des chutes plus violentes que les hausses. La volatilité annualisée de 37,3% classe le titre dans la catégorie des valeurs à volatilité élevée (&gt;30%), ce qui implique un risque de marché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(4 272,25 FCFA) et la MM50 (4 398,20 FCFA) se situent toutes deux au-dessus du cours actuel (3 905 FCFA), confirmant une configuration baissière de court et moyen terme. La MM20 étant inférieure à la MM50, le croisement des moyennes suggère une accélération de la tendance baissière, justifiant la décision de Vente.</w:t>
      </w:r>
    </w:p>
    <w:p>
      <w:pPr>
        <w:spacing w:after="120" w:line="276" w:lineRule="auto"/>
      </w:pPr>
      <w:r>
        <w:t>**Bandes de Bollinger** : Le cours (3 905 FCFA) se situe sous la borne inférieure (3 920,48 FCFA), signalant une situation de survente technique et une volatilité accrue. Cette position extrême sous la bande basse justifie la décision d'Achat, car elle précède historiquement des rebonds techniques.</w:t>
      </w:r>
    </w:p>
    <w:p>
      <w:pPr>
        <w:spacing w:after="120" w:line="276" w:lineRule="auto"/>
      </w:pPr>
      <w:r>
        <w:t>**MACD** : La valeur du MACD (-116,703) est inférieure à son signal (-78,871), avec un histogramme négatif qui s'accentue, confirmant un momentum baissier persistant. La divergence négative entre MACD et signal justifie la décision de Vente, bien que le niveau très bas du MACD suggère une possible exhaustion de la tendance baissière.</w:t>
      </w:r>
    </w:p>
    <w:p>
      <w:pPr>
        <w:spacing w:after="120" w:line="276" w:lineRule="auto"/>
      </w:pPr>
      <w:r>
        <w:t>**RSI** : À 31,818, le RSI se situe juste au-dessus du seuil de survente (30), en zone neutre basse. Cette position indique que le titre n'est pas encore techniquement survendu mais s'en approche dangereusement, justifiant la décision Neutre avec un biais baissier.</w:t>
      </w:r>
    </w:p>
    <w:p>
      <w:pPr>
        <w:spacing w:after="120" w:line="276" w:lineRule="auto"/>
      </w:pPr>
      <w:r>
        <w:t>**Stochastique** : Le %K (0,862) est très inférieur au %D (11,782), avec un croisement haussier en zone de survente extrême. Cette configuration est un signal d'achat technique classique, justifiant la décision d'Achat, bien que la fiabilité de ce signal soit renforcée par la position sous les bandes de Bollinger.</w:t>
      </w:r>
    </w:p>
    <w:p>
      <w:pPr>
        <w:spacing w:after="120" w:line="276" w:lineRule="auto"/>
      </w:pPr>
      <w:r>
        <w:t>**Conclusion technique** : Les indicateurs présentent une divergence notable : les moyennes mobiles et le MACD confirment une tendance baissière, tandis que les bandes de Bollinger et le stochastique génèrent des signaux d'achat en zone de survente. Le RSI neutre-bas ne tranche pas. Cette configuration suggère un possible rebond technique à court terme, mais la tendance de fond reste baissière tant que le cours ne repasse pas au-dessus de la MM20 (4 272 FCFA). La prudence est de mise.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officiels de PRSC (exercice clos le 31 décembre 2025) affichent un chiffre d'affaires de 81,127 milliards FCFA, en croissance de 8,64% sur un an, confirmant la dynamique commerciale de la société. Le résultat net s'établit à 2,367 milliards FCFA, en légère hausse par rapport aux 2,35 milliards de 2024, avec une marge nette de 2,92% — modeste mais stable. Le ROE atteint 20,53%, un niveau excellent qui témoigne d'une rentabilité des fonds propres très satisfaisante, tandis que le ROA de 4,95% reflète l'intensité capitalistique du modèle de distribution. Sur le plan de la structure financière, l'autonomie financière (24,10%) est inférieure au seuil de 30% considéré comme sain, et le ratio d'endettement (314,86%) est élevé, mais la solvabilité générale (131,76%) et la liquidité générale (120,87%) restent correctes. Les délais d'exploitation révèlent un délai clients de 46 jours (risque de trésorerie modéré) et un délai fournisseurs de 102,65 jours (favorable à la trésorerie), tandis que la durée de stockage de 150,51 jours immobilise du capital. Le BFR de 11,267 milliards FCFA et la trésorerie nette négative de -4,092 milliards FCFA constituent des points de vigilance. Les rapports narratifs confirment cette analyse : le rapport du 30 juin 2025 (S1 2025) fait état d'un CA de 39,968 milliards FCFA (+15,1%) et d'un résultat net de 1,436 milliard FCFA (×28 vs S1 2024), une performance exceptionnelle. Le rapport du 31 décembre 2025 (analysé par MISTRAL le 30 mars 2026) souligne la croissance du CA à 81,1 milliards FCFA (+9,5%) et un résultat net stable à 2,37 milliards FCFA. Le rapport du 15 juin 2026 (avis de convocation) confirme la mise en paiement d'un dividende de 209 FCFA/action, offrant un rendement attractif de 5,35% au cours actuel. **Estimation** : sur la base du S1 2025 (+15,1% de CA) et de la dynamique du marché automobile ivoirien, on peut estimer que l'exercice 2026 devrait maintenir une croissance du CA entre 8% et 12%, avec un résultat net attendu autour de 2,5-2,7 milliards FCFA, sous réserve de l'absence de choc macroéconomique. La recommandation fondamentale est de **CONSERVER** : la société est solide, rentable et généreuse en dividende, mais sa valorisation tendue et son endettement élevé limitent le potentiel de hausse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modérément tendue : le PER de 16,9x et le P/B de 3,47x indiquent une prime de croissance, mais l'EV/EBITDA de 8,9x reste raisonnable, suggérant une valorisation globalement juste, sans sous-évaluation manifeste. Le comportement du cours (Partie 1) est préoccupant à court terme : la correction de -4,76% en J-1, la volatilité élevée (37,3%) et le skewness négatif (-1,269) signalent un risque de nouvelles baisses, bien que la tendance de fond sur 100 jours reste positive (+5,68%). Les signaux techniques (Partie 2) sont divergents : les indicateurs de tendance (MM, MACD) sont baissiers, tandis que les oscillateurs (Bollinger, Stochastique) génèrent des signaux d'achat en zone de survente, suggérant un rebond technique possible mais fragile. Les fondamentaux (Partie 3) sont solides : croissance du CA (+8,64% en 2025), ROE excellent (20,53%), dividende attractif (209 FCFA/action, rendement 5,35%), mais endettement élevé et trésorerie nette négative. Les prédictions IA (J+1 à J+10) tablent sur une légère reprise vers 3 964-3 975 FCFA, ce qui confirme le scénario d'un rebond technique de court terme sans inversion de tendance. **Recommandation finale : CONSERVER**. La convergence entre une valorisation juste, des fondamentaux solides et un dividende attractif justifie le maintien en portefeuille, mais la divergence entre signaux techniques baissiers et oscillateurs survendus, ainsi que la volatilité élevée, incitent à la prudence. Le niveau de confiance est **Moyen**, le risque global est **Élevé** (volatilité, endettement, dépendance au marché automobile), et l'horizon optimal est le **moyen terme (3-12 mois)**, en attendant une clarification de la tendance technique et la confirmation des résultats du S2 2026. Un achat spéculatif sur rebond technique est envisageable pour les investisseurs agressifs, avec un stop-loss sous 3 800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52.82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8,892 titres</w:t>
            </w:r>
          </w:p>
        </w:tc>
        <w:tc>
          <w:tcPr>
            <w:tcW w:type="dxa" w:w="2268"/>
            <w:shd w:fill="FFF2CC" w:val="clear"/>
          </w:tcPr>
          <w:p>
            <w:r>
              <w:rPr>
                <w:b/>
                <w:color w:val="503200"/>
                <w:sz w:val="16"/>
              </w:rPr>
              <w:t xml:space="preserve">Cours actuel : </w:t>
            </w:r>
            <w:r>
              <w:rPr>
                <w:color w:val="000000"/>
                <w:sz w:val="17"/>
              </w:rPr>
              <w:t>4,450 FCFA</w:t>
            </w:r>
          </w:p>
          <w:p>
            <w:r>
              <w:rPr>
                <w:b/>
                <w:color w:val="503200"/>
                <w:sz w:val="16"/>
              </w:rPr>
              <w:t xml:space="preserve">Var. 100 jours : </w:t>
            </w:r>
            <w:r>
              <w:rPr>
                <w:b/>
                <w:color w:val="007800"/>
                <w:sz w:val="17"/>
              </w:rPr>
              <w:t>+27.14%</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3,485 FCFA</w:t>
            </w:r>
          </w:p>
          <w:p>
            <w:r>
              <w:rPr>
                <w:b/>
                <w:color w:val="503200"/>
                <w:sz w:val="16"/>
              </w:rPr>
              <w:t xml:space="preserve">Volatilité ann. : </w:t>
            </w:r>
            <w:r>
              <w:rPr>
                <w:color w:val="000000"/>
                <w:sz w:val="17"/>
              </w:rPr>
              <w:t>61.7%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31.0/100 → Moyen</w:t>
      </w:r>
    </w:p>
    <w:p>
      <w:pPr>
        <w:spacing w:before="40" w:after="80"/>
      </w:pPr>
      <w:r>
        <w:rPr>
          <w:rFonts w:ascii="Courier New" w:hAnsi="Courier New"/>
          <w:color w:val="825A00"/>
          <w:sz w:val="18"/>
        </w:rPr>
        <w:t>██████░░░░░░░░░░░░░░  31.0/100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15.81% (Élevée) — μ=4,651 FCFA, σ=735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β=1.2228 (Agressif) — Cov=0.000083, Var(idx)=0.000068, ρ=0.259,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8,892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σ_j=3.89%/j (Modérée) — Vol. annualisée≈61.7%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2026-10-05</w:t>
            </w:r>
          </w:p>
        </w:tc>
        <w:tc>
          <w:tcPr>
            <w:tcW w:type="dxa" w:w="1440"/>
            <w:shd w:fill="FFDCE0" w:val="clear"/>
          </w:tcPr>
          <w:p>
            <w:r>
              <w:rPr>
                <w:sz w:val="17"/>
              </w:rPr>
              <w:t>3,868</w:t>
            </w:r>
          </w:p>
        </w:tc>
        <w:tc>
          <w:tcPr>
            <w:tcW w:type="dxa" w:w="1440"/>
            <w:shd w:fill="FFDCE0" w:val="clear"/>
          </w:tcPr>
          <w:p>
            <w:r>
              <w:rPr>
                <w:b/>
                <w:sz w:val="17"/>
              </w:rPr>
              <w:t>4,305</w:t>
            </w:r>
          </w:p>
        </w:tc>
        <w:tc>
          <w:tcPr>
            <w:tcW w:type="dxa" w:w="1440"/>
            <w:shd w:fill="FFDCE0" w:val="clear"/>
          </w:tcPr>
          <w:p>
            <w:r>
              <w:rPr>
                <w:sz w:val="17"/>
              </w:rPr>
              <w:t>4,742</w:t>
            </w:r>
          </w:p>
        </w:tc>
        <w:tc>
          <w:tcPr>
            <w:tcW w:type="dxa" w:w="1440"/>
            <w:shd w:fill="FFDCE0" w:val="clear"/>
          </w:tcPr>
          <w:p>
            <w:r>
              <w:rPr>
                <w:b/>
                <w:color w:val="C00000"/>
                <w:sz w:val="17"/>
              </w:rPr>
              <w:t>-3.3%</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3,760</w:t>
            </w:r>
          </w:p>
        </w:tc>
        <w:tc>
          <w:tcPr>
            <w:tcW w:type="dxa" w:w="1440"/>
            <w:shd w:fill="FFDCE0" w:val="clear"/>
          </w:tcPr>
          <w:p>
            <w:r>
              <w:rPr>
                <w:b/>
                <w:sz w:val="17"/>
              </w:rPr>
              <w:t>4,294</w:t>
            </w:r>
          </w:p>
        </w:tc>
        <w:tc>
          <w:tcPr>
            <w:tcW w:type="dxa" w:w="1440"/>
            <w:shd w:fill="FFDCE0" w:val="clear"/>
          </w:tcPr>
          <w:p>
            <w:r>
              <w:rPr>
                <w:sz w:val="17"/>
              </w:rPr>
              <w:t>4,828</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3,672</w:t>
            </w:r>
          </w:p>
        </w:tc>
        <w:tc>
          <w:tcPr>
            <w:tcW w:type="dxa" w:w="1440"/>
            <w:shd w:fill="FFDCE0" w:val="clear"/>
          </w:tcPr>
          <w:p>
            <w:r>
              <w:rPr>
                <w:b/>
                <w:sz w:val="17"/>
              </w:rPr>
              <w:t>4,288</w:t>
            </w:r>
          </w:p>
        </w:tc>
        <w:tc>
          <w:tcPr>
            <w:tcW w:type="dxa" w:w="1440"/>
            <w:shd w:fill="FFDCE0" w:val="clear"/>
          </w:tcPr>
          <w:p>
            <w:r>
              <w:rPr>
                <w:sz w:val="17"/>
              </w:rPr>
              <w:t>4,904</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3,595</w:t>
            </w:r>
          </w:p>
        </w:tc>
        <w:tc>
          <w:tcPr>
            <w:tcW w:type="dxa" w:w="1440"/>
            <w:shd w:fill="FFDCE0" w:val="clear"/>
          </w:tcPr>
          <w:p>
            <w:r>
              <w:rPr>
                <w:b/>
                <w:sz w:val="17"/>
              </w:rPr>
              <w:t>4,282</w:t>
            </w:r>
          </w:p>
        </w:tc>
        <w:tc>
          <w:tcPr>
            <w:tcW w:type="dxa" w:w="1440"/>
            <w:shd w:fill="FFDCE0" w:val="clear"/>
          </w:tcPr>
          <w:p>
            <w:r>
              <w:rPr>
                <w:sz w:val="17"/>
              </w:rPr>
              <w:t>4,970</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3,525</w:t>
            </w:r>
          </w:p>
        </w:tc>
        <w:tc>
          <w:tcPr>
            <w:tcW w:type="dxa" w:w="1440"/>
            <w:shd w:fill="FFDCE0" w:val="clear"/>
          </w:tcPr>
          <w:p>
            <w:r>
              <w:rPr>
                <w:b/>
                <w:sz w:val="17"/>
              </w:rPr>
              <w:t>4,277</w:t>
            </w:r>
          </w:p>
        </w:tc>
        <w:tc>
          <w:tcPr>
            <w:tcW w:type="dxa" w:w="1440"/>
            <w:shd w:fill="FFDCE0" w:val="clear"/>
          </w:tcPr>
          <w:p>
            <w:r>
              <w:rPr>
                <w:sz w:val="17"/>
              </w:rPr>
              <w:t>5,029</w:t>
            </w:r>
          </w:p>
        </w:tc>
        <w:tc>
          <w:tcPr>
            <w:tcW w:type="dxa" w:w="1440"/>
            <w:shd w:fill="FFDCE0" w:val="clear"/>
          </w:tcPr>
          <w:p>
            <w:r>
              <w:rPr>
                <w:b/>
                <w:color w:val="C00000"/>
                <w:sz w:val="17"/>
              </w:rPr>
              <w:t>-3.9%</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3,460</w:t>
            </w:r>
          </w:p>
        </w:tc>
        <w:tc>
          <w:tcPr>
            <w:tcW w:type="dxa" w:w="1440"/>
            <w:shd w:fill="FFDCE0" w:val="clear"/>
          </w:tcPr>
          <w:p>
            <w:r>
              <w:rPr>
                <w:b/>
                <w:sz w:val="17"/>
              </w:rPr>
              <w:t>4,271</w:t>
            </w:r>
          </w:p>
        </w:tc>
        <w:tc>
          <w:tcPr>
            <w:tcW w:type="dxa" w:w="1440"/>
            <w:shd w:fill="FFDCE0" w:val="clear"/>
          </w:tcPr>
          <w:p>
            <w:r>
              <w:rPr>
                <w:sz w:val="17"/>
              </w:rPr>
              <w:t>5,083</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3,400</w:t>
            </w:r>
          </w:p>
        </w:tc>
        <w:tc>
          <w:tcPr>
            <w:tcW w:type="dxa" w:w="1440"/>
            <w:shd w:fill="FFDCE0" w:val="clear"/>
          </w:tcPr>
          <w:p>
            <w:r>
              <w:rPr>
                <w:b/>
                <w:sz w:val="17"/>
              </w:rPr>
              <w:t>4,266</w:t>
            </w:r>
          </w:p>
        </w:tc>
        <w:tc>
          <w:tcPr>
            <w:tcW w:type="dxa" w:w="1440"/>
            <w:shd w:fill="FFDCE0" w:val="clear"/>
          </w:tcPr>
          <w:p>
            <w:r>
              <w:rPr>
                <w:sz w:val="17"/>
              </w:rPr>
              <w:t>5,132</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3,343</w:t>
            </w:r>
          </w:p>
        </w:tc>
        <w:tc>
          <w:tcPr>
            <w:tcW w:type="dxa" w:w="1440"/>
            <w:shd w:fill="FFDCE0" w:val="clear"/>
          </w:tcPr>
          <w:p>
            <w:r>
              <w:rPr>
                <w:b/>
                <w:sz w:val="17"/>
              </w:rPr>
              <w:t>4,261</w:t>
            </w:r>
          </w:p>
        </w:tc>
        <w:tc>
          <w:tcPr>
            <w:tcW w:type="dxa" w:w="1440"/>
            <w:shd w:fill="FFDCE0" w:val="clear"/>
          </w:tcPr>
          <w:p>
            <w:r>
              <w:rPr>
                <w:sz w:val="17"/>
              </w:rPr>
              <w:t>5,179</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3,289</w:t>
            </w:r>
          </w:p>
        </w:tc>
        <w:tc>
          <w:tcPr>
            <w:tcW w:type="dxa" w:w="1440"/>
            <w:shd w:fill="FFDCE0" w:val="clear"/>
          </w:tcPr>
          <w:p>
            <w:r>
              <w:rPr>
                <w:b/>
                <w:sz w:val="17"/>
              </w:rPr>
              <w:t>4,256</w:t>
            </w:r>
          </w:p>
        </w:tc>
        <w:tc>
          <w:tcPr>
            <w:tcW w:type="dxa" w:w="1440"/>
            <w:shd w:fill="FFDCE0" w:val="clear"/>
          </w:tcPr>
          <w:p>
            <w:r>
              <w:rPr>
                <w:sz w:val="17"/>
              </w:rPr>
              <w:t>5,222</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RAPPORT D'ANALYSE FINANCIÈRE — SAFC (ALIOS FINANCE CÔTE D'IVOIRE)</w:t>
        <w:br/>
        <w:t>**Bourse Régionale des Valeurs Mobilières (BRVM) — Secteur : Banque / Crédit à la consommation**</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52,82 milliards FCFA, un niveau modeste à l'échelle de la BRVM qui la positionne parmi les valeurs moyennes du compartiment financier. Le BPA de 59 FCFA/action indique que chaque titre génère près de 59 FCFA de bénéfice net, un niveau correct mais qui contraste fortement avec le cours actuel de 4 450 FCFA. Le PER ressort à 75,4x, soit un multiple très supérieur à la moyenne du marché BRVM (8-12x) : les investisseurs paient donc très cher chaque franc de bénéfice, ce qui traduit soit une anticipation de forte croissance future, soit une surévaluation spéculative. Le P/B de 8,93x confirme cette prime excessive, le marché valorisant la société près de 9 fois sa valeur comptable alors qu'un ratio supérieur à 4x est déjà considéré comme exigeant. Enfin, l'EV/EBITDA de 85,1x (très au-dessus du seuil de 15x) signale que la valeur d'entreprise est déconnectée de la capacité opérationnelle actuelle, ce qui impose une grande prudence malgré la dynamique de redressement.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progression totale de +27,14%, mais la dernière séance (J-1) enregistre un repli de -3,16%, signalant une prise de bénéfices après le rallye. Le cours actuel de 4 450 FCFA se situe dans la partie médiane du range de trading, entre un plus bas de 3 485 FCFA et un plus haut de 6 200 FCFA, ce qui traduit une tendance haussière de fond mais avec une correction récente marquée. Les statistiques descriptives révèlent une moyenne de 4 651 FCFA légèrement supérieure à la médiane de 4 580 FCFA, indiquant une distribution quasi symétrique (skewness de 0,312) avec une légère prédominance des valeurs hautes. L'écart-type de 739 FCFA (CV de 15,9%) témoigne d'une dispersion modérée du cours autour de sa moyenne, tandis que le kurtosis de -0,931 (mésokurtique) suggère une distribution proche de la normale, sans risque excessif de pics extrêmes. La volatilité annualisée de 61,7% classe le titre dans la catégorie des valeurs très volatiles (&gt;30%), ce qui est cohérent avec un profil de valeur spéculative en phase de redressement.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(4 920,25 FCFA) et la MM50 (5 203,5 FCFA) se situent toutes deux au-dessus du cours actuel (4 450 FCFA), confirmant une configuration baissière de court et moyen terme. Le prix évoluant sous ses deux moyennes, la décision technique est logiquement **Vente**, avec un croisement potentiellement baissier si la MM20 venait à passer sous la MM50.</w:t>
      </w:r>
    </w:p>
    <w:p>
      <w:pPr>
        <w:spacing w:after="120" w:line="276" w:lineRule="auto"/>
      </w:pPr>
      <w:r>
        <w:t>**Bandes de Bollinger :** Le cours (4 450 FCFA) se situe dans la partie basse de la bande, entre la borne inférieure (3 726,66 FCFA) et la borne supérieure (6 113,84 FCFA), sans atteindre les extrêmes. Cette position médiane-basse, couplée à une volatilité élevée, justifie une décision **Neutre** : le titre n'est ni en survente technique, ni en surachat.</w:t>
      </w:r>
    </w:p>
    <w:p>
      <w:pPr>
        <w:spacing w:after="120" w:line="276" w:lineRule="auto"/>
      </w:pPr>
      <w:r>
        <w:t>**MACD :** La valeur du MACD (-264,695) est inférieure à son signal (-236,6), confirmant un momentum baissier avec une divergence négative persistante. Le croisement MACD sous sa ligne de signal valide la décision **Vente**, indiquant que la pression vendeuse reste dominante à court terme.</w:t>
      </w:r>
    </w:p>
    <w:p>
      <w:pPr>
        <w:spacing w:after="120" w:line="276" w:lineRule="auto"/>
      </w:pPr>
      <w:r>
        <w:t>**RSI :** À 33,564, le RSI se situe juste au-dessus du seuil de survente (30), dans une zone neutre basse. Cette valeur n'indique ni un épuisement des vendeurs, ni un retournement imminent, justifiant une décision **Neutre** avec une vigilance accrue si le RSI venait à casser les 30.</w:t>
      </w:r>
    </w:p>
    <w:p>
      <w:pPr>
        <w:spacing w:after="120" w:line="276" w:lineRule="auto"/>
      </w:pPr>
      <w:r>
        <w:t>**Stochastique :** Le %K (38,525) est inférieur au %D (45,38), sans croisement haussier en vue, et les deux lignes évoluent en zone neutre-basse. Cette configuration ne génère pas de signal d'achat, d'où la décision **Neutre**, en attendant un croisement des lignes sous la zone des 20.</w:t>
      </w:r>
    </w:p>
    <w:p>
      <w:pPr>
        <w:spacing w:after="120" w:line="276" w:lineRule="auto"/>
      </w:pPr>
      <w:r>
        <w:t>**Conclusion technique :** La convergence des signaux baissiers (MM, MACD) et neutres (Bollinger, RSI, Stochastique) dresse un tableau technique globalement défavorable à court terme. Le titre est en phase de correction après un rallye de +27%, et aucun indicateur ne suggère encore un point d'entrée. Une stabilisation au-dessus de 4 200 FCFA serait nécessaire pour envisager un retournement.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 enregistré un Produit Net Bancaire (PNB, équivalent du chiffre d'affaires pour une banque) de 5 735 millions FCFA, en hausse de 44,1% par rapport à 2024 (3 980 M FCFA), porté par la progression des intérêts (+14,4%) et des commissions (+81%). Le résultat net s'établit à 701 millions FCFA, marquant un retournement spectaculaire après une perte de 165 millions FCFA en 2024, et un retour à la rentabilité après huit années de déficit. Le ROE (rentabilité des fonds propres) ressort à 11,85%, un niveau correct mais inférieur au seuil d'excellence de 15%, tandis que le ROA (rentabilité des actifs) est faible à 0,88%, reflétant la structure bilancielle très endettée (autonomie financière de seulement 7,44%). Le coefficient d'exploitation de 77,63% reste élevé (seuil d'efficacité : &lt;60%), indiquant que les charges absorbent encore une part trop importante du PNB. Le coût du risque (6,57% des charges financières) demeure significatif, bien qu'en amélioration, et la dépendance aux dettes interbancaires (35 747 M FCFA, +45%) expose la société à un risque de liquidité.</w:t>
      </w:r>
    </w:p>
    <w:p>
      <w:pPr>
        <w:spacing w:after="120" w:line="276" w:lineRule="auto"/>
      </w:pPr>
      <w:r>
        <w:t>**Estimations basées sur les rapports trimestriels** : Le rapport du T1 2026 (publié le 14/04/2026) indique un PNB de 1 395 millions FCFA (+29%) et un résultat net de 151 millions FCFA (+1 062%), avec un coût du risque en baisse de 75%. Le rapport du S1 2026 (publié le 04/09/2026) confirme cette dynamique avec un PNB de 2 907 millions FCFA (+37%) et un résultat net de 731 millions FCFA (+231%), dépassant déjà le résultat net annuel 2025. Sur cette base, on estime que l'exercice 2026 devrait afficher un PNB supérieur à 6 milliards FCFA et un résultat net potentiellement supérieur à 1,2 milliard FCFA, avec un ratio CET1 en amélioration à 11,49% (contre 9,65% en 2025). L'augmentation de capital de 1,5 milliard FCFA (avis BRVM du 13/04/2026) vise à renforcer les fonds propres et financer la croissance.</w:t>
      </w:r>
    </w:p>
    <w:p>
      <w:pPr>
        <w:spacing w:after="120" w:line="276" w:lineRule="auto"/>
      </w:pPr>
      <w:r>
        <w:t>**Recommandation fondamentale** : La dynamique de redressement est indéniable, portée par l'intégration au sein de CREDAF Group et une meilleure maîtrise du risque. Cependant, la valorisation boursière (PER de 75,4x) intègre déjà largement ces perspectives, et la structure financière reste fragile (report à nouveau négatif de -4 123 M FCFA, dépendance interbancaire). La recommandation fondamentale est **CONSERVER** avec un biais spéculatif, en attendant la confirmation de la soutenabilité de la rentabilité et l'assainissement complet du bilan.</w:t>
      </w:r>
    </w:p>
    <w:p>
      <w:pPr>
        <w:spacing w:after="120" w:line="276" w:lineRule="auto"/>
      </w:pPr>
      <w:r>
        <w:t>---</w:t>
      </w:r>
    </w:p>
    <w:p>
      <w:pPr>
        <w:spacing w:after="120" w:line="276" w:lineRule="auto"/>
      </w:pPr>
      <w:r>
        <w:t>## PARTIE 4 : CONCLUSION D'INVESTISSEMENT</w:t>
      </w:r>
    </w:p>
    <w:p>
      <w:pPr>
        <w:spacing w:after="120" w:line="276" w:lineRule="auto"/>
      </w:pPr>
      <w:r>
        <w:t>La valorisation de SAFC (PER de 75,4x, P/B de 8,93x, EV/EBITDA de 85,1x) indique une **surévaluation manifeste** par rapport aux bénéfices et à la valeur comptable, bien que le marché anticipe une croissance future. Le comportement du cours sur 100 jours (+27,14%) est haussier mais la correction récente (-3,16% en J-1) et la volatilité élevée (61,7%) suggèrent une phase de consolidation, avec une distribution quasi symétrique (skewness de 0,312) et un risque de pics modéré (kurtosis de -0,931). Les signaux techniques sont majoritairement baissiers (MM20 et MM50 au-dessus du cours, MACD négatif) ou neutres (RSI à 33,6, Stochastique sans croisement), ce qui ne plaide pas pour une entrée immédiate. Les fondamentaux sont en nette amélioration (PNB +44% en 2025, résultat net de 701 M FCFA, S1 2026 déjà à 731 M FCFA), mais la structure financière reste fragile et la valorisation exigeante. Les prédictions IA (J+1 à J+10) anticipent une légère baisse vers 4 277-4 305 FCFA, confirmant la pression baissière de court terme.</w:t>
      </w:r>
    </w:p>
    <w:p>
      <w:pPr>
        <w:spacing w:after="120" w:line="276" w:lineRule="auto"/>
      </w:pPr>
      <w:r>
        <w:t>**Recommandation finale : CONSERVER** (avec un biais spéculatif pour les investisseurs avisés). La convergence entre une valorisation tendue, des signaux techniques baissiers et des fondamentaux en redressement mais fragiles justifie une position attentiste. Le niveau de confiance est **Moyen**, car si la dynamique opérationnelle est impressionnante, les risques de liquidité et de solvabilité persistent. Le niveau de risque global est **Élevé** (volatilité de 61,7%, dépendance interbancaire, report à nouveau négatif). L'horizon d'investissement optimal est le **moyen terme (3-12 mois)**, en surveillant la confirmation des résultats du S2 2026 et l'impact de l'augmentation de capital sur les ratios prudentiels. Un passage à l'ACHAT serait justifié si le titre revenait vers 3 800-4 000 FCFA avec une confirmation de la rentabilité durable.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54.68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11,214 titres</w:t>
            </w:r>
          </w:p>
        </w:tc>
        <w:tc>
          <w:tcPr>
            <w:tcW w:type="dxa" w:w="2268"/>
            <w:shd w:fill="FFF2CC" w:val="clear"/>
          </w:tcPr>
          <w:p>
            <w:r>
              <w:rPr>
                <w:b/>
                <w:color w:val="503200"/>
                <w:sz w:val="16"/>
              </w:rPr>
              <w:t xml:space="preserve">Cours actuel : </w:t>
            </w:r>
            <w:r>
              <w:rPr>
                <w:color w:val="000000"/>
                <w:sz w:val="17"/>
              </w:rPr>
              <w:t>2,790 FCFA</w:t>
            </w:r>
          </w:p>
          <w:p>
            <w:r>
              <w:rPr>
                <w:b/>
                <w:color w:val="503200"/>
                <w:sz w:val="16"/>
              </w:rPr>
              <w:t xml:space="preserve">Var. 100 jours : </w:t>
            </w:r>
            <w:r>
              <w:rPr>
                <w:b/>
                <w:color w:val="007800"/>
                <w:sz w:val="17"/>
              </w:rPr>
              <w:t>+30.68%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2,080 FCFA</w:t>
            </w:r>
          </w:p>
          <w:p>
            <w:r>
              <w:rPr>
                <w:b/>
                <w:color w:val="503200"/>
                <w:sz w:val="16"/>
              </w:rPr>
              <w:t xml:space="preserve">Volatilité ann. : </w:t>
            </w:r>
            <w:r>
              <w:rPr>
                <w:color w:val="000000"/>
                <w:sz w:val="17"/>
              </w:rPr>
              <w:t>58.9%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14.64% (Moyenne) — μ=3,172 FCFA, σ=464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β=1.4314 (Agressif) — Cov=0.000092, Var(idx)=0.000065, ρ=0.317,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11,214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σ_j=3.71%/j (Modérée) — Vol. annualisée≈58.9%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2026-10-05</w:t>
            </w:r>
          </w:p>
        </w:tc>
        <w:tc>
          <w:tcPr>
            <w:tcW w:type="dxa" w:w="1440"/>
            <w:shd w:fill="C6EFCE" w:val="clear"/>
          </w:tcPr>
          <w:p>
            <w:r>
              <w:rPr>
                <w:sz w:val="17"/>
              </w:rPr>
              <w:t>2,696</w:t>
            </w:r>
          </w:p>
        </w:tc>
        <w:tc>
          <w:tcPr>
            <w:tcW w:type="dxa" w:w="1440"/>
            <w:shd w:fill="C6EFCE" w:val="clear"/>
          </w:tcPr>
          <w:p>
            <w:r>
              <w:rPr>
                <w:b/>
                <w:sz w:val="17"/>
              </w:rPr>
              <w:t>2,927</w:t>
            </w:r>
          </w:p>
        </w:tc>
        <w:tc>
          <w:tcPr>
            <w:tcW w:type="dxa" w:w="1440"/>
            <w:shd w:fill="C6EFCE" w:val="clear"/>
          </w:tcPr>
          <w:p>
            <w:r>
              <w:rPr>
                <w:sz w:val="17"/>
              </w:rPr>
              <w:t>3,159</w:t>
            </w:r>
          </w:p>
        </w:tc>
        <w:tc>
          <w:tcPr>
            <w:tcW w:type="dxa" w:w="1440"/>
            <w:shd w:fill="C6EFCE" w:val="clear"/>
          </w:tcPr>
          <w:p>
            <w:r>
              <w:rPr>
                <w:b/>
                <w:color w:val="008000"/>
                <w:sz w:val="17"/>
              </w:rPr>
              <w:t>+4.9%</w:t>
            </w:r>
          </w:p>
        </w:tc>
      </w:tr>
      <w:tr>
        <w:tc>
          <w:tcPr>
            <w:tcW w:type="dxa" w:w="1440"/>
            <w:shd w:fill="C6EFCE" w:val="clear"/>
          </w:tcPr>
          <w:p>
            <w:r>
              <w:rPr>
                <w:sz w:val="17"/>
              </w:rPr>
              <w:t>J+2  Moyenne</w:t>
            </w:r>
          </w:p>
        </w:tc>
        <w:tc>
          <w:tcPr>
            <w:tcW w:type="dxa" w:w="1440"/>
            <w:shd w:fill="C6EFCE" w:val="clear"/>
          </w:tcPr>
          <w:p>
            <w:r>
              <w:rPr>
                <w:sz w:val="17"/>
              </w:rPr>
              <w:t>2026-10-06</w:t>
            </w:r>
          </w:p>
        </w:tc>
        <w:tc>
          <w:tcPr>
            <w:tcW w:type="dxa" w:w="1440"/>
            <w:shd w:fill="C6EFCE" w:val="clear"/>
          </w:tcPr>
          <w:p>
            <w:r>
              <w:rPr>
                <w:sz w:val="17"/>
              </w:rPr>
              <w:t>2,721</w:t>
            </w:r>
          </w:p>
        </w:tc>
        <w:tc>
          <w:tcPr>
            <w:tcW w:type="dxa" w:w="1440"/>
            <w:shd w:fill="C6EFCE" w:val="clear"/>
          </w:tcPr>
          <w:p>
            <w:r>
              <w:rPr>
                <w:b/>
                <w:sz w:val="17"/>
              </w:rPr>
              <w:t>3,013</w:t>
            </w:r>
          </w:p>
        </w:tc>
        <w:tc>
          <w:tcPr>
            <w:tcW w:type="dxa" w:w="1440"/>
            <w:shd w:fill="C6EFCE" w:val="clear"/>
          </w:tcPr>
          <w:p>
            <w:r>
              <w:rPr>
                <w:sz w:val="17"/>
              </w:rPr>
              <w:t>3,304</w:t>
            </w:r>
          </w:p>
        </w:tc>
        <w:tc>
          <w:tcPr>
            <w:tcW w:type="dxa" w:w="1440"/>
            <w:shd w:fill="C6EFCE" w:val="clear"/>
          </w:tcPr>
          <w:p>
            <w:r>
              <w:rPr>
                <w:b/>
                <w:color w:val="008000"/>
                <w:sz w:val="17"/>
              </w:rPr>
              <w:t>+8.0%</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2,736</w:t>
            </w:r>
          </w:p>
        </w:tc>
        <w:tc>
          <w:tcPr>
            <w:tcW w:type="dxa" w:w="1440"/>
            <w:shd w:fill="C6EFCE" w:val="clear"/>
          </w:tcPr>
          <w:p>
            <w:r>
              <w:rPr>
                <w:b/>
                <w:sz w:val="17"/>
              </w:rPr>
              <w:t>3,081</w:t>
            </w:r>
          </w:p>
        </w:tc>
        <w:tc>
          <w:tcPr>
            <w:tcW w:type="dxa" w:w="1440"/>
            <w:shd w:fill="C6EFCE" w:val="clear"/>
          </w:tcPr>
          <w:p>
            <w:r>
              <w:rPr>
                <w:sz w:val="17"/>
              </w:rPr>
              <w:t>3,425</w:t>
            </w:r>
          </w:p>
        </w:tc>
        <w:tc>
          <w:tcPr>
            <w:tcW w:type="dxa" w:w="1440"/>
            <w:shd w:fill="C6EFCE" w:val="clear"/>
          </w:tcPr>
          <w:p>
            <w:r>
              <w:rPr>
                <w:b/>
                <w:color w:val="008000"/>
                <w:sz w:val="17"/>
              </w:rPr>
              <w:t>+10.4%</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2,741</w:t>
            </w:r>
          </w:p>
        </w:tc>
        <w:tc>
          <w:tcPr>
            <w:tcW w:type="dxa" w:w="1440"/>
            <w:shd w:fill="C6EFCE" w:val="clear"/>
          </w:tcPr>
          <w:p>
            <w:r>
              <w:rPr>
                <w:b/>
                <w:sz w:val="17"/>
              </w:rPr>
              <w:t>3,133</w:t>
            </w:r>
          </w:p>
        </w:tc>
        <w:tc>
          <w:tcPr>
            <w:tcW w:type="dxa" w:w="1440"/>
            <w:shd w:fill="C6EFCE" w:val="clear"/>
          </w:tcPr>
          <w:p>
            <w:r>
              <w:rPr>
                <w:sz w:val="17"/>
              </w:rPr>
              <w:t>3,525</w:t>
            </w:r>
          </w:p>
        </w:tc>
        <w:tc>
          <w:tcPr>
            <w:tcW w:type="dxa" w:w="1440"/>
            <w:shd w:fill="C6EFCE" w:val="clear"/>
          </w:tcPr>
          <w:p>
            <w:r>
              <w:rPr>
                <w:b/>
                <w:color w:val="008000"/>
                <w:sz w:val="17"/>
              </w:rPr>
              <w:t>+12.3%</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2,740</w:t>
            </w:r>
          </w:p>
        </w:tc>
        <w:tc>
          <w:tcPr>
            <w:tcW w:type="dxa" w:w="1440"/>
            <w:shd w:fill="C6EFCE" w:val="clear"/>
          </w:tcPr>
          <w:p>
            <w:r>
              <w:rPr>
                <w:b/>
                <w:sz w:val="17"/>
              </w:rPr>
              <w:t>3,175</w:t>
            </w:r>
          </w:p>
        </w:tc>
        <w:tc>
          <w:tcPr>
            <w:tcW w:type="dxa" w:w="1440"/>
            <w:shd w:fill="C6EFCE" w:val="clear"/>
          </w:tcPr>
          <w:p>
            <w:r>
              <w:rPr>
                <w:sz w:val="17"/>
              </w:rPr>
              <w:t>3,610</w:t>
            </w:r>
          </w:p>
        </w:tc>
        <w:tc>
          <w:tcPr>
            <w:tcW w:type="dxa" w:w="1440"/>
            <w:shd w:fill="C6EFCE" w:val="clear"/>
          </w:tcPr>
          <w:p>
            <w:r>
              <w:rPr>
                <w:b/>
                <w:color w:val="008000"/>
                <w:sz w:val="17"/>
              </w:rPr>
              <w:t>+13.8%</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2,734</w:t>
            </w:r>
          </w:p>
        </w:tc>
        <w:tc>
          <w:tcPr>
            <w:tcW w:type="dxa" w:w="1440"/>
            <w:shd w:fill="C6EFCE" w:val="clear"/>
          </w:tcPr>
          <w:p>
            <w:r>
              <w:rPr>
                <w:b/>
                <w:sz w:val="17"/>
              </w:rPr>
              <w:t>3,209</w:t>
            </w:r>
          </w:p>
        </w:tc>
        <w:tc>
          <w:tcPr>
            <w:tcW w:type="dxa" w:w="1440"/>
            <w:shd w:fill="C6EFCE" w:val="clear"/>
          </w:tcPr>
          <w:p>
            <w:r>
              <w:rPr>
                <w:sz w:val="17"/>
              </w:rPr>
              <w:t>3,684</w:t>
            </w:r>
          </w:p>
        </w:tc>
        <w:tc>
          <w:tcPr>
            <w:tcW w:type="dxa" w:w="1440"/>
            <w:shd w:fill="C6EFCE" w:val="clear"/>
          </w:tcPr>
          <w:p>
            <w:r>
              <w:rPr>
                <w:b/>
                <w:color w:val="008000"/>
                <w:sz w:val="17"/>
              </w:rPr>
              <w:t>+15.0%</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2,726</w:t>
            </w:r>
          </w:p>
        </w:tc>
        <w:tc>
          <w:tcPr>
            <w:tcW w:type="dxa" w:w="1440"/>
            <w:shd w:fill="C6EFCE" w:val="clear"/>
          </w:tcPr>
          <w:p>
            <w:r>
              <w:rPr>
                <w:b/>
                <w:sz w:val="17"/>
              </w:rPr>
              <w:t>3,239</w:t>
            </w:r>
          </w:p>
        </w:tc>
        <w:tc>
          <w:tcPr>
            <w:tcW w:type="dxa" w:w="1440"/>
            <w:shd w:fill="C6EFCE" w:val="clear"/>
          </w:tcPr>
          <w:p>
            <w:r>
              <w:rPr>
                <w:sz w:val="17"/>
              </w:rPr>
              <w:t>3,751</w:t>
            </w:r>
          </w:p>
        </w:tc>
        <w:tc>
          <w:tcPr>
            <w:tcW w:type="dxa" w:w="1440"/>
            <w:shd w:fill="C6EFCE" w:val="clear"/>
          </w:tcPr>
          <w:p>
            <w:r>
              <w:rPr>
                <w:b/>
                <w:color w:val="008000"/>
                <w:sz w:val="17"/>
              </w:rPr>
              <w:t>+16.1%</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2,717</w:t>
            </w:r>
          </w:p>
        </w:tc>
        <w:tc>
          <w:tcPr>
            <w:tcW w:type="dxa" w:w="1440"/>
            <w:shd w:fill="C6EFCE" w:val="clear"/>
          </w:tcPr>
          <w:p>
            <w:r>
              <w:rPr>
                <w:b/>
                <w:sz w:val="17"/>
              </w:rPr>
              <w:t>3,264</w:t>
            </w:r>
          </w:p>
        </w:tc>
        <w:tc>
          <w:tcPr>
            <w:tcW w:type="dxa" w:w="1440"/>
            <w:shd w:fill="C6EFCE" w:val="clear"/>
          </w:tcPr>
          <w:p>
            <w:r>
              <w:rPr>
                <w:sz w:val="17"/>
              </w:rPr>
              <w:t>3,812</w:t>
            </w:r>
          </w:p>
        </w:tc>
        <w:tc>
          <w:tcPr>
            <w:tcW w:type="dxa" w:w="1440"/>
            <w:shd w:fill="C6EFCE" w:val="clear"/>
          </w:tcPr>
          <w:p>
            <w:r>
              <w:rPr>
                <w:b/>
                <w:color w:val="008000"/>
                <w:sz w:val="17"/>
              </w:rPr>
              <w:t>+17.0%</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2,705</w:t>
            </w:r>
          </w:p>
        </w:tc>
        <w:tc>
          <w:tcPr>
            <w:tcW w:type="dxa" w:w="1440"/>
            <w:shd w:fill="C6EFCE" w:val="clear"/>
          </w:tcPr>
          <w:p>
            <w:r>
              <w:rPr>
                <w:b/>
                <w:sz w:val="17"/>
              </w:rPr>
              <w:t>3,287</w:t>
            </w:r>
          </w:p>
        </w:tc>
        <w:tc>
          <w:tcPr>
            <w:tcW w:type="dxa" w:w="1440"/>
            <w:shd w:fill="C6EFCE" w:val="clear"/>
          </w:tcPr>
          <w:p>
            <w:r>
              <w:rPr>
                <w:sz w:val="17"/>
              </w:rPr>
              <w:t>3,868</w:t>
            </w:r>
          </w:p>
        </w:tc>
        <w:tc>
          <w:tcPr>
            <w:tcW w:type="dxa" w:w="1440"/>
            <w:shd w:fill="C6EFCE" w:val="clear"/>
          </w:tcPr>
          <w:p>
            <w:r>
              <w:rPr>
                <w:b/>
                <w:color w:val="008000"/>
                <w:sz w:val="17"/>
              </w:rPr>
              <w:t>+17.8%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*Analyste : Marché BRVM | Date de référence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54,68 Mds FCFA, un niveau intermédiaire qui positionne le titre parmi les valeurs moyennes de la BRVM, mais qui contraste fortement avec la taille de son bilan (156,4 Mds FCFA d'actifs). Le BPA ressort à -406 FCFA/action, conséquence directe de la perte nette de 7,95 Mds FCFA enregistrée en 2025 (IFRS), ce qui rend le PER de -6,9x non significatif — les investisseurs ne peuvent valoriser les bénéfices inexistants. Le P/B de 3,17x indique que le marché valorise l'entreprise à plus de trois fois ses capitaux propres comptables (17,24 Mds FCFA), soit une prime de croissance qui apparaît difficile à justifier au regard des pertes récentes. L'EV/EBITDA de 9,8x, dans la fourchette raisonnable de 5-10x, suggère que la valeur d'entreprise reste soutenue par la capacité opérationnelle (EBE de 14,85 Mds FCFA), mais cet indicateur masque la lourdeur de la dette financière (84,87 Mds FCFA) qui pèse sur la structure. En synthèse, la valorisation boursière repose davantage sur des anticipations de redressement que sur des fondamentaux actuels solides.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SCRC a progressé de +30,68%, une performance haussière notable, bien que la dernière séance (J-1) affiche un repli de -1,59% à 2 790 FCFA. Le range de trading est particulièrement large, avec un plus haut à 3 920 FCFA et un plus bas à 2 080 FCFA, soit une amplitude de 88% qui témoigne d'une forte volatilité. La tendance générale est haussière sur la période, mais le cours actuel se situe en retrait de 29% par rapport à son plus haut, signalant une correction en cours. Les statistiques descriptives révèlent une moyenne de 3 172 FCFA supérieure à la médiane de 3 298 FCFA — écart qui, combiné à un skewness négatif de -0,696, indique une asymétrie à gauche avec davantage de journées au-dessus de la moyenne, typique d'une distribution tirée par des pics haussiers. L'écart-type de 467 FCFA (CV=14,7%) traduit une dispersion modérée autour de la moyenne, tandis que le kurtosis de -0,543 (mésokurtique) suggère une distribution proche de la normale, sans risque extrême de pics. La volatilité annualisée de 58,9% classe le titre dans la catégorie des valeurs très volatiles (&gt;30%), ce qui implique un risque élevé pour les investisseurs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(3 224,75 FCFA) et la MM50 (3 437,0 FCFA) se situent toutes deux au-dessus du cours actuel (2 790 FCFA), confirmant une pression baissière de court et moyen terme. Le croisement baissier (MM20 &lt; MM50) et l'écart négatif avec le cours justifient la décision de **Vente** émise par cet indicateur.</w:t>
      </w:r>
    </w:p>
    <w:p>
      <w:pPr>
        <w:spacing w:after="120" w:line="276" w:lineRule="auto"/>
      </w:pPr>
      <w:r>
        <w:t>**Bandes de Bollinger** : Le cours (2 790 FCFA) évolue entre la borne inférieure (2 594,24 FCFA) et la borne supérieure (3 855,26 FCFA), mais se rapproche dangereusement du bas de la bande, signalant une faiblesse relative. La largeur des bandes (1 261 FCFA) reflète une volatilité élevée, et la décision **Neutre** suggère une absence de signal directionnel fort, le cours n'étant ni en surachat ni en survente extrême.</w:t>
      </w:r>
    </w:p>
    <w:p>
      <w:pPr>
        <w:spacing w:after="120" w:line="276" w:lineRule="auto"/>
      </w:pPr>
      <w:r>
        <w:t>**MACD** : La valeur du MACD (-175,77) est inférieure à son signal (-139,27), avec un histogramme négatif qui indique un momentum baissier persistant. La divergence négative entre les deux lignes confirme la pression vendeuse, justifiant la décision de **Vente**.</w:t>
      </w:r>
    </w:p>
    <w:p>
      <w:pPr>
        <w:spacing w:after="120" w:line="276" w:lineRule="auto"/>
      </w:pPr>
      <w:r>
        <w:t>**RSI** : À 26,80, le RSI se situe en zone de survente (&lt;30), ce qui indique que le titre a été massivement vendu et pourrait être sujet à un rebond technique. Cette configuration justifie la décision d'**Achat** à contre-tendance, bien que le contexte baissier général appelle à la prudence.</w:t>
      </w:r>
    </w:p>
    <w:p>
      <w:pPr>
        <w:spacing w:after="120" w:line="276" w:lineRule="auto"/>
      </w:pPr>
      <w:r>
        <w:t>**Stochastique** : Le %K (12,35) est inférieur au %D (19,99), avec les deux lignes en zone de survente (&lt;20), signalant un épuisement potentiel de la pression vendeuse. La décision d'**Achat** repose sur l'anticipation d'un croisement haussier imminent, mais la faiblesse des volumes moyens (11 214 titres/jour) limite la portée de ce signal.</w:t>
      </w:r>
    </w:p>
    <w:p>
      <w:pPr>
        <w:spacing w:after="120" w:line="276" w:lineRule="auto"/>
      </w:pPr>
      <w:r>
        <w:t>**Conclusion technique** : Les indicateurs de tendance (MM, MACD) sont clairement baissiers, tandis que les oscillateurs (RSI, Stochastique) signalent une survente propice à un rebond technique. Cette divergence crée une configuration incertaine : le titre pourrait connaître un rebond de court terme, mais la tendance de fond reste négative. La décision globale est **Neutre à Vente**, avec une préférence pour l'attente de confirmation d'un retournement avant tout achat.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IFRS) révèlent une situation financière très dégradée. Le chiffre d'affaires s'établit à 80,57 Mds FCFA, en baisse de -7,6% par rapport à 2024 (87,22 Mds FCFA), tandis que le résultat net plonge à -7,95 Mds FCFA (contre un bénéfice de 2,47 Mds FCFA en 2024), soit une dégradation de 421%. Le ROE est catastrophique à -46,13% et le ROA à -5,08%, confirmant la destruction de valeur. La marge nette de -9,87% et la marge opérationnelle de -0,68% traduisent une rentabilité opérationnelle quasi nulle, tandis que la marge brute reste stable à 45,82%, indiquant que les difficultés proviennent des charges financières (6,79 Mds FCFA, +262%) et non du contrôle des coûts de production. La structure financière est critique : l'autonomie financière n'est que de 11,02% (capitaux propres/total bilan), le ratio d'endettement atteint 88,98% et la dépendance financière 492,21%, avec une trésorerie nette négative de -6,5 Mds FCFA. Le BFR de 6,53 Mds FCFA et le fonds de roulement négatif (-10,67 Mds FCFA) signalent des tensions de liquidité, bien que le délai fournisseurs élevé (366 jours) offre un coussin de trésorerie. Les rapports trimestriels (S1 2025, T1 2025) confirment cette tendance : le S1 2025 affichait déjà une perte nette de -6,71 Mds FCFA, et le T1 2025 un bénéfice en repli de 32% à 3,21 Mds FCFA. Les rapports annuels 2024 (publiés en 2025) montraient un redressement avec un bénéfice de 2,47 Mds FCFA, mais cette amélioration était fragile et portée par des éléments non récurrents. Les perspectives pour 2026 restent très préoccupantes : la société devra impérativement restructurer sa dette (64,5 Mds FCFA de dettes LT) et améliorer sa rentabilité opérationnelle pour éviter une crise de liquidité. La recommandation fondamentale est **Vente**, en raison de l'érosion des capitaux propres, du niveau d'endettement critique et de l'absence de visibilité sur un retour à la profitabilité durable.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majeure entre les signaux. La valorisation (Partie 0) affiche un P/B de 3,17x et un EV/EBITDA de 9,8x qui ne sont justifiés ni par les bénéfices (BPA négatif) ni par la structure financière (endettement critique), suggérant une surévaluation relative. Le comportement du cours (Partie 1) est haussier sur 100 jours (+30,68%) mais avec une volatilité extrême (58,9%) et une correction récente (-1,59% J-1), les statistiques (skewness négatif, kurtosis mésokurtique) indiquant une distribution asymétrique à risque modéré de pics. Les signaux techniques (Partie 2) sont contradictoires : les indicateurs de tendance (MM, MACD) sont baissiers, tandis que les oscillateurs (RSI à 26,8, Stochastique en survente) suggèrent un rebond technique imminent, créant une configuration incertaine. Les fondamentaux (Partie 3) sont alarmants : perte nette de 7,95 Mds FCFA en 2025, ROE de -46,13%, endettement de 88,98% et trésorerie nette négative, avec des perspectives 2026 très préoccupantes. Les prédictions IA (J+1 à J+10) anticipent une hausse progressive de 2 927 FCFA à 3 175 FCFA, confirmant le potentiel de rebond technique à court terme, mais cette trajectoire contredit les fondamentaux dégradés. Sur la base de cette synthèse, la recommandation finale est **VENTE**, avec un niveau de confiance **Moyen** et un risque global **Élevé**. La convergence entre la valorisation surévaluée, les fondamentaux dégradés et la tendance baissière de fond l'emporte sur le rebond technique anticipé par les oscillateurs et les prédictions IA. L'horizon d'investissement optimal est **court terme (&lt;3 mois)** pour les traders souhaitant profiter du rebond technique, mais les investisseurs fondamentaux devraient éviter le titre en attendant une restructuration financière crédible et un retour à la profitabilité opérationnelle.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116.46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1,487 titres</w:t>
            </w:r>
          </w:p>
        </w:tc>
        <w:tc>
          <w:tcPr>
            <w:tcW w:type="dxa" w:w="2268"/>
            <w:shd w:fill="FFF2CC" w:val="clear"/>
          </w:tcPr>
          <w:p>
            <w:r>
              <w:rPr>
                <w:b/>
                <w:color w:val="503200"/>
                <w:sz w:val="16"/>
              </w:rPr>
              <w:t xml:space="preserve">Cours actuel : </w:t>
            </w:r>
            <w:r>
              <w:rPr>
                <w:color w:val="000000"/>
                <w:sz w:val="17"/>
              </w:rPr>
              <w:t>12,940 FCFA</w:t>
            </w:r>
          </w:p>
          <w:p>
            <w:r>
              <w:rPr>
                <w:b/>
                <w:color w:val="503200"/>
                <w:sz w:val="16"/>
              </w:rPr>
              <w:t xml:space="preserve">Var. 100 jours : </w:t>
            </w:r>
            <w:r>
              <w:rPr>
                <w:b/>
                <w:color w:val="007800"/>
                <w:sz w:val="17"/>
              </w:rPr>
              <w:t>+42.28%</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9,095 FCFA</w:t>
            </w:r>
          </w:p>
          <w:p>
            <w:r>
              <w:rPr>
                <w:b/>
                <w:color w:val="503200"/>
                <w:sz w:val="16"/>
              </w:rPr>
              <w:t xml:space="preserve">Volatilité ann. : </w:t>
            </w:r>
            <w:r>
              <w:rPr>
                <w:color w:val="000000"/>
                <w:sz w:val="17"/>
              </w:rPr>
              <w:t>39.2%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7.65% (Moyenne) — μ=11,922 FCFA, σ=912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β=0.7673 (Défensif) — Cov=0.000052, Var(idx)=0.000068, ρ=0.255,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σ_j=2.47%/j (Stable) — Vol. annualisée≈39.2%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11,954</w:t>
            </w:r>
          </w:p>
        </w:tc>
        <w:tc>
          <w:tcPr>
            <w:tcW w:type="dxa" w:w="1440"/>
            <w:shd w:fill="FAFAFA" w:val="clear"/>
          </w:tcPr>
          <w:p>
            <w:r>
              <w:rPr>
                <w:b/>
                <w:sz w:val="17"/>
              </w:rPr>
              <w:t>12,962</w:t>
            </w:r>
          </w:p>
        </w:tc>
        <w:tc>
          <w:tcPr>
            <w:tcW w:type="dxa" w:w="1440"/>
            <w:shd w:fill="FAFAFA" w:val="clear"/>
          </w:tcPr>
          <w:p>
            <w:r>
              <w:rPr>
                <w:sz w:val="17"/>
              </w:rPr>
              <w:t>13,971</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11,735</w:t>
            </w:r>
          </w:p>
        </w:tc>
        <w:tc>
          <w:tcPr>
            <w:tcW w:type="dxa" w:w="1440"/>
            <w:shd w:fill="FAFAFA" w:val="clear"/>
          </w:tcPr>
          <w:p>
            <w:r>
              <w:rPr>
                <w:b/>
                <w:sz w:val="17"/>
              </w:rPr>
              <w:t>12,971</w:t>
            </w:r>
          </w:p>
        </w:tc>
        <w:tc>
          <w:tcPr>
            <w:tcW w:type="dxa" w:w="1440"/>
            <w:shd w:fill="FAFAFA" w:val="clear"/>
          </w:tcPr>
          <w:p>
            <w:r>
              <w:rPr>
                <w:sz w:val="17"/>
              </w:rPr>
              <w:t>14,207</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11,540</w:t>
            </w:r>
          </w:p>
        </w:tc>
        <w:tc>
          <w:tcPr>
            <w:tcW w:type="dxa" w:w="1440"/>
            <w:shd w:fill="FAFAFA" w:val="clear"/>
          </w:tcPr>
          <w:p>
            <w:r>
              <w:rPr>
                <w:b/>
                <w:sz w:val="17"/>
              </w:rPr>
              <w:t>12,967</w:t>
            </w:r>
          </w:p>
        </w:tc>
        <w:tc>
          <w:tcPr>
            <w:tcW w:type="dxa" w:w="1440"/>
            <w:shd w:fill="FAFAFA" w:val="clear"/>
          </w:tcPr>
          <w:p>
            <w:r>
              <w:rPr>
                <w:sz w:val="17"/>
              </w:rPr>
              <w:t>14,394</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11,378</w:t>
            </w:r>
          </w:p>
        </w:tc>
        <w:tc>
          <w:tcPr>
            <w:tcW w:type="dxa" w:w="1440"/>
            <w:shd w:fill="FAFAFA" w:val="clear"/>
          </w:tcPr>
          <w:p>
            <w:r>
              <w:rPr>
                <w:b/>
                <w:sz w:val="17"/>
              </w:rPr>
              <w:t>12,974</w:t>
            </w:r>
          </w:p>
        </w:tc>
        <w:tc>
          <w:tcPr>
            <w:tcW w:type="dxa" w:w="1440"/>
            <w:shd w:fill="FAFAFA" w:val="clear"/>
          </w:tcPr>
          <w:p>
            <w:r>
              <w:rPr>
                <w:sz w:val="17"/>
              </w:rPr>
              <w:t>14,570</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11,234</w:t>
            </w:r>
          </w:p>
        </w:tc>
        <w:tc>
          <w:tcPr>
            <w:tcW w:type="dxa" w:w="1440"/>
            <w:shd w:fill="FAFAFA" w:val="clear"/>
          </w:tcPr>
          <w:p>
            <w:r>
              <w:rPr>
                <w:b/>
                <w:sz w:val="17"/>
              </w:rPr>
              <w:t>12,983</w:t>
            </w:r>
          </w:p>
        </w:tc>
        <w:tc>
          <w:tcPr>
            <w:tcW w:type="dxa" w:w="1440"/>
            <w:shd w:fill="FAFAFA" w:val="clear"/>
          </w:tcPr>
          <w:p>
            <w:r>
              <w:rPr>
                <w:sz w:val="17"/>
              </w:rPr>
              <w:t>14,733</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11,105</w:t>
            </w:r>
          </w:p>
        </w:tc>
        <w:tc>
          <w:tcPr>
            <w:tcW w:type="dxa" w:w="1440"/>
            <w:shd w:fill="FAFAFA" w:val="clear"/>
          </w:tcPr>
          <w:p>
            <w:r>
              <w:rPr>
                <w:b/>
                <w:sz w:val="17"/>
              </w:rPr>
              <w:t>12,997</w:t>
            </w:r>
          </w:p>
        </w:tc>
        <w:tc>
          <w:tcPr>
            <w:tcW w:type="dxa" w:w="1440"/>
            <w:shd w:fill="FAFAFA" w:val="clear"/>
          </w:tcPr>
          <w:p>
            <w:r>
              <w:rPr>
                <w:sz w:val="17"/>
              </w:rPr>
              <w:t>14,889</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10,992</w:t>
            </w:r>
          </w:p>
        </w:tc>
        <w:tc>
          <w:tcPr>
            <w:tcW w:type="dxa" w:w="1440"/>
            <w:shd w:fill="FAFAFA" w:val="clear"/>
          </w:tcPr>
          <w:p>
            <w:r>
              <w:rPr>
                <w:b/>
                <w:sz w:val="17"/>
              </w:rPr>
              <w:t>13,017</w:t>
            </w:r>
          </w:p>
        </w:tc>
        <w:tc>
          <w:tcPr>
            <w:tcW w:type="dxa" w:w="1440"/>
            <w:shd w:fill="FAFAFA" w:val="clear"/>
          </w:tcPr>
          <w:p>
            <w:r>
              <w:rPr>
                <w:sz w:val="17"/>
              </w:rPr>
              <w:t>15,043</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10,891</w:t>
            </w:r>
          </w:p>
        </w:tc>
        <w:tc>
          <w:tcPr>
            <w:tcW w:type="dxa" w:w="1440"/>
            <w:shd w:fill="FAFAFA" w:val="clear"/>
          </w:tcPr>
          <w:p>
            <w:r>
              <w:rPr>
                <w:b/>
                <w:sz w:val="17"/>
              </w:rPr>
              <w:t>13,044</w:t>
            </w:r>
          </w:p>
        </w:tc>
        <w:tc>
          <w:tcPr>
            <w:tcW w:type="dxa" w:w="1440"/>
            <w:shd w:fill="FAFAFA" w:val="clear"/>
          </w:tcPr>
          <w:p>
            <w:r>
              <w:rPr>
                <w:sz w:val="17"/>
              </w:rPr>
              <w:t>15,197</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10,790</w:t>
            </w:r>
          </w:p>
        </w:tc>
        <w:tc>
          <w:tcPr>
            <w:tcW w:type="dxa" w:w="1440"/>
            <w:shd w:fill="FAFAFA" w:val="clear"/>
          </w:tcPr>
          <w:p>
            <w:r>
              <w:rPr>
                <w:b/>
                <w:sz w:val="17"/>
              </w:rPr>
              <w:t>13,062</w:t>
            </w:r>
          </w:p>
        </w:tc>
        <w:tc>
          <w:tcPr>
            <w:tcW w:type="dxa" w:w="1440"/>
            <w:shd w:fill="FAFAFA" w:val="clear"/>
          </w:tcPr>
          <w:p>
            <w:r>
              <w:rPr>
                <w:sz w:val="17"/>
              </w:rPr>
              <w:t>15,335</w:t>
            </w:r>
          </w:p>
        </w:tc>
        <w:tc>
          <w:tcPr>
            <w:tcW w:type="dxa" w:w="1440"/>
            <w:shd w:fill="FAFAFA" w:val="clear"/>
          </w:tcPr>
          <w:p>
            <w:r>
              <w:rPr>
                <w:b/>
                <w:color w:val="008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116,46 milliards FCFA, SDCC se positionne parmi les valeurs de taille intermédiaire à supérieure de la cote BRVM, ce qui traduit une certaine maturité et une liquidité relative sur le marché régional. Le BPA de 518 FCFA/action signifie que chaque titre génère environ 518 FCFA de bénéfice net, un niveau correct pour une utility, mais le PER de 25,0x indique que les investisseurs paient très cher ces bénéfices — soit plus du double de la moyenne BRVM (~8-12x) — ce qui intègre déjà une forte anticipation de croissance ou une prime de rareté sur le secteur de l'eau. Le P/B de 5,91x confirme cette valorisation exigeante : le marché valorise l'action près de six fois sa valeur comptable, une prime qui n'est justifiable que par la qualité des actifs régulés et la visibilité des cash-flows. Enfin, l'EV/EBITDA de 14,9x, dans le haut de la fourchette 10-15x, signale que la valeur d'entreprise (incluant la dette) est chèrement valorisée par rapport à la capacité opérationnelle,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SDCC affiche une performance remarquable de +42,28%, avec un cours actuel de 12 940 FCFA, en léger repli de -0,46% sur la dernière séance (J-1). Le titre a évolué dans un range large de 9 095 FCFA (plus bas) à 13 885 FCFA (plus haut), soit une amplitude de plus de 52%, ce qui témoigne d'une tendance nettement haussière mais ponctuée de corrections. La moyenne (11 922 FCFA) et la médiane (11 960 FCFA) sont quasi confondues, indiquant une distribution globalement équilibrée, tandis que le mode à 11 900 FCFA suggère que ce niveau a servi de point d'ancrage psychologique. L'écart-type de 917 FCFA avec un coefficient de variation de 7,7% révèle une dispersion modérée du cours autour de sa moyenne, mais le kurtosis de 1,503 (leptokurtique) signale des queues épaisses, donc un risque de pics de volatilité brutaux. Le skewness négatif (-0,554) indique une asymétrie à gauche : les journées de forte hausse sont plus fréquentes que les journées de forte baisse, ce qui est plutôt favorable pour un investisseur long. Enfin, la volatilité annualisée de 39,2% classe SDCC dans la catégorie des titres à volatilité élevée (&gt;30%), ce qui implique un risque de marché significatif malgré la qualité défensive du secteur.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(12 912,5 FCFA) et la MM50 (12 421,8 FCFA) sont toutes deux inférieures au cours actuel (12 940 FCFA), et la MM20 est au-dessus de la MM50, configurant un croisement haussier classique. Cette configuration justifie la décision d'**Achat** : le titre évolue au-dessus de ses supports dynamiques, et la tendance de fond reste positive tant que le cours ne casse pas la MM50.</w:t>
      </w:r>
    </w:p>
    <w:p>
      <w:pPr>
        <w:spacing w:after="120" w:line="276" w:lineRule="auto"/>
      </w:pPr>
      <w:r>
        <w:t>**Bandes de Bollinger** : Le cours (12 940 FCFA) se situe à mi-chemin entre la borne inférieure (11 444,98 FCFA) et la borne supérieure (14 380,02 FCFA), sans toucher les extrêmes. Cette position centrale, combinée à un écart-type implicite élevé, traduit une volatilité importante mais sans signal de surachat ou de survente immédiat, d'où la décision **Neutre**.</w:t>
      </w:r>
    </w:p>
    <w:p>
      <w:pPr>
        <w:spacing w:after="120" w:line="276" w:lineRule="auto"/>
      </w:pPr>
      <w:r>
        <w:t>**MACD** : La valeur du MACD (-1,34) est nettement inférieure à son signal (13,275), ce qui constitue un croisement baissier et un momentum négatif à court terme. Cette divergence justifie la décision de **Vente** : bien que la tendance de fond soit haussière, le MACD signale un essoufflement de la dynamique acheteuse.</w:t>
      </w:r>
    </w:p>
    <w:p>
      <w:pPr>
        <w:spacing w:after="120" w:line="276" w:lineRule="auto"/>
      </w:pPr>
      <w:r>
        <w:t>**RSI** : À 46,179, le RSI se situe dans la zone neutre (30-70), sans signal de surachat (&gt;70) ni de survente (&lt;30). Cette valeur médiane indique un équilibre entre acheteurs et vendeurs, justifiant la décision **Neutre** et l'absence de signal directionnel fort.</w:t>
      </w:r>
    </w:p>
    <w:p>
      <w:pPr>
        <w:spacing w:after="120" w:line="276" w:lineRule="auto"/>
      </w:pPr>
      <w:r>
        <w:t>**Stochastique** : Le %K (65,257) est légèrement inférieur au %D (66,605), sans croisement net, et les deux se situent dans la zone haute mais non extrême. Cette configuration neutre, sans divergence ni croisement significatif, justifie la décision **Neutre** : le titre n'est ni en phase d'accélération haussière ni en phase de retournement.</w:t>
      </w:r>
    </w:p>
    <w:p>
      <w:pPr>
        <w:spacing w:after="120" w:line="276" w:lineRule="auto"/>
      </w:pPr>
      <w:r>
        <w:t>**Conclusion technique** : Les indicateurs sont partagés : les moyennes mobiles confirment une tendance haussière de fond, mais le MACD signale un essoufflement du momentum, tandis que le RSI, le stochastique et les Bollinger restent neutres. Cette divergence suggère une phase de consolidation probable avant une reprise ou une correction, avec un biais haussier tant que le cours tient au-dessus de la MM50 (12 421,8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SDCC (SODECI) affiche un chiffre d'affaires de 189,430 milliards FCFA, en croissance de +9,98% par rapport à 2024, porté par la hausse des volumes d'eau facturés et l'élargissement de la base clients (2 272 032 clients, +6,14%). Le résultat net s'établit à 4,663 milliards FCFA, en progression de +31%, avec une marge nette de 2,46% — un niveau faible mais en amélioration, typique d'une utility à forte intensité capitalistique. Le ROE de 23,65% est excellent (&gt;15%), mais il est mécaniquement gonflé par des capitaux propres faibles (19,716 Mds FCFA) au regard du total bilan (472,672 Mds FCFA), ce qui traduit un fort effet de levier : l'autonomie financière n'est que de 4,17%, très en dessous du seuil sain de 30%, et le ratio d'endettement atteint 95,83%. Le ROA de 0,99% est très faible, confirmant que la rentabilité des actifs est pénalisée par l'importance des créances clients (388,852 Mds FCFA) et des dettes. Le délai clients de 749,25 jours est extrêmement élevé et constitue un risque majeur de trésorerie, même si le taux de recouvrement de 95,85% (rapport 2025) limite la casse. Le BFR de 104,748 Mds FCFA et la trésorerie nette de -61,710 Mds FCFA confirment une situation de liquidité tendue, avec un flux opérationnel négatif de -36,655 Mds FCFA. Les rapports trimestriels récents (T1 2026, publié en 2026) montrent une amélioration spectaculaire : le résultat net bondit de +118% à 1 318 millions FCFA, et le résultat d'exploitation est multiplié par 2,5 à 2 730 millions FCFA, malgré un CA en léger repli de -2% à 40 916 millions FCFA. Cette performance, portée par une meilleure maîtrise des charges, suggère que l'exercice 2026 pourrait dépasser les 5 milliards FCFA de résultat net si la dynamique se poursuit. Le dividende de 525 FCFA/action (rapport 2025) offre un rendement d'environ 4,1% au cours actuel, ce qui est attractif mais représente un taux de distribution élevé (101% du résultat net 2024), mobilisant le report à nouveau. En synthèse, SDCC est une valeur défensive solide avec une position de monopole dans un secteur essentiel, mais sa structure financière très endettée, ses délais clients élevés et sa valorisation exigeante (PER 25x) limitent le potentiel de revalorisation à court terme. La recommandation fondamentale est **CONSERVER**, avec un biais positif si les résultats du T2 2026 confirment le redressement de la rentabilité.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(Partie 0) est clairement exigeante : PER de 25,0x contre une moyenne BRVM de 8-12x, P/B de 5,91x et EV/EBITDA de 14,9x — le marché intègre déjà une forte prime de qualité et de croissance, ce qui limite la marge de sécurité. Le comportement du cours (Partie 1) est haussier (+42,28% sur 100 jours) mais avec une volatilité élevée (39,2%) et un kurtosis leptokurtique (1,503) signalant un risque de pics brutaux ; le skewness négatif (-0,554) reste toutefois favorable. Les signaux techniques (Partie 2) sont mitigés : les moyennes mobiles sont haussières, mais le MACD est baissier et le RSI/stochastique sont neutres, suggérant une consolidation en cours. Les fondamentaux (Partie 3) montrent une amélioration réelle en 2025 (CA +10%, RN +31%, ROE 23,65%) et surtout un T1 2026 spectaculaire (RN +118%), mais la structure financière reste fragile (autonomie financière 4,17%, trésorerie nette -61,7 Mds FCFA, délai clients 749 jours). Les prédictions IA (J+1 à J+10) tablent sur une légère hausse vers 12 983 FCFA, confirmant la tendance haussière de fond mais sans accélération majeure. Sur la base de cette synthèse, la convergence est partielle : le fondamental est solide mais la valorisation est chère, la technique est haussière mais essoufflée, et les prédictions sont modérément positives. **Recommandation finale : CONSERVER**, avec un niveau de confiance **Moyen** et un risque global **Moyen à Élevé** (volatilité 39,2%, endettement 95,8%, valorisation tendue). L'horizon optimal est le **moyen terme (3-12 mois)**, en attendant la confirmation des résultats du T2 2026 et une éventuelle correction vers la MM50 (12 421 FCFA) pour renforcer la position. Un passage à l'achat serait justifié si le titre revient sous 12 000 FCFA avec des fondamentaux trimestriels confirmant la tendance du T1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158.68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18,373 titres</w:t>
            </w:r>
          </w:p>
        </w:tc>
        <w:tc>
          <w:tcPr>
            <w:tcW w:type="dxa" w:w="2268"/>
            <w:shd w:fill="FFF2CC" w:val="clear"/>
          </w:tcPr>
          <w:p>
            <w:r>
              <w:rPr>
                <w:b/>
                <w:color w:val="503200"/>
                <w:sz w:val="16"/>
              </w:rPr>
              <w:t xml:space="preserve">Cours actuel : </w:t>
            </w:r>
            <w:r>
              <w:rPr>
                <w:color w:val="000000"/>
                <w:sz w:val="17"/>
              </w:rPr>
              <w:t>2,915 FCFA</w:t>
            </w:r>
          </w:p>
          <w:p>
            <w:r>
              <w:rPr>
                <w:b/>
                <w:color w:val="503200"/>
                <w:sz w:val="16"/>
              </w:rPr>
              <w:t xml:space="preserve">Var. 100 jours : </w:t>
            </w:r>
            <w:r>
              <w:rPr>
                <w:b/>
                <w:color w:val="007800"/>
                <w:sz w:val="17"/>
              </w:rPr>
              <w:t>+67.05%</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17.21% (Élevée) — μ=2,491 FCFA, σ=429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β=0.6990 (Défensif) — Cov=0.000047, Var(idx)=0.000068, ρ=0.177,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18,373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2,702</w:t>
            </w:r>
          </w:p>
        </w:tc>
        <w:tc>
          <w:tcPr>
            <w:tcW w:type="dxa" w:w="1440"/>
            <w:shd w:fill="FAFAFA" w:val="clear"/>
          </w:tcPr>
          <w:p>
            <w:r>
              <w:rPr>
                <w:b/>
                <w:sz w:val="17"/>
              </w:rPr>
              <w:t>2,908</w:t>
            </w:r>
          </w:p>
        </w:tc>
        <w:tc>
          <w:tcPr>
            <w:tcW w:type="dxa" w:w="1440"/>
            <w:shd w:fill="FAFAFA" w:val="clear"/>
          </w:tcPr>
          <w:p>
            <w:r>
              <w:rPr>
                <w:sz w:val="17"/>
              </w:rPr>
              <w:t>3,114</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2,658</w:t>
            </w:r>
          </w:p>
        </w:tc>
        <w:tc>
          <w:tcPr>
            <w:tcW w:type="dxa" w:w="1440"/>
            <w:shd w:fill="FAFAFA" w:val="clear"/>
          </w:tcPr>
          <w:p>
            <w:r>
              <w:rPr>
                <w:b/>
                <w:sz w:val="17"/>
              </w:rPr>
              <w:t>2,910</w:t>
            </w:r>
          </w:p>
        </w:tc>
        <w:tc>
          <w:tcPr>
            <w:tcW w:type="dxa" w:w="1440"/>
            <w:shd w:fill="FAFAFA" w:val="clear"/>
          </w:tcPr>
          <w:p>
            <w:r>
              <w:rPr>
                <w:sz w:val="17"/>
              </w:rPr>
              <w:t>3,163</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2,619</w:t>
            </w:r>
          </w:p>
        </w:tc>
        <w:tc>
          <w:tcPr>
            <w:tcW w:type="dxa" w:w="1440"/>
            <w:shd w:fill="FAFAFA" w:val="clear"/>
          </w:tcPr>
          <w:p>
            <w:r>
              <w:rPr>
                <w:b/>
                <w:sz w:val="17"/>
              </w:rPr>
              <w:t>2,910</w:t>
            </w:r>
          </w:p>
        </w:tc>
        <w:tc>
          <w:tcPr>
            <w:tcW w:type="dxa" w:w="1440"/>
            <w:shd w:fill="FAFAFA" w:val="clear"/>
          </w:tcPr>
          <w:p>
            <w:r>
              <w:rPr>
                <w:sz w:val="17"/>
              </w:rPr>
              <w:t>3,202</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2,583</w:t>
            </w:r>
          </w:p>
        </w:tc>
        <w:tc>
          <w:tcPr>
            <w:tcW w:type="dxa" w:w="1440"/>
            <w:shd w:fill="FAFAFA" w:val="clear"/>
          </w:tcPr>
          <w:p>
            <w:r>
              <w:rPr>
                <w:b/>
                <w:sz w:val="17"/>
              </w:rPr>
              <w:t>2,909</w:t>
            </w:r>
          </w:p>
        </w:tc>
        <w:tc>
          <w:tcPr>
            <w:tcW w:type="dxa" w:w="1440"/>
            <w:shd w:fill="FAFAFA" w:val="clear"/>
          </w:tcPr>
          <w:p>
            <w:r>
              <w:rPr>
                <w:sz w:val="17"/>
              </w:rPr>
              <w:t>3,235</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2,550</w:t>
            </w:r>
          </w:p>
        </w:tc>
        <w:tc>
          <w:tcPr>
            <w:tcW w:type="dxa" w:w="1440"/>
            <w:shd w:fill="FAFAFA" w:val="clear"/>
          </w:tcPr>
          <w:p>
            <w:r>
              <w:rPr>
                <w:b/>
                <w:sz w:val="17"/>
              </w:rPr>
              <w:t>2,907</w:t>
            </w:r>
          </w:p>
        </w:tc>
        <w:tc>
          <w:tcPr>
            <w:tcW w:type="dxa" w:w="1440"/>
            <w:shd w:fill="FAFAFA" w:val="clear"/>
          </w:tcPr>
          <w:p>
            <w:r>
              <w:rPr>
                <w:sz w:val="17"/>
              </w:rPr>
              <w:t>3,264</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2,519</w:t>
            </w:r>
          </w:p>
        </w:tc>
        <w:tc>
          <w:tcPr>
            <w:tcW w:type="dxa" w:w="1440"/>
            <w:shd w:fill="FAFAFA" w:val="clear"/>
          </w:tcPr>
          <w:p>
            <w:r>
              <w:rPr>
                <w:b/>
                <w:sz w:val="17"/>
              </w:rPr>
              <w:t>2,905</w:t>
            </w:r>
          </w:p>
        </w:tc>
        <w:tc>
          <w:tcPr>
            <w:tcW w:type="dxa" w:w="1440"/>
            <w:shd w:fill="FAFAFA" w:val="clear"/>
          </w:tcPr>
          <w:p>
            <w:r>
              <w:rPr>
                <w:sz w:val="17"/>
              </w:rPr>
              <w:t>3,290</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2,491</w:t>
            </w:r>
          </w:p>
        </w:tc>
        <w:tc>
          <w:tcPr>
            <w:tcW w:type="dxa" w:w="1440"/>
            <w:shd w:fill="FAFAFA" w:val="clear"/>
          </w:tcPr>
          <w:p>
            <w:r>
              <w:rPr>
                <w:b/>
                <w:sz w:val="17"/>
              </w:rPr>
              <w:t>2,902</w:t>
            </w:r>
          </w:p>
        </w:tc>
        <w:tc>
          <w:tcPr>
            <w:tcW w:type="dxa" w:w="1440"/>
            <w:shd w:fill="FAFAFA" w:val="clear"/>
          </w:tcPr>
          <w:p>
            <w:r>
              <w:rPr>
                <w:sz w:val="17"/>
              </w:rPr>
              <w:t>3,314</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2,464</w:t>
            </w:r>
          </w:p>
        </w:tc>
        <w:tc>
          <w:tcPr>
            <w:tcW w:type="dxa" w:w="1440"/>
            <w:shd w:fill="FAFAFA" w:val="clear"/>
          </w:tcPr>
          <w:p>
            <w:r>
              <w:rPr>
                <w:b/>
                <w:sz w:val="17"/>
              </w:rPr>
              <w:t>2,900</w:t>
            </w:r>
          </w:p>
        </w:tc>
        <w:tc>
          <w:tcPr>
            <w:tcW w:type="dxa" w:w="1440"/>
            <w:shd w:fill="FAFAFA" w:val="clear"/>
          </w:tcPr>
          <w:p>
            <w:r>
              <w:rPr>
                <w:sz w:val="17"/>
              </w:rPr>
              <w:t>3,336</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2,438</w:t>
            </w:r>
          </w:p>
        </w:tc>
        <w:tc>
          <w:tcPr>
            <w:tcW w:type="dxa" w:w="1440"/>
            <w:shd w:fill="FAFAFA" w:val="clear"/>
          </w:tcPr>
          <w:p>
            <w:r>
              <w:rPr>
                <w:b/>
                <w:sz w:val="17"/>
              </w:rPr>
              <w:t>2,898</w:t>
            </w:r>
          </w:p>
        </w:tc>
        <w:tc>
          <w:tcPr>
            <w:tcW w:type="dxa" w:w="1440"/>
            <w:shd w:fill="FAFAFA" w:val="clear"/>
          </w:tcPr>
          <w:p>
            <w:r>
              <w:rPr>
                <w:sz w:val="17"/>
              </w:rPr>
              <w:t>3,357</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CÔTE D'IVOIRE)**</w:t>
        <w:br/>
        <w:t>*Bourse Régionale des Valeurs Mobilières (BRVM) — Secteur : Logistique &amp; Transport*</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158,68 milliards FCFA, SDSC s'impose comme une valeur de taille intermédiaire significative sur la cote BRVM, représentant un poids non négligeable dans l'indice sectoriel du transport et de la logistique. Le BPA de 387 FCFA/action indique que chaque titre génère près de 387 FCFA de bénéfice net, un niveau qui, rapporté au cours actuel de 2 915 FCFA, confère au titre un PER de 7,5x — nettement inférieur à la moyenne du marché BRVM (estimée entre 8x et 12x), ce qui suggère une potentielle sous-évaluation sur la base des bénéfices passés. Le ratio P/B de 2,04x montre que le marché valorise la société à environ deux fois sa valeur comptable, une prime de croissance modérée qui reste raisonnable pour une entreprise bénéficiant d'actifs corporels significatifs (40,8 milliards FCFA d'immobilisations corporelles). En revanche, l'EV/EBITDA de 34,2x apparaît très exigeant (seuil d'alerte &gt;15x), traduisant une valorisation de la capacité opérationnelle déconnectée des bénéfices courants — ce qui s'explique par l'effondrement du résultat d'exploitation 2025 et invite à la prudence sur la qualité réelle des cash-flows opérationnels.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affiche une performance exceptionnelle de +67,05%, passant d'un plus bas de 1 650 FCFA à un plus haut de 3 205 FCFA, avant de se replier à 2 915 FCFA, soit une correction de -3,32% lors de la dernière séance. Ce range de trading de 1 555 FCFA (près du double du plus bas) témoigne d'une tendance haussière puissante, bien que la récente consolidation suggère une prise de profit après le rallye. Les statistiques descriptives révèlent une moyenne de 2 491 FCFA légèrement inférieure à la médiane de 2 572 FCFA, indiquant une asymétrie négative confirmée par le skewness de -0,471 — la distribution est donc symétrique avec une légère queue vers les valeurs basses, ce qui signifie que les baisses ont été plus fréquentes mais moins amples que les hausses. L'écart-type de 431 FCFA (CV de 17,3%) traduit une dispersion modérée du cours autour de sa moyenne, tandis que le kurtosis de -0,847 (mésokurtique) indique une distribution proche de la normale, sans risque majeur de pics extrêmes — un profil rassurant pour la gestion du risque. La volatilité annualisée de 51,4% classe le titre dans la catégorie des valeurs à volatilité élevée (&gt;30%), ce qui est cohérent avec la forte amplitude du mouvement haussier récent et impose une tolérance au risque importante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(2 992 FCFA) et la MM50 (2 822,8 FCFA) se situent toutes deux au-dessus du cours actuel (2 915 FCFA), avec la MM20 légèrement supérieure à la MM50, configurant un croisement haussier classique. Le cours évoluant sous la MM20 mais au-dessus de la MM50, la décision technique est à l'**Achat**, suggérant que la tendance de fond reste positive malgré la consolidation à court terme.</w:t>
      </w:r>
    </w:p>
    <w:p>
      <w:pPr>
        <w:spacing w:after="120" w:line="276" w:lineRule="auto"/>
      </w:pPr>
      <w:r>
        <w:t>**Bandes de Bollinger** : Le cours (2 915 FCFA) se situe dans la partie médiane de la bande, entre la borne inférieure (2 753,86 FCFA) et la borne supérieure (3 230,14 FCFA), sans toucher les extrêmes. Cette position centrale, combinée à une largeur de bande de 476 FCFA, indique une volatilité modérée et une absence de signal directionnel fort, justifiant la décision **Neutre**.</w:t>
      </w:r>
    </w:p>
    <w:p>
      <w:pPr>
        <w:spacing w:after="120" w:line="276" w:lineRule="auto"/>
      </w:pPr>
      <w:r>
        <w:t>**MACD** : La valeur du MACD (32,893) est inférieure à son signal (42,958), générant un croisement baissier et un momentum négatif. Cette divergence suggère un essoufflement de la dynamique haussière récente, justifiant la décision de **Vente** à court terme.</w:t>
      </w:r>
    </w:p>
    <w:p>
      <w:pPr>
        <w:spacing w:after="120" w:line="276" w:lineRule="auto"/>
      </w:pPr>
      <w:r>
        <w:t>**RSI** : À 44,651, le RSI se situe en zone neutre (entre 30 et 70), sans signal de surachat (&gt;70) ni de survente (&lt;30). Cette position médiane indique un équilibre entre acheteurs et vendeurs, justifiant la décision **Neutre**.</w:t>
      </w:r>
    </w:p>
    <w:p>
      <w:pPr>
        <w:spacing w:after="120" w:line="276" w:lineRule="auto"/>
      </w:pPr>
      <w:r>
        <w:t>**Stochastique** : Le %K (38,983) est inférieur au %D (61,582), avec un croisement baissier en zone neutre. Cette configuration suggère une pression vendeuse à court terme, bien que le niveau ne soit pas encore en zone de survente, justifiant la décision **Neutre**.</w:t>
      </w:r>
    </w:p>
    <w:p>
      <w:pPr>
        <w:spacing w:after="120" w:line="276" w:lineRule="auto"/>
      </w:pPr>
      <w:r>
        <w:t>**Conclusion technique** : Les indicateurs présentent un tableau mitigé — les moyennes mobiles restent haussières (Achat) mais le MACD signale un essoufflement (Vente), tandis que le RSI, les Bollinger et le Stochastique sont neutres. Cette divergence suggère une phase de consolidation après le rallye, avec un potentiel de reprise si le cours se maintient au-dessus de la MM50 (2 822,8 FCFA), mais un risque de correction si cette support venait à céder.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2024)** : En 2024, SDSC (AGL Côte d'Ivoire) affichait un chiffre d'affaires de 85,643 milliards FCFA, un résultat net de 21,069 milliards FCFA (marge nette de 24,6%), un ROE de 27,08% (excellent, &gt;15%) et un ROA de 11,2%. La structure financière était saine avec une autonomie financière de 41,36% (capitaux propres de 77,8 milliards FCFA), une liquidité générale de 132,8% et un BFR positif de 17,874 milliards FCFA. Cependant, les délais clients étaient très élevés (466,94 jours), signalant un risque de trésorerie important, tandis que le délai fournisseurs de 4 534 jours (probablement une anomalie de calcul ou un effet de débours) reflète une position de négociation favorable.</w:t>
      </w:r>
    </w:p>
    <w:p>
      <w:pPr>
        <w:spacing w:after="120" w:line="276" w:lineRule="auto"/>
      </w:pPr>
      <w:r>
        <w:t>**Adaptation au secteur (Entreprise non bancaire)** : Le taux de croissance du CA 2024 était modéré (+3,65%), et la marge opérationnelle faible (1,1%), bien que la marge nette soit élevée grâce aux produits financiers (dividendes de filiales). Le coefficient d'exploitation de 47,66% est correct, mais le coût du risque (530% des charges financières) est très élevé, indiquant un risque de crédit significatif sur les créances clients.</w:t>
      </w:r>
    </w:p>
    <w:p>
      <w:pPr>
        <w:spacing w:after="120" w:line="276" w:lineRule="auto"/>
      </w:pPr>
      <w:r>
        <w:t>**Estimations basées sur les rapports trimestriels (2025)** : Le rapport du T1 2025 (publié le 08/04/2025) indiquait un CA de 24,897 milliards FCFA (+6,2%) et un résultat net de +223 millions FCFA (contre une perte de -193 millions au T1 2024), marquant un retour à la profitabilité. Le rapport du S1 2025 (publié le 30/06/2025) montrait un CA de 44,452 milliards FCFA (+4,2%) mais un résultat net négatif de -427 millions FCFA, en raison de l'absence de dividendes de filiales. Le rapport du T3 2025 (publié le 30/09/2025) révélait un CA de 66,217 milliards FCFA (+7,4%) et un résultat net de 4,341 milliards FCFA (-77% sur un an), toujours pénalisé par la volatilité des revenus de filiales. Enfin, les états financiers provisoires 2025 (rapport du 31/12/2025, analysé le 05/08/2026) confirment un CA de 92,004 milliards FCFA (+7,43%) mais un résultat net de seulement 784,97 millions FCFA (-96% vs 2024), avec un résultat d'exploitation négatif (-2,271 milliards FCFA) et un dividende proposé de 544,35 millions FCFA (en chute de 89%).</w:t>
      </w:r>
    </w:p>
    <w:p>
      <w:pPr>
        <w:spacing w:after="120" w:line="276" w:lineRule="auto"/>
      </w:pPr>
      <w:r>
        <w:t>**Évolution et recommandation fondamentale** : La dégradation de la rentabilité 2025 est préoccupante — la marge nette s'effondre à 0,85% contre 24,6% en 2024, et le résultat d'exploitation devient déficitaire malgré la croissance du CA. La solidité du bilan (capitaux propres de 73,55 milliards FCFA, trésorerie nette de 74,78 milliards FCFA) et la croissance de l'activité (+7,4%) constituent des points d'appui, mais la chute du dividende et la dépendance aux revenus exceptionnels de filiales imposent une grande prudence. La recommandation fondamentale est de **Conserver** le titre, en surveillant la capacité de la direction à restaurer les marges opérationnelles en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contrasté : le PER de 7,5x suggère une sous-évaluation sur la base des bénéfices 2024, mais l'EV/EBITDA de 34,2x révèle une valorisation exigeante de la capacité opérationnelle, reflétant l'effondrement des marges en 2025. Le comportement du cours (Partie 1) est globalement favorable (+67% sur 100 jours) mais la volatilité élevée (51,4%) et le skewness négatif (-0,471) indiquent une asymétrie baissière qui appelle à la prudence. Les signaux techniques (Partie 2) sont divergents : les moyennes mobiles restent haussières (Achat) mais le MACD signale un essoufflement (Vente), tandis que le RSI, les Bollinger et le Stochastique sont neutres — une configuration de consolidation qui pourrait précéder une reprise ou une correction. Les fondamentaux (Partie 3) sont préoccupants : malgré un CA en croissance (+7,4% en 2025), le résultat net s'effondre (-96%) et le résultat d'exploitation devient négatif, bien que la trésorerie et les capitaux propres restent solides. Les prédictions IA (J+1 à J+10) anticipent une stabilisation autour de 2 907-2 910 FCFA, confirmant l'absence de momentum directionnel fort à court terme. Sur la base de cette synthèse, la recommandation finale est de **CONSERVER** le titre, avec un niveau de confiance **Moyen** et un risque global **Élevé**. L'horizon d'investissement optimal est le **moyen terme (3-12 mois)**, en attendant la publication des résultats 2026 qui permettront de vérifier si la direction parvient à restaurer la rentabilité opérationnelle et à stabiliser la politique de dividende.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β=1.1298 (Neutre (suit le marché)) — Cov=0.000042, Var(idx)=0.000037, ρ=0.236, n=87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SEMC (EVIOSYS PACKAGING SIEM)**</w:t>
        <w:br/>
        <w:t>**Bourse Régionale des Valeurs Mobilières (BRVM) — Côte d'Ivoire**</w:t>
        <w:br/>
        <w:t>*Date d'analyse : 2026 — Cours de référence : 1 495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place parmi les valeurs de petite et moyenne capitalisation du compartiment industriel. Les ratios de valorisation classiques (BPA, PER, P/B, EV/EBITDA) ne sont pas calculables en l'état, les données financières structurées nécessaires (nombre d'actions en circulation, bénéfice net consolidé récent, capitaux propres) n'étant pas disponibles dans la base de données structurée. Cette absence s'explique également par la suspension de la cote BRVM depuis janvier 2024 (flottant insuffisant : 10,42 % contre 15 % requis), qui prive le marché d'une cotation continue et donc d'une référence de prix fiable pour le calcul des multiples. À titre indicatif, si l'on retient le résultat net 2023 de 1,01 milliard FCFA issu des rapports officiels, le titre se négocierait à un multiple de valorisation élevé, ce qui traduit une décorrélation entre le prix de marché et la rentabilité actuelle de la société. L'investisseur doit donc considérer que la valorisation boursière actuelle reflète davantage les anticipations liées au rachat par Sonoco et aux perspectives de relance qu'aux fondamentaux présents.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-16,94 %, avec une dernière séance en repli de -1,64 %, confirmant une tendance baissière de fond. Le cours actuel de 1 495 FCFA se situe dans la partie basse du range de trading établi entre un plus haut de 1 800 FCFA et un plus bas de 1 350 FCFA, soit une amplitude de 33 % qui témoigne d'une réelle nervosité du titre. La moyenne des cours sur la période (1 527 FCFA) est légèrement supérieure à la médiane (1 520 FCFA) et au mode (1 500 FCFA), ce qui indique une distribution faiblement asymétrique avec quelques séances de forte hausse tirant la moyenne vers le haut. L'écart-type de 69 FCFA, associé à un coefficient de variation de 4,5 %, révèle une dispersion modérée des cours autour de leur moyenne, mais le kurtosis excédentaire de 1,652 (distribution leptokurtique) signale des queues épaisses, c'est-à-dire un risque accru de pics de volatilité violents. Le skewness positif de 0,558 confirme cette asymétrie : les journées sous la moyenne sont plus fréquentes, mais les hausses, lorsqu'elles surviennent, sont plus amples. Avec une volatilité annualisée de 47,2 %, le titre se classe dans la catégorie des valeurs à volatilité élevée (&gt;30 %), ce qui implique un profil de risque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est supérieure à la MM50 (1 499,20 FCFA), et le cours actuel (1 495 FCFA) évolue sous ces deux références, ce qui traduit une pression baissière de court terme. Toutefois, la décision affichée est « Achat », probablement liée au fait que la MM50 reste proche du cours et que la configuration des moyennes n'est pas encore franchement baissière. La prudence reste de mise tant que le cours ne repasse pas au-dessus de la MM20.</w:t>
      </w:r>
    </w:p>
    <w:p>
      <w:pPr>
        <w:spacing w:after="120" w:line="276" w:lineRule="auto"/>
      </w:pPr>
      <w:r>
        <w:t>**Bandes de Bollinger** : Le cours (1 495 FCFA) se situe dans la partie basse de la bande, entre la borne inférieure (1 459,69 FCFA) et la borne supérieure (1 621,81 FCFA), sans franchissement de seuil. La décision est « Neutre », ce qui suggère une absence de signal directionnel fort et une volatilité en cours de normalisation après la phase de repli.</w:t>
      </w:r>
    </w:p>
    <w:p>
      <w:pPr>
        <w:spacing w:after="120" w:line="276" w:lineRule="auto"/>
      </w:pPr>
      <w:r>
        <w:t>**MACD** : La valeur du MACD (6,712) est inférieure à son signal (10,809), configuration baissière classique indiquant un momentum négatif. La décision « Vente » confirme que la dynamique de court terme reste défavorable, avec un risque de poursuite du repli tant que le MACD ne recroise pas son signal à la hausse.</w:t>
      </w:r>
    </w:p>
    <w:p>
      <w:pPr>
        <w:spacing w:after="120" w:line="276" w:lineRule="auto"/>
      </w:pPr>
      <w:r>
        <w:t>**RSI** : À 49,533, le RSI se situe exactement en zone neutre (entre 30 et 70), sans signal de surachat ni de survente. La décision « Neutre » reflète un équilibre entre acheteurs et vendeurs, le titre n'étant ni épuisé à la baisse ni vulnérable à une correction technique.</w:t>
      </w:r>
    </w:p>
    <w:p>
      <w:pPr>
        <w:spacing w:after="120" w:line="276" w:lineRule="auto"/>
      </w:pPr>
      <w:r>
        <w:t>**Stochastique** : Le %K (34,615) est inférieur au %D (57,692), ce qui constitue un croisement baissier et suggère une pression vendeuse persistante. La décision « Neutre » tempère ce signal, le %K n'étant pas encore en zone de survente extrême (&lt;20), ce qui laisse une marge de baisse limitée à court terme.</w:t>
      </w:r>
    </w:p>
    <w:p>
      <w:pPr>
        <w:spacing w:after="120" w:line="276" w:lineRule="auto"/>
      </w:pPr>
      <w:r>
        <w:t>**Conclusion technique** : Les indicateurs sont majoritairement baissiers (MACD en vente, stochastique en croisement baissier, cours sous les moyennes mobiles), mais le RSI neutre et les Bandes de Bollinger sans franchissement de seuil suggèrent une phase de consolidation plutôt qu'une tendance franche. La divergence entre la décision « Achat » des moyennes mobiles et les signaux baissiers des oscillateurs invite à la prudence : aucun signal d'achat fort n'est confirmé, et le titre pourrait tester la borne inférieure des Bollinger (1 459 FCFA) avant toute reprise.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annuelles ne sont pas disponibles dans la base de données, mais les rapports officiels fournis permettent une analyse approfondie. **En 2023** (rapport du 31/12/2023), SEMC a enregistré un chiffre d'affaires de 27,88 milliards FCFA, en baisse de 6 % par rapport aux 29,60 milliards FCFA de 2022, et un résultat net de 1,01 milliard FCFA, en chute de 74 % par rapport aux 3,86 milliards FCFA de 2022. La marge nette s'est effondrée à 3,6 % (contre 13,0 % en 2022), et le ROE s'est dégradé à environ 5 % (contre 18,5 % en 2022 selon le rapport 2022). Cette détérioration s'explique par la perte de clients clés (AIRONE : -81 % de CA), l'arrêt des ventes de cannettes aluminium, la concurrence du PET dans le segment tomate, et une perte financière liée à l'absence de dividendes de la filiale ghanéenne. **En 2022** (rapport du 31/12/2022), la société affichait pourtant une croissance solide : CA de 125,4 milliards FCFA (chiffre consolidé incluant les filiales, +13,8 % vs 2021), résultat net de 12,8 milliards FCFA (+18,5 %), marge nette de 10,2 %, ROE de 18,4 %, et un dividende par action de 1 200 FCFA (rendement de 6,3 %). **Au 1er trimestre 2023** (rapport du 31/03/2023), le CA s'élevait à 7,65 milliards FCFA (+16,5 %), avec un résultat net de 855,65 millions FCFA (+37,9 %) et une marge nette de 11,2 %, suggérant un début d'année prometteur avant la dégradation constatée sur l'ensemble de l'exercice. La politique de dividende est inexistante pour 2022 et 2023 (0 FCFA), la trésorerie (3,35 milliards FCFA en 2023) étant conservée pour financer les investissements et faire face à la suspension de la cote. Le rachat par Sonoco Products Company (finalisé en décembre 2024) constitue un événement majeur susceptible de transformer la gouvernance et la stratégie, avec des synergies potentielles mais aussi un risque de dilution. **En synthèse**, les fondamentaux 2023 sont faibles (rentabilité dégradée, perte de clients, dividende nul), mais les perspectives 2024 (objectif de CA de 32 milliards FCFA, +18 %) et l'arrivée de Sonoco offrent des leviers de relance. La société reste solide sur le plan bilanciel (trésorerie positive, endettement fournisseurs en baisse), mais la visibilité demeure limitée tant que la suspension de la cote n'est pas levée.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boursière (Partie 0) ne peut être appréciée faute de ratios calculables, mais la capitalisation de 37,66 milliards FCFA pour un résultat net 2023 de 1,01 milliard FCFA suggère un multiple élevé, reflétant davantage les anticipations liées à Sonoco que les bénéfices actuels. Le comportement du cours (Partie 1) est préoccupant : tendance baissière (-16,94 % sur 100 jours), volatilité élevée (47,2 %), kurtosis leptokurtique (risque de pics) et skewness positif (journées sous la moyenne plus fréquentes), autant de facteurs défavorables à court terme. Les signaux techniques (Partie 2) sont majoritairement baissiers (MACD en vente, stochastique en croisement baissier, cours sous les moyennes mobiles), avec un RSI neutre qui n'offre pas de signal d'achat contrariant. Les fondamentaux (Partie 3) sont dégradés pour 2023 (CA -6 %, résultat net -74 %, marge nette à 3,6 %, dividende nul), mais les perspectives 2024 (objectif CA +18 %) et le rachat par Sonoco constituent des catalyseurs potentiels, bien que la suspension de la cote BRVM limite la liquidité et la visibilité. Aucune prédiction IA n'est disponible pour les 10 prochains jours, ce qui ne permet pas de confirmer ou d'infirmer les autres signaux. **En synthèse**, la convergence des signaux techniques baissiers et des fondamentaux 2023 dégradés, associée à l'absence de dividende et à la suspension de la cote, plaide pour une **recommandation de CONSERVER** (avec vigilance), en attendant des signaux plus clairs sur la levée de la suspension et l'impact du rachat par Sonoco. Le niveau de confiance est **Moyen** (données fondamentales anciennes, absence de prédictions IA), et le niveau de risque global est **Élevé** (volatilité importante, incertitude stratégique, liquidité réduite). L'horizon d'investissement optimal est le **moyen terme (3-12 mois)**, le temps que la situation se clarifie sur la cote et que les effets du rachat par Sonoco se matérialisent.</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5,006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+13.04%</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34,500 FCFA</w:t>
            </w:r>
          </w:p>
          <w:p>
            <w:r>
              <w:rPr>
                <w:b/>
                <w:color w:val="503200"/>
                <w:sz w:val="16"/>
              </w:rPr>
              <w:t xml:space="preserve">Volatilité ann. : </w:t>
            </w:r>
            <w:r>
              <w:rPr>
                <w:color w:val="000000"/>
                <w:sz w:val="17"/>
              </w:rPr>
              <w:t>21.5%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2.82% (Faible) — μ=38,150 FCFA, σ=1,075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β=0.5062 (Défensif) — Cov=0.000034, Var(idx)=0.000068, ρ=0.307,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σ_j=1.36%/j (Stable) — Vol. annualisée≈21.5%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36,948</w:t>
            </w:r>
          </w:p>
        </w:tc>
        <w:tc>
          <w:tcPr>
            <w:tcW w:type="dxa" w:w="1440"/>
            <w:shd w:fill="FAFAFA" w:val="clear"/>
          </w:tcPr>
          <w:p>
            <w:r>
              <w:rPr>
                <w:b/>
                <w:sz w:val="17"/>
              </w:rPr>
              <w:t>38,525</w:t>
            </w:r>
          </w:p>
        </w:tc>
        <w:tc>
          <w:tcPr>
            <w:tcW w:type="dxa" w:w="1440"/>
            <w:shd w:fill="FAFAFA" w:val="clear"/>
          </w:tcPr>
          <w:p>
            <w:r>
              <w:rPr>
                <w:sz w:val="17"/>
              </w:rPr>
              <w:t>40,103</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36,522</w:t>
            </w:r>
          </w:p>
        </w:tc>
        <w:tc>
          <w:tcPr>
            <w:tcW w:type="dxa" w:w="1440"/>
            <w:shd w:fill="FAFAFA" w:val="clear"/>
          </w:tcPr>
          <w:p>
            <w:r>
              <w:rPr>
                <w:b/>
                <w:sz w:val="17"/>
              </w:rPr>
              <w:t>38,451</w:t>
            </w:r>
          </w:p>
        </w:tc>
        <w:tc>
          <w:tcPr>
            <w:tcW w:type="dxa" w:w="1440"/>
            <w:shd w:fill="FAFAFA" w:val="clear"/>
          </w:tcPr>
          <w:p>
            <w:r>
              <w:rPr>
                <w:sz w:val="17"/>
              </w:rPr>
              <w:t>40,379</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2026-10-07</w:t>
            </w:r>
          </w:p>
        </w:tc>
        <w:tc>
          <w:tcPr>
            <w:tcW w:type="dxa" w:w="1440"/>
            <w:shd w:fill="FAFAFA" w:val="clear"/>
          </w:tcPr>
          <w:p>
            <w:r>
              <w:rPr>
                <w:sz w:val="17"/>
              </w:rPr>
              <w:t>36,158</w:t>
            </w:r>
          </w:p>
        </w:tc>
        <w:tc>
          <w:tcPr>
            <w:tcW w:type="dxa" w:w="1440"/>
            <w:shd w:fill="FAFAFA" w:val="clear"/>
          </w:tcPr>
          <w:p>
            <w:r>
              <w:rPr>
                <w:b/>
                <w:sz w:val="17"/>
              </w:rPr>
              <w:t>38,380</w:t>
            </w:r>
          </w:p>
        </w:tc>
        <w:tc>
          <w:tcPr>
            <w:tcW w:type="dxa" w:w="1440"/>
            <w:shd w:fill="FAFAFA" w:val="clear"/>
          </w:tcPr>
          <w:p>
            <w:r>
              <w:rPr>
                <w:sz w:val="17"/>
              </w:rPr>
              <w:t>40,603</w:t>
            </w:r>
          </w:p>
        </w:tc>
        <w:tc>
          <w:tcPr>
            <w:tcW w:type="dxa" w:w="1440"/>
            <w:shd w:fill="FAFAFA" w:val="clear"/>
          </w:tcPr>
          <w:p>
            <w:r>
              <w:rPr>
                <w:b/>
                <w:color w:val="C00000"/>
                <w:sz w:val="17"/>
              </w:rPr>
              <w:t>-1.6%</w:t>
            </w:r>
          </w:p>
        </w:tc>
      </w:tr>
      <w:tr>
        <w:tc>
          <w:tcPr>
            <w:tcW w:type="dxa" w:w="1440"/>
            <w:shd w:fill="FAFAFA" w:val="clear"/>
          </w:tcPr>
          <w:p>
            <w:r>
              <w:rPr>
                <w:sz w:val="17"/>
              </w:rPr>
              <w:t>J+4  Moyenne</w:t>
            </w:r>
          </w:p>
        </w:tc>
        <w:tc>
          <w:tcPr>
            <w:tcW w:type="dxa" w:w="1440"/>
            <w:shd w:fill="FAFAFA" w:val="clear"/>
          </w:tcPr>
          <w:p>
            <w:r>
              <w:rPr>
                <w:sz w:val="17"/>
              </w:rPr>
              <w:t>2026-10-08</w:t>
            </w:r>
          </w:p>
        </w:tc>
        <w:tc>
          <w:tcPr>
            <w:tcW w:type="dxa" w:w="1440"/>
            <w:shd w:fill="FAFAFA" w:val="clear"/>
          </w:tcPr>
          <w:p>
            <w:r>
              <w:rPr>
                <w:sz w:val="17"/>
              </w:rPr>
              <w:t>35,834</w:t>
            </w:r>
          </w:p>
        </w:tc>
        <w:tc>
          <w:tcPr>
            <w:tcW w:type="dxa" w:w="1440"/>
            <w:shd w:fill="FAFAFA" w:val="clear"/>
          </w:tcPr>
          <w:p>
            <w:r>
              <w:rPr>
                <w:b/>
                <w:sz w:val="17"/>
              </w:rPr>
              <w:t>38,315</w:t>
            </w:r>
          </w:p>
        </w:tc>
        <w:tc>
          <w:tcPr>
            <w:tcW w:type="dxa" w:w="1440"/>
            <w:shd w:fill="FAFAFA" w:val="clear"/>
          </w:tcPr>
          <w:p>
            <w:r>
              <w:rPr>
                <w:sz w:val="17"/>
              </w:rPr>
              <w:t>40,796</w:t>
            </w:r>
          </w:p>
        </w:tc>
        <w:tc>
          <w:tcPr>
            <w:tcW w:type="dxa" w:w="1440"/>
            <w:shd w:fill="FAFAFA" w:val="clear"/>
          </w:tcPr>
          <w:p>
            <w:r>
              <w:rPr>
                <w:b/>
                <w:color w:val="C00000"/>
                <w:sz w:val="17"/>
              </w:rPr>
              <w:t>-1.8%</w:t>
            </w:r>
          </w:p>
        </w:tc>
      </w:tr>
      <w:tr>
        <w:tc>
          <w:tcPr>
            <w:tcW w:type="dxa" w:w="1440"/>
            <w:shd w:fill="FAFAFA" w:val="clear"/>
          </w:tcPr>
          <w:p>
            <w:r>
              <w:rPr>
                <w:sz w:val="17"/>
              </w:rPr>
              <w:t>J+5  Moyenne</w:t>
            </w:r>
          </w:p>
        </w:tc>
        <w:tc>
          <w:tcPr>
            <w:tcW w:type="dxa" w:w="1440"/>
            <w:shd w:fill="FAFAFA" w:val="clear"/>
          </w:tcPr>
          <w:p>
            <w:r>
              <w:rPr>
                <w:sz w:val="17"/>
              </w:rPr>
              <w:t>2026-10-09</w:t>
            </w:r>
          </w:p>
        </w:tc>
        <w:tc>
          <w:tcPr>
            <w:tcW w:type="dxa" w:w="1440"/>
            <w:shd w:fill="FAFAFA" w:val="clear"/>
          </w:tcPr>
          <w:p>
            <w:r>
              <w:rPr>
                <w:sz w:val="17"/>
              </w:rPr>
              <w:t>35,540</w:t>
            </w:r>
          </w:p>
        </w:tc>
        <w:tc>
          <w:tcPr>
            <w:tcW w:type="dxa" w:w="1440"/>
            <w:shd w:fill="FAFAFA" w:val="clear"/>
          </w:tcPr>
          <w:p>
            <w:r>
              <w:rPr>
                <w:b/>
                <w:sz w:val="17"/>
              </w:rPr>
              <w:t>38,253</w:t>
            </w:r>
          </w:p>
        </w:tc>
        <w:tc>
          <w:tcPr>
            <w:tcW w:type="dxa" w:w="1440"/>
            <w:shd w:fill="FAFAFA" w:val="clear"/>
          </w:tcPr>
          <w:p>
            <w:r>
              <w:rPr>
                <w:sz w:val="17"/>
              </w:rPr>
              <w:t>40,966</w:t>
            </w:r>
          </w:p>
        </w:tc>
        <w:tc>
          <w:tcPr>
            <w:tcW w:type="dxa" w:w="1440"/>
            <w:shd w:fill="FAFAFA" w:val="clear"/>
          </w:tcPr>
          <w:p>
            <w:r>
              <w:rPr>
                <w:b/>
                <w:color w:val="C00000"/>
                <w:sz w:val="17"/>
              </w:rPr>
              <w:t>-1.9%</w:t>
            </w:r>
          </w:p>
        </w:tc>
      </w:tr>
      <w:tr>
        <w:tc>
          <w:tcPr>
            <w:tcW w:type="dxa" w:w="1440"/>
            <w:shd w:fill="FFDCE0" w:val="clear"/>
          </w:tcPr>
          <w:p>
            <w:r>
              <w:rPr>
                <w:sz w:val="17"/>
              </w:rPr>
              <w:t>J+6  Moyenne</w:t>
            </w:r>
          </w:p>
        </w:tc>
        <w:tc>
          <w:tcPr>
            <w:tcW w:type="dxa" w:w="1440"/>
            <w:shd w:fill="FFDCE0" w:val="clear"/>
          </w:tcPr>
          <w:p>
            <w:r>
              <w:rPr>
                <w:sz w:val="17"/>
              </w:rPr>
              <w:t>2026-10-12</w:t>
            </w:r>
          </w:p>
        </w:tc>
        <w:tc>
          <w:tcPr>
            <w:tcW w:type="dxa" w:w="1440"/>
            <w:shd w:fill="FFDCE0" w:val="clear"/>
          </w:tcPr>
          <w:p>
            <w:r>
              <w:rPr>
                <w:sz w:val="17"/>
              </w:rPr>
              <w:t>35,267</w:t>
            </w:r>
          </w:p>
        </w:tc>
        <w:tc>
          <w:tcPr>
            <w:tcW w:type="dxa" w:w="1440"/>
            <w:shd w:fill="FFDCE0" w:val="clear"/>
          </w:tcPr>
          <w:p>
            <w:r>
              <w:rPr>
                <w:b/>
                <w:sz w:val="17"/>
              </w:rPr>
              <w:t>38,193</w:t>
            </w:r>
          </w:p>
        </w:tc>
        <w:tc>
          <w:tcPr>
            <w:tcW w:type="dxa" w:w="1440"/>
            <w:shd w:fill="FFDCE0" w:val="clear"/>
          </w:tcPr>
          <w:p>
            <w:r>
              <w:rPr>
                <w:sz w:val="17"/>
              </w:rPr>
              <w:t>41,119</w:t>
            </w:r>
          </w:p>
        </w:tc>
        <w:tc>
          <w:tcPr>
            <w:tcW w:type="dxa" w:w="1440"/>
            <w:shd w:fill="FFDCE0" w:val="clear"/>
          </w:tcPr>
          <w:p>
            <w:r>
              <w:rPr>
                <w:b/>
                <w:color w:val="C00000"/>
                <w:sz w:val="17"/>
              </w:rPr>
              <w:t>-2.1%</w:t>
            </w:r>
          </w:p>
        </w:tc>
      </w:tr>
      <w:tr>
        <w:tc>
          <w:tcPr>
            <w:tcW w:type="dxa" w:w="1440"/>
            <w:shd w:fill="FFDCE0" w:val="clear"/>
          </w:tcPr>
          <w:p>
            <w:r>
              <w:rPr>
                <w:sz w:val="17"/>
              </w:rPr>
              <w:t>J+7  Moyenne</w:t>
            </w:r>
          </w:p>
        </w:tc>
        <w:tc>
          <w:tcPr>
            <w:tcW w:type="dxa" w:w="1440"/>
            <w:shd w:fill="FFDCE0" w:val="clear"/>
          </w:tcPr>
          <w:p>
            <w:r>
              <w:rPr>
                <w:sz w:val="17"/>
              </w:rPr>
              <w:t>2026-10-13</w:t>
            </w:r>
          </w:p>
        </w:tc>
        <w:tc>
          <w:tcPr>
            <w:tcW w:type="dxa" w:w="1440"/>
            <w:shd w:fill="FFDCE0" w:val="clear"/>
          </w:tcPr>
          <w:p>
            <w:r>
              <w:rPr>
                <w:sz w:val="17"/>
              </w:rPr>
              <w:t>35,012</w:t>
            </w:r>
          </w:p>
        </w:tc>
        <w:tc>
          <w:tcPr>
            <w:tcW w:type="dxa" w:w="1440"/>
            <w:shd w:fill="FFDCE0" w:val="clear"/>
          </w:tcPr>
          <w:p>
            <w:r>
              <w:rPr>
                <w:b/>
                <w:sz w:val="17"/>
              </w:rPr>
              <w:t>38,135</w:t>
            </w:r>
          </w:p>
        </w:tc>
        <w:tc>
          <w:tcPr>
            <w:tcW w:type="dxa" w:w="1440"/>
            <w:shd w:fill="FFDCE0" w:val="clear"/>
          </w:tcPr>
          <w:p>
            <w:r>
              <w:rPr>
                <w:sz w:val="17"/>
              </w:rPr>
              <w:t>41,258</w:t>
            </w:r>
          </w:p>
        </w:tc>
        <w:tc>
          <w:tcPr>
            <w:tcW w:type="dxa" w:w="1440"/>
            <w:shd w:fill="FFDCE0" w:val="clear"/>
          </w:tcPr>
          <w:p>
            <w:r>
              <w:rPr>
                <w:b/>
                <w:color w:val="C00000"/>
                <w:sz w:val="17"/>
              </w:rPr>
              <w:t>-2.2%</w:t>
            </w:r>
          </w:p>
        </w:tc>
      </w:tr>
      <w:tr>
        <w:tc>
          <w:tcPr>
            <w:tcW w:type="dxa" w:w="1440"/>
            <w:shd w:fill="FFDCE0" w:val="clear"/>
          </w:tcPr>
          <w:p>
            <w:r>
              <w:rPr>
                <w:sz w:val="17"/>
              </w:rPr>
              <w:t>J+8  Moyenne</w:t>
            </w:r>
          </w:p>
        </w:tc>
        <w:tc>
          <w:tcPr>
            <w:tcW w:type="dxa" w:w="1440"/>
            <w:shd w:fill="FFDCE0" w:val="clear"/>
          </w:tcPr>
          <w:p>
            <w:r>
              <w:rPr>
                <w:sz w:val="17"/>
              </w:rPr>
              <w:t>2026-10-14</w:t>
            </w:r>
          </w:p>
        </w:tc>
        <w:tc>
          <w:tcPr>
            <w:tcW w:type="dxa" w:w="1440"/>
            <w:shd w:fill="FFDCE0" w:val="clear"/>
          </w:tcPr>
          <w:p>
            <w:r>
              <w:rPr>
                <w:sz w:val="17"/>
              </w:rPr>
              <w:t>34,770</w:t>
            </w:r>
          </w:p>
        </w:tc>
        <w:tc>
          <w:tcPr>
            <w:tcW w:type="dxa" w:w="1440"/>
            <w:shd w:fill="FFDCE0" w:val="clear"/>
          </w:tcPr>
          <w:p>
            <w:r>
              <w:rPr>
                <w:b/>
                <w:sz w:val="17"/>
              </w:rPr>
              <w:t>38,078</w:t>
            </w:r>
          </w:p>
        </w:tc>
        <w:tc>
          <w:tcPr>
            <w:tcW w:type="dxa" w:w="1440"/>
            <w:shd w:fill="FFDCE0" w:val="clear"/>
          </w:tcPr>
          <w:p>
            <w:r>
              <w:rPr>
                <w:sz w:val="17"/>
              </w:rPr>
              <w:t>41,386</w:t>
            </w:r>
          </w:p>
        </w:tc>
        <w:tc>
          <w:tcPr>
            <w:tcW w:type="dxa" w:w="1440"/>
            <w:shd w:fill="FFDCE0" w:val="clear"/>
          </w:tcPr>
          <w:p>
            <w:r>
              <w:rPr>
                <w:b/>
                <w:color w:val="C00000"/>
                <w:sz w:val="17"/>
              </w:rPr>
              <w:t>-2.4%</w:t>
            </w:r>
          </w:p>
        </w:tc>
      </w:tr>
      <w:tr>
        <w:tc>
          <w:tcPr>
            <w:tcW w:type="dxa" w:w="1440"/>
            <w:shd w:fill="FFDCE0" w:val="clear"/>
          </w:tcPr>
          <w:p>
            <w:r>
              <w:rPr>
                <w:sz w:val="17"/>
              </w:rPr>
              <w:t>J+9  Moyenne</w:t>
            </w:r>
          </w:p>
        </w:tc>
        <w:tc>
          <w:tcPr>
            <w:tcW w:type="dxa" w:w="1440"/>
            <w:shd w:fill="FFDCE0" w:val="clear"/>
          </w:tcPr>
          <w:p>
            <w:r>
              <w:rPr>
                <w:sz w:val="17"/>
              </w:rPr>
              <w:t>2026-10-15</w:t>
            </w:r>
          </w:p>
        </w:tc>
        <w:tc>
          <w:tcPr>
            <w:tcW w:type="dxa" w:w="1440"/>
            <w:shd w:fill="FFDCE0" w:val="clear"/>
          </w:tcPr>
          <w:p>
            <w:r>
              <w:rPr>
                <w:sz w:val="17"/>
              </w:rPr>
              <w:t>34,541</w:t>
            </w:r>
          </w:p>
        </w:tc>
        <w:tc>
          <w:tcPr>
            <w:tcW w:type="dxa" w:w="1440"/>
            <w:shd w:fill="FFDCE0" w:val="clear"/>
          </w:tcPr>
          <w:p>
            <w:r>
              <w:rPr>
                <w:b/>
                <w:sz w:val="17"/>
              </w:rPr>
              <w:t>38,023</w:t>
            </w:r>
          </w:p>
        </w:tc>
        <w:tc>
          <w:tcPr>
            <w:tcW w:type="dxa" w:w="1440"/>
            <w:shd w:fill="FFDCE0" w:val="clear"/>
          </w:tcPr>
          <w:p>
            <w:r>
              <w:rPr>
                <w:sz w:val="17"/>
              </w:rPr>
              <w:t>41,504</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SGBC (SOCIÉTÉ GÉNÉRALE CÔTE D'IVOIRE)</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**1 213,33 milliards FCFA**, SGBC figure parmi les poids lourds de la cote BRVM, ce qui en fait un titre incontournable pour les investisseurs institutionnels régionaux. Le BPA s'établit à **3 258 FCFA par action**, ce qui signifie que chaque titre détenu génère près de 3 258 FCFA de bénéfice net annuel. Le PER de **12,0x** place le titre légèrement au-dessus de la moyenne du marché BRVM (8-12x), traduisant une valorisation modérée mais non excessive au regard de la qualité des fondamentaux. Le P/B de **2,45x** indique que le marché valorise SGBC à 2,45 fois sa valeur comptable, soit une prime de croissance justifiée par un ROE supérieur à 20 %. En revanche, l'**EV/EBITDA de 24,7x** apparaît très exigeant (seuil usuel &gt; 15x), signalant que la valeur d'entreprise intègre déjà une forte anticipation de rentabilité future — un point de vigilance pour les investisseurs sensibles à la valorisation relative.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SGBC affiche une **progression totale de +13,04 %**, avec une variation quasi nulle de **+0,03 % sur la dernière séance (J-1)**, traduisant une stabilisation du cours à son niveau élevé. Le cours actuel de **39 000 FCFA** évolue dans un range de trading de **4 800 FCFA** (plus haut à 39 300 FCFA, plus bas à 34 500 FCFA), soit une amplitude de près de 14 %, confirmant une tendance haussière bien ancrée sur la période. Les statistiques descriptives révèlent une **moyenne de 38 150 FCFA** légèrement inférieure à la **médiane de 38 495 FCFA**, écart qui, combiné à un **skewness négatif de -1,521**, indique une asymétrie vers la gauche : le cours a passé davantage de séances au-dessus de sa moyenne, avec quelques journées de correction marquée. L'**écart-type de 1 080 FCFA (CV = 2,8 %)** traduit une dispersion très faible du cours, signe d'une grande stabilité relative. Le **kurtosis de 1,933 (leptokurtique)** signale toutefois des queues épaisses, donc un risque de pics de volatilité ponctuels. Enfin, la **volatilité annualisée de 21,5 %** positionne le titre dans la catégorie des valeurs à volatilité modérée (15-30 %), cohérente avec un profil de valeur bancaire de qualité.</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**38 620,5 FCFA** et la MM50 à **38 477,2 FCFA**, toutes deux inférieures au cours actuel de 39 000 FCFA. Cette configuration (cours &gt; MM20 &gt; MM50) est typiquement haussière et confirme la décision technique d'**Achat**. Le croisement des moyennes en « golden cross » renforce le signal positif.</w:t>
      </w:r>
    </w:p>
    <w:p>
      <w:pPr>
        <w:spacing w:after="120" w:line="276" w:lineRule="auto"/>
      </w:pPr>
      <w:r>
        <w:t>**Bandes de Bollinger :** Le cours (39 000 FCFA) se situe entre la borne supérieure (**39 401,69 FCFA**) et la borne inférieure (**37 839,31 FCFA**), plus proche de la borne haute. L'écart relativement resserré entre les bornes traduit une volatilité contenue. La décision technique est **Neutre**, le cours n'étant ni en surachat extrême ni en survente.</w:t>
      </w:r>
    </w:p>
    <w:p>
      <w:pPr>
        <w:spacing w:after="120" w:line="276" w:lineRule="auto"/>
      </w:pPr>
      <w:r>
        <w:t>**MACD :** La valeur du MACD (**89,248**) est nettement supérieure à son signal (**30,124**), générant un histogramme positif de près de 59 points. Cette divergence haussière confirme un momentum positif et justifie la décision d'**Achat**. Le MACD reste toutefois à surveiller en cas de retournement.</w:t>
      </w:r>
    </w:p>
    <w:p>
      <w:pPr>
        <w:spacing w:after="120" w:line="276" w:lineRule="auto"/>
      </w:pPr>
      <w:r>
        <w:t>**RSI :** À **52,934**, le RSI se situe dans la zone neutre (30-70), sans signal de surachat (&gt;70) ni de survente (&lt;30). La décision est **Neutre**, indiquant que le titre dispose encore d'une marge de progression avant d'atteindre des niveaux de surachat.</w:t>
      </w:r>
    </w:p>
    <w:p>
      <w:pPr>
        <w:spacing w:after="120" w:line="276" w:lineRule="auto"/>
      </w:pPr>
      <w:r>
        <w:t>**Stochastique :** Le %K (**100,0**) et le %D (**96,944**) sont tous deux en zone extrême de surachat, avec un %K au plus haut absolu. Cette configuration génère une décision de **Vente** à court terme, signalant un risque de correction technique imminent malgré la tendance haussière de fond.</w:t>
      </w:r>
    </w:p>
    <w:p>
      <w:pPr>
        <w:spacing w:after="120" w:line="276" w:lineRule="auto"/>
      </w:pPr>
      <w:r>
        <w:t>**Conclusion technique :** Les indicateurs présentent une **divergence notable** : les moyennes mobiles et le MACD confirment une tendance haussière solide, tandis que le stochastique signale un surachat extrême et le RSI reste neutre. Cette configuration suggère que le titre pourrait connaître une consolidation à court terme avant de reprendre sa progression. La convergence partielle des signaux plaide pour une **prudence tactique** à court terme, sans remettre en cause la tendance de fond.</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SGBC affiche un **PNB de 276,048 milliards FCFA**, en croissance de **+4,88 %** sur un an, porté par la marge d'intérêt (230,313 Mds FCFA) et les commissions (72,603 Mds FCFA). Le **résultat net s'établit à 101,352 milliards FCFA**, quasi stable (+0,1 % vs 2024), avec une **marge nette de 36,72 %** — niveau exceptionnel dans le secteur bancaire. Le **ROE de 20,47 %** (largement supérieur au seuil de 15 % considéré comme excellent) et le **ROA de 2,69 %** confirment la rentabilité élevée de la banque. Le **coefficient d'exploitation de 38,75 %** (contre 37,9 % en 2024) reste parmi les meilleurs du secteur UEMOA (&lt; 60 % = banque efficace, &lt; 50 % = excellente). Le **coût du risque** (provisions de 17,995 Mds FCFA, soit 6,5 % du PNB) demeure contenu, bien qu'en hausse de +29,2 % selon le rapport annuel 2025 (publié le 17 avril 2026). La structure bilancielle est solide : **dépôts clientèle de 2 907,675 Mds FCFA** (+5,8 %) contre **créances clientèle de 2 546,290 Mds FCFA** (+2,9 %), avec un ratio prêts/dépôts de 87,6 % en amélioration. Le **ratio de solvabilité de 17,6 %** (S1 2026) dépasse largement le minimum réglementaire de 12,5 %.</w:t>
      </w:r>
    </w:p>
    <w:p>
      <w:pPr>
        <w:spacing w:after="120" w:line="276" w:lineRule="auto"/>
      </w:pPr>
      <w:r>
        <w:t>**Estimations basées sur les rapports trimestriels :** Le rapport T1 2026 (publié le 30 avril 2026) indique un **PNB de 65,644 Mds FCFA** (-1 % vs T1 2025) et un **résultat net de 23,976 Mds FCFA** (-11 %), pénalisé par la hausse des frais généraux (+9 %) liée aux investissements (rénovation du siège, migration digitale). Le rapport S1 2026 (publié le 27 août 2026) montre une **reprise progressive** : PNB de 134,059 Mds FCFA (+1,6 %), résultat net de 53,350 Mds FCFA (+0,5 %), avec un coefficient d'exploitation amélioré à **36,7 %** et un ratio de solvabilité de **17,6 %**. On estime donc que l'exercice 2026 devrait afficher une **stabilisation du résultat net autour de 100-102 Mds FCFA**, avec une possible accélération au S2 2026 si la migration digitale porte ses fruits. La politique de dividende reste généreuse : **2 606 FCFA par action** proposé au titre de 2025 (taux de distribution de 80 %), offrant un rendement attractif de **6,68 %** au cours actuel de 39 000 FCFA. **Conclusion fondamentale :** SGBC demeure un titre de qualité, avec des fondamentaux solides, une rentabilité élevée et une politique de dividende attractive, mais la stagnation du résultat net en 2025-2026 et la hausse du coût du risque appellent à la vigilance.</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**modérée** (PER 12,0x, P/B 2,45x) mais l'EV/EBITDA de 24,7x apparaît exigeant, suggérant que le marché intègre déjà une forte anticipation de croissance. Le comportement du cours (Partie 1) est **favorable** : tendance haussière (+13,04 % sur 100 jours), volatilité modérée (21,5 %), skewness négatif indiquant une résistance à la baisse, mais kurtosis leptokurtique signalant un risque de pics. Les signaux techniques (Partie 2) sont **mitigés** : les moyennes mobiles et le MACD confirment l'achat, mais le stochastique en surachat extrême (%K=100) et le RSI neutre plaident pour une consolidation à court terme. Les fondamentaux (Partie 3) sont **solides** : ROE de 20,47 %, coefficient d'exploitation de 38,75 %, dividende de 2 606 FCFA (rendement 6,68 %), mais la stagnation du résultat net (+0,1 % en 2025) et la hausse du coût du risque (+29,2 %) limitent le potentiel de revalorisation à court terme. Les **prédictions IA (J+1 à J+10)** anticipent une **légère correction** vers 38 253 FCFA (-1,9 % par rapport au cours actuel), ce qui **contredit partiellement** les signaux haussiers des moyennes mobiles et du MACD, mais **confirme** le signal de vente du stochastique.</w:t>
      </w:r>
    </w:p>
    <w:p>
      <w:pPr>
        <w:spacing w:after="120" w:line="276" w:lineRule="auto"/>
      </w:pPr>
      <w:r>
        <w:t>**Recommandation finale : CONSERVER.** La convergence des signaux est **partielle** : la valorisation modérée, les fondamentaux solides et le dividende attractif soutiennent le titre à moyen terme, mais le surachat technique à court terme et la stagnation des bénéfices incitent à la prudence. Le niveau de confiance est **Moyen**, car les indicateurs techniques divergent et les prédictions IA suggèrent une correction imminente. Le niveau de risque global est **Moyen** : la volatilité est modérée, mais le risque de correction à court terme est réel. L'horizon d'investissement optimal est **moyen terme (3-12 mois)**, en attendant la confirmation de la reprise du PNB et de la maîtrise des coûts au S2 2026. Un passage à **ACHAT** serait justifié si le titre corrige vers 38 000 FCFA (niveau de la MM20) ou si le T3 2026 confirme l'accélération du PNB et la normalisation du coût du risque. À l'inverse, une dégradation supplémentaire de la rentabilité ou une cassure sous la MM50 (38 477 FCFA) constituerait un signal de **VENTE**.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144.90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4,985 titres</w:t>
            </w:r>
          </w:p>
        </w:tc>
        <w:tc>
          <w:tcPr>
            <w:tcW w:type="dxa" w:w="2268"/>
            <w:shd w:fill="FFF2CC" w:val="clear"/>
          </w:tcPr>
          <w:p>
            <w:r>
              <w:rPr>
                <w:b/>
                <w:color w:val="503200"/>
                <w:sz w:val="16"/>
              </w:rPr>
              <w:t xml:space="preserve">Cours actuel : </w:t>
            </w:r>
            <w:r>
              <w:rPr>
                <w:color w:val="000000"/>
                <w:sz w:val="17"/>
              </w:rPr>
              <w:t>2,300 FCFA</w:t>
            </w:r>
          </w:p>
          <w:p>
            <w:r>
              <w:rPr>
                <w:b/>
                <w:color w:val="503200"/>
                <w:sz w:val="16"/>
              </w:rPr>
              <w:t xml:space="preserve">Var. 100 jours : </w:t>
            </w:r>
            <w:r>
              <w:rPr>
                <w:b/>
                <w:color w:val="007800"/>
                <w:sz w:val="17"/>
              </w:rPr>
              <w:t>+18.25%</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10.30% (Moyenne) — μ=2,253 FCFA, σ=232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β=0.9519 (Neutre (suit le marché)) — Cov=0.000064, Var(idx)=0.000068, ρ=0.294,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2,121</w:t>
            </w:r>
          </w:p>
        </w:tc>
        <w:tc>
          <w:tcPr>
            <w:tcW w:type="dxa" w:w="1440"/>
            <w:shd w:fill="FAFAFA" w:val="clear"/>
          </w:tcPr>
          <w:p>
            <w:r>
              <w:rPr>
                <w:b/>
                <w:sz w:val="17"/>
              </w:rPr>
              <w:t>2,318</w:t>
            </w:r>
          </w:p>
        </w:tc>
        <w:tc>
          <w:tcPr>
            <w:tcW w:type="dxa" w:w="1440"/>
            <w:shd w:fill="FAFAFA" w:val="clear"/>
          </w:tcPr>
          <w:p>
            <w:r>
              <w:rPr>
                <w:sz w:val="17"/>
              </w:rPr>
              <w:t>2,514</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2,080</w:t>
            </w:r>
          </w:p>
        </w:tc>
        <w:tc>
          <w:tcPr>
            <w:tcW w:type="dxa" w:w="1440"/>
            <w:shd w:fill="FAFAFA" w:val="clear"/>
          </w:tcPr>
          <w:p>
            <w:r>
              <w:rPr>
                <w:b/>
                <w:sz w:val="17"/>
              </w:rPr>
              <w:t>2,320</w:t>
            </w:r>
          </w:p>
        </w:tc>
        <w:tc>
          <w:tcPr>
            <w:tcW w:type="dxa" w:w="1440"/>
            <w:shd w:fill="FAFAFA" w:val="clear"/>
          </w:tcPr>
          <w:p>
            <w:r>
              <w:rPr>
                <w:sz w:val="17"/>
              </w:rPr>
              <w:t>2,561</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2,044</w:t>
            </w:r>
          </w:p>
        </w:tc>
        <w:tc>
          <w:tcPr>
            <w:tcW w:type="dxa" w:w="1440"/>
            <w:shd w:fill="FAFAFA" w:val="clear"/>
          </w:tcPr>
          <w:p>
            <w:r>
              <w:rPr>
                <w:b/>
                <w:sz w:val="17"/>
              </w:rPr>
              <w:t>2,322</w:t>
            </w:r>
          </w:p>
        </w:tc>
        <w:tc>
          <w:tcPr>
            <w:tcW w:type="dxa" w:w="1440"/>
            <w:shd w:fill="FAFAFA" w:val="clear"/>
          </w:tcPr>
          <w:p>
            <w:r>
              <w:rPr>
                <w:sz w:val="17"/>
              </w:rPr>
              <w:t>2,600</w:t>
            </w:r>
          </w:p>
        </w:tc>
        <w:tc>
          <w:tcPr>
            <w:tcW w:type="dxa" w:w="1440"/>
            <w:shd w:fill="FAFAFA" w:val="clear"/>
          </w:tcPr>
          <w:p>
            <w:r>
              <w:rPr>
                <w:b/>
                <w:color w:val="008000"/>
                <w:sz w:val="17"/>
              </w:rPr>
              <w:t>+1.0%</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2,012</w:t>
            </w:r>
          </w:p>
        </w:tc>
        <w:tc>
          <w:tcPr>
            <w:tcW w:type="dxa" w:w="1440"/>
            <w:shd w:fill="FAFAFA" w:val="clear"/>
          </w:tcPr>
          <w:p>
            <w:r>
              <w:rPr>
                <w:b/>
                <w:sz w:val="17"/>
              </w:rPr>
              <w:t>2,322</w:t>
            </w:r>
          </w:p>
        </w:tc>
        <w:tc>
          <w:tcPr>
            <w:tcW w:type="dxa" w:w="1440"/>
            <w:shd w:fill="FAFAFA" w:val="clear"/>
          </w:tcPr>
          <w:p>
            <w:r>
              <w:rPr>
                <w:sz w:val="17"/>
              </w:rPr>
              <w:t>2,633</w:t>
            </w:r>
          </w:p>
        </w:tc>
        <w:tc>
          <w:tcPr>
            <w:tcW w:type="dxa" w:w="1440"/>
            <w:shd w:fill="FAFAFA" w:val="clear"/>
          </w:tcPr>
          <w:p>
            <w:r>
              <w:rPr>
                <w:b/>
                <w:color w:val="008000"/>
                <w:sz w:val="17"/>
              </w:rPr>
              <w:t>+1.0%</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1,982</w:t>
            </w:r>
          </w:p>
        </w:tc>
        <w:tc>
          <w:tcPr>
            <w:tcW w:type="dxa" w:w="1440"/>
            <w:shd w:fill="FAFAFA" w:val="clear"/>
          </w:tcPr>
          <w:p>
            <w:r>
              <w:rPr>
                <w:b/>
                <w:sz w:val="17"/>
              </w:rPr>
              <w:t>2,322</w:t>
            </w:r>
          </w:p>
        </w:tc>
        <w:tc>
          <w:tcPr>
            <w:tcW w:type="dxa" w:w="1440"/>
            <w:shd w:fill="FAFAFA" w:val="clear"/>
          </w:tcPr>
          <w:p>
            <w:r>
              <w:rPr>
                <w:sz w:val="17"/>
              </w:rPr>
              <w:t>2,662</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1,953</w:t>
            </w:r>
          </w:p>
        </w:tc>
        <w:tc>
          <w:tcPr>
            <w:tcW w:type="dxa" w:w="1440"/>
            <w:shd w:fill="FAFAFA" w:val="clear"/>
          </w:tcPr>
          <w:p>
            <w:r>
              <w:rPr>
                <w:b/>
                <w:sz w:val="17"/>
              </w:rPr>
              <w:t>2,320</w:t>
            </w:r>
          </w:p>
        </w:tc>
        <w:tc>
          <w:tcPr>
            <w:tcW w:type="dxa" w:w="1440"/>
            <w:shd w:fill="FAFAFA" w:val="clear"/>
          </w:tcPr>
          <w:p>
            <w:r>
              <w:rPr>
                <w:sz w:val="17"/>
              </w:rPr>
              <w:t>2,688</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1,926</w:t>
            </w:r>
          </w:p>
        </w:tc>
        <w:tc>
          <w:tcPr>
            <w:tcW w:type="dxa" w:w="1440"/>
            <w:shd w:fill="FAFAFA" w:val="clear"/>
          </w:tcPr>
          <w:p>
            <w:r>
              <w:rPr>
                <w:b/>
                <w:sz w:val="17"/>
              </w:rPr>
              <w:t>2,319</w:t>
            </w:r>
          </w:p>
        </w:tc>
        <w:tc>
          <w:tcPr>
            <w:tcW w:type="dxa" w:w="1440"/>
            <w:shd w:fill="FAFAFA" w:val="clear"/>
          </w:tcPr>
          <w:p>
            <w:r>
              <w:rPr>
                <w:sz w:val="17"/>
              </w:rPr>
              <w:t>2,711</w:t>
            </w:r>
          </w:p>
        </w:tc>
        <w:tc>
          <w:tcPr>
            <w:tcW w:type="dxa" w:w="1440"/>
            <w:shd w:fill="FAFAFA" w:val="clear"/>
          </w:tcPr>
          <w:p>
            <w:r>
              <w:rPr>
                <w:b/>
                <w:color w:val="008000"/>
                <w:sz w:val="17"/>
              </w:rPr>
              <w:t>+0.8%</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1,901</w:t>
            </w:r>
          </w:p>
        </w:tc>
        <w:tc>
          <w:tcPr>
            <w:tcW w:type="dxa" w:w="1440"/>
            <w:shd w:fill="FAFAFA" w:val="clear"/>
          </w:tcPr>
          <w:p>
            <w:r>
              <w:rPr>
                <w:b/>
                <w:sz w:val="17"/>
              </w:rPr>
              <w:t>2,317</w:t>
            </w:r>
          </w:p>
        </w:tc>
        <w:tc>
          <w:tcPr>
            <w:tcW w:type="dxa" w:w="1440"/>
            <w:shd w:fill="FAFAFA" w:val="clear"/>
          </w:tcPr>
          <w:p>
            <w:r>
              <w:rPr>
                <w:sz w:val="17"/>
              </w:rPr>
              <w:t>2,733</w:t>
            </w:r>
          </w:p>
        </w:tc>
        <w:tc>
          <w:tcPr>
            <w:tcW w:type="dxa" w:w="1440"/>
            <w:shd w:fill="FAFAFA" w:val="clear"/>
          </w:tcPr>
          <w:p>
            <w:r>
              <w:rPr>
                <w:b/>
                <w:color w:val="008000"/>
                <w:sz w:val="17"/>
              </w:rPr>
              <w:t>+0.7%</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1,877</w:t>
            </w:r>
          </w:p>
        </w:tc>
        <w:tc>
          <w:tcPr>
            <w:tcW w:type="dxa" w:w="1440"/>
            <w:shd w:fill="FAFAFA" w:val="clear"/>
          </w:tcPr>
          <w:p>
            <w:r>
              <w:rPr>
                <w:b/>
                <w:sz w:val="17"/>
              </w:rPr>
              <w:t>2,315</w:t>
            </w:r>
          </w:p>
        </w:tc>
        <w:tc>
          <w:tcPr>
            <w:tcW w:type="dxa" w:w="1440"/>
            <w:shd w:fill="FAFAFA" w:val="clear"/>
          </w:tcPr>
          <w:p>
            <w:r>
              <w:rPr>
                <w:sz w:val="17"/>
              </w:rPr>
              <w:t>2,753</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RAPPORT D'ANALYSE FINANCIÈRE — SHEC (VIVO ENERGY CÔTE D'IVOIRE)</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144,90 milliards FCFA, SHEC se positionne parmi les valeurs moyennes du compartiment industriel de la BRVM, reflétant sa taille de distributeur pétrolier aval intégré. Le BPA de 96 FCFA/action signifie que chaque titre génère près d'un centième de sa valeur en bénéfice net annuel, un niveau modeste typique du secteur. Le PER de 24,0x traduit une valorisation nettement supérieure à la moyenne du marché BRVM (~8-12x), signalant que les investisseurs anticipent une croissance future ou que le titre est surévalué au regard de ses bénéfices actuels. Le P/B de 5,34x — très supérieur au seuil de 4x — indique que le marché valorise l'entreprise à plus de cinq fois sa valeur comptable, une prime exigeante qui suppose une forte rentabilité future des fonds propres. Enfin, l'EV/EBITDA de 12,9x, dans la fourchette haute (10-15x), confirme que la valeur d'entreprise intègre une prime de qualité opérationnelle, mais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progression totale de +18,25%, mais la dernière séance (J-1) enregistre un repli de -2,54%, signalant une prise de profit après un rallye haussier. Le cours actuel de 2 300 FCFA se situe à mi-chemin entre le plus haut de 2 980 FCFA et le plus bas de 1 900 FCFA, soit un range de trading de 1 080 FCFA (57% d'amplitude), ce qui témoigne d'une tendance générale haussière mais avec une correction récente. Les statistiques descriptives révèlent une moyenne de 2 253 FCFA légèrement supérieure à la médiane et au mode (2 200 FCFA), confirmant une asymétrie positive (skewness = 0,974) avec davantage de journées sous la moyenne mais des pics haussiers marqués. L'écart-type de 233 FCFA et le coefficient de variation de 10,3% indiquent une dispersion modérée du cours autour de sa moyenne. Le kurtosis de 1,094 (leptokurtique) signale des queues épaisses, donc un risque de mouvements brusques et de pics de volatilité. Enfin, la volatilité annualisée de 42,3% classe le titre dans la catégorie **élevée** (&gt;30%), ce qui implique un risque significatif pour les investisseurs, mais aussi des opportunités de trading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(2 575,75 FCFA) et la MM50 (2 419,80 FCFA) se situent toutes deux au-dessus du cours actuel (2 300 FCFA), ce qui place le titre en position baissière à court terme. Cependant, la MM20 &gt; MM50 indique une structure haussière de fond, et la décision « Achat » suggérée par le système reflète cette configuration de croisement haussier des moyennes, bien que le cours doive reconquérir ces niveaux pour confirmer.</w:t>
      </w:r>
    </w:p>
    <w:p>
      <w:pPr>
        <w:spacing w:after="120" w:line="276" w:lineRule="auto"/>
      </w:pPr>
      <w:r>
        <w:t>**Bandes de Bollinger** : Le cours (2 300 FCFA) évolue entre la borne inférieure (2 142,21 FCFA) et la borne supérieure (3 009,29 FCFA), à proximité du bas de la bande, ce qui traduit une pression vendeuse récente. La largeur des bandes (867 FCFA) indique une volatilité élevée, et la décision « Neutre » suggère une absence de signal directionnel fort, le cours pouvant rebondir sur la borne inférieure ou poursuivre sa correction.</w:t>
      </w:r>
    </w:p>
    <w:p>
      <w:pPr>
        <w:spacing w:after="120" w:line="276" w:lineRule="auto"/>
      </w:pPr>
      <w:r>
        <w:t>**MACD** : La valeur du MACD (-19,028) est nettement inférieure à son signal (38,543), générant un histogramme négatif et une décision « Vente ». Cette divergence baissière indique un momentum négatif à court terme, avec un risque de poursuite de la baisse tant que le MACD ne recroise pas son signal à la hausse.</w:t>
      </w:r>
    </w:p>
    <w:p>
      <w:pPr>
        <w:spacing w:after="120" w:line="276" w:lineRule="auto"/>
      </w:pPr>
      <w:r>
        <w:t>**RSI** : À 41,883, le RSI se situe en zone neutre (30-70), sans signal de surachat ni de survente. La décision « Neutre » confirme que le titre n'est ni dans une zone d'achat agressive ni de vente forcée, laissant la porte ouverte à une consolidation avant un nouveau mouvement directionnel.</w:t>
      </w:r>
    </w:p>
    <w:p>
      <w:pPr>
        <w:spacing w:after="120" w:line="276" w:lineRule="auto"/>
      </w:pPr>
      <w:r>
        <w:t>**Stochastique** : Les valeurs %K et %D sont toutes deux à 0,0, ce qui place le titre en zone de survente extrême. La décision « Achat » suggère qu'un rebond technique est probable à court terme, le stochastique étant un indicateur avancé de retournement.</w:t>
      </w:r>
    </w:p>
    <w:p>
      <w:pPr>
        <w:spacing w:after="120" w:line="276" w:lineRule="auto"/>
      </w:pPr>
      <w:r>
        <w:t>**Conclusion technique** : Les indicateurs sont divergents — le MACD est baissier, les Bandes de Bollinger et le RSI sont neutres, tandis que les Moyennes Mobiles et le Stochastique suggèrent un achat. Cette configuration mixte indique une phase de consolidation avec un potentiel de rebond technique à court terme, mais la prudence reste de mise tant que le cours n'a pas reconquis la MM20 (2 575 FCFA) pour confirmer une reprise haussière durable.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SHEC (VIVO ENERGY CÔTE D'IVOIRE) a réalisé un chiffre d'affaires de 604,978 milliards FCFA, en légère hausse de +0,71% par rapport à 2024 (600,708 Mds FCFA). Le résultat net s'établit à 6,028 milliards FCFA, en progression de +12,6%, porté par une amélioration de la marge nette (1,00% contre 0,89% en 2024) et une réduction des charges financières (-17,7%). Le ROE atteint 22,20%, un niveau excellent (&gt;15%), tandis que le ROA reste faible à 3,11%, reflétant la structure d'actifs lourde du secteur. La marge opérationnelle de 1,93% et la marge brute de 9,35% confirment la faible rentabilité unitaire typique de la distribution pétrolière aval.</w:t>
      </w:r>
    </w:p>
    <w:p>
      <w:pPr>
        <w:spacing w:after="120" w:line="276" w:lineRule="auto"/>
      </w:pPr>
      <w:r>
        <w:t>**Analyse sectorielle (entreprise non bancaire)** : Les délais clients (23,27 jours) et fournisseurs (35,47 jours) sont maîtrisés, mais le BFR de 15,315 milliards FCFA et le fonds de roulement négatif (-49,850 Mds FCFA) révèlent une tension sur la trésorerie. La trésorerie nette est fortement négative (-65,264 Mds FCFA), et le ratio d'endettement de 43,95% (dettes totales/capitaux propres) est élevé. La liquidité générale (118,17%) reste satisfaisante, mais la liquidité immédiate (5,97%) est très faible, exposant l'entreprise à un risque de refinancement.</w:t>
      </w:r>
    </w:p>
    <w:p>
      <w:pPr>
        <w:spacing w:after="120" w:line="276" w:lineRule="auto"/>
      </w:pPr>
      <w:r>
        <w:t>**Estimations basées sur les rapports trimestriels** : Le rapport du **30 juin 2026** (publié en 2026) indique un chiffre d'affaires de 305,038 milliards FCFA au S1 2026, en baisse de -1% sur un an, avec un résultat net de 3,016 milliards FCFA (marge nette de 0,99%). Le résultat d'exploitation progresse de +17% à 6,133 milliards FCFA, soutenu par le butane, mais l'impôt sur le résultat bondit de +60%, pesant sur la rentabilité nette. Sur la base de ces tendances, on estime que l'exercice 2026 devrait afficher un chiffre d'affaires stable autour de 600 milliards FCFA, avec un résultat net légèrement supérieur à 6 milliards FCFA si la dynamique du butane se maintient.</w:t>
      </w:r>
    </w:p>
    <w:p>
      <w:pPr>
        <w:spacing w:after="120" w:line="276" w:lineRule="auto"/>
      </w:pPr>
      <w:r>
        <w:t>**Évolution temporelle** : Les rapports antérieurs (T3 2025, S1 2025, T1 2025) montrent une amélioration continue de la rentabilité opérationnelle et financière depuis 2024, avec un résultat net en hausse de +45% au T3 2025 et de +13% sur l'année 2025. Cependant, la dégradation de la trésorerie et la dépendance aux concours bancaires (trésorerie passive de 70,297 Mds FCFA en 2025) constituent des risques majeurs.</w:t>
      </w:r>
    </w:p>
    <w:p>
      <w:pPr>
        <w:spacing w:after="120" w:line="276" w:lineRule="auto"/>
      </w:pPr>
      <w:r>
        <w:t>**Recommandation fondamentale** : La société affiche une solidité opérationnelle et une rentabilité en amélioration, mais sa structure financière fragile (trésorerie nette négative, endettement élevé) et la volatilité des volumes (baisse de -9% au T1 2026) limitent les perspectives. Le dividende proposé de 6,09 milliards FCFA (soit ~1 933 FCFA/action) offre un rendement attractif, mais son taux de distribution de 101% du résultat net fragilise davantage la trésorerie. **Recommandation : CONSERVER**, en attendant une clarification sur la réduction de l'endettement et la reprise des volumes.</w:t>
      </w:r>
    </w:p>
    <w:p>
      <w:pPr>
        <w:spacing w:after="120" w:line="276" w:lineRule="auto"/>
      </w:pPr>
      <w:r>
        <w:t>---</w:t>
      </w:r>
    </w:p>
    <w:p>
      <w:pPr>
        <w:spacing w:after="120" w:line="276" w:lineRule="auto"/>
      </w:pPr>
      <w:r>
        <w:t>## PARTIE 4 : CONCLUSION D'INVESTISSEMENT</w:t>
      </w:r>
    </w:p>
    <w:p>
      <w:pPr>
        <w:spacing w:after="120" w:line="276" w:lineRule="auto"/>
      </w:pPr>
      <w:r>
        <w:t>La valorisation de SHEC apparaît **exigeante** : le PER de 24,0x et le P/B de 5,34x intègrent une prime de croissance qui contraste avec la faible marge nette (1%) et la modestie de la croissance du chiffre d'affaires (+0,71% en 2025). Le comportement du cours sur 100 jours est haussier (+18,25%) mais la correction récente (-2,54% en J-1) et la volatilité élevée (42,3%) signalent une prise de risque accrue, confirmée par le kurtosis leptokurtique (risque de pics) et le skewness positif (asymétrie haussière). Les signaux techniques sont **divergents** : le MACD est baissier, les Bandes de Bollinger et le RSI sont neutres, tandis que les Moyennes Mobiles et le Stochastique suggèrent un rebond. Les fondamentaux sont **mitigés** : rentabilité en amélioration (ROE de 22,20%, résultat net +12,6% en 2025) mais trésorerie nette négative (-65,264 Mds FCFA) et endettement élevé. Les prédictions IA (J+1 à J+10) anticipent une stabilisation autour de 2 318-2 322 FCFA, confirmant l'absence de catalyseur haussier immédiat. **Recommandation finale : CONSERVER**, avec un niveau de confiance **Moyen** et un risque global **Élevé**. L'horizon optimal est le **moyen terme (3-12 mois)**, en attendant la publication des comptes définitifs 2025 et des résultats du S2 2026 pour confirmer la tendance. Un renforcement pourrait être envisagé si le cours reconquiert la MM20 (2 575 FCFA) et si la trésorerie nette s'améliore. À l'inverse, une vente serait justifiée si le cours casse le support de 2 142 FCFA (borne inférieure de Bollinger) ou si les volumes poursuivent leur baisse.</w:t>
      </w:r>
    </w:p>
    <w:p>
      <w:pPr>
        <w:spacing w:after="120" w:line="276" w:lineRule="auto"/>
      </w:pPr>
      <w:r>
        <w:t>---</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10,987 titres</w:t>
            </w:r>
          </w:p>
        </w:tc>
        <w:tc>
          <w:tcPr>
            <w:tcW w:type="dxa" w:w="2268"/>
            <w:shd w:fill="FFF2CC" w:val="clear"/>
          </w:tcPr>
          <w:p>
            <w:r>
              <w:rPr>
                <w:b/>
                <w:color w:val="503200"/>
                <w:sz w:val="16"/>
              </w:rPr>
              <w:t xml:space="preserve">Cours actuel : </w:t>
            </w:r>
            <w:r>
              <w:rPr>
                <w:color w:val="000000"/>
                <w:sz w:val="17"/>
              </w:rPr>
              <w:t>9,160 FCFA</w:t>
            </w:r>
          </w:p>
          <w:p>
            <w:r>
              <w:rPr>
                <w:b/>
                <w:color w:val="503200"/>
                <w:sz w:val="16"/>
              </w:rPr>
              <w:t xml:space="preserve">Var. 100 jours : </w:t>
            </w:r>
            <w:r>
              <w:rPr>
                <w:b/>
                <w:color w:val="007800"/>
                <w:sz w:val="17"/>
              </w:rPr>
              <w:t>+29.11%</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7,095 FCFA</w:t>
            </w:r>
          </w:p>
          <w:p>
            <w:r>
              <w:rPr>
                <w:b/>
                <w:color w:val="503200"/>
                <w:sz w:val="16"/>
              </w:rPr>
              <w:t xml:space="preserve">Volatilité ann. : </w:t>
            </w:r>
            <w:r>
              <w:rPr>
                <w:color w:val="000000"/>
                <w:sz w:val="17"/>
              </w:rPr>
              <w:t>30.8%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5.96% (Moyenne) — μ=8,816 FCFA, σ=525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β=0.7912 (Défensif) — Cov=0.000053, Var(idx)=0.000068, ρ=0.335,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10,987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8,601</w:t>
            </w:r>
          </w:p>
        </w:tc>
        <w:tc>
          <w:tcPr>
            <w:tcW w:type="dxa" w:w="1440"/>
            <w:shd w:fill="FAFAFA" w:val="clear"/>
          </w:tcPr>
          <w:p>
            <w:r>
              <w:rPr>
                <w:b/>
                <w:sz w:val="17"/>
              </w:rPr>
              <w:t>8,986</w:t>
            </w:r>
          </w:p>
        </w:tc>
        <w:tc>
          <w:tcPr>
            <w:tcW w:type="dxa" w:w="1440"/>
            <w:shd w:fill="FAFAFA" w:val="clear"/>
          </w:tcPr>
          <w:p>
            <w:r>
              <w:rPr>
                <w:sz w:val="17"/>
              </w:rPr>
              <w:t>9,371</w:t>
            </w:r>
          </w:p>
        </w:tc>
        <w:tc>
          <w:tcPr>
            <w:tcW w:type="dxa" w:w="1440"/>
            <w:shd w:fill="FAFAFA" w:val="clear"/>
          </w:tcPr>
          <w:p>
            <w:r>
              <w:rPr>
                <w:b/>
                <w:color w:val="C00000"/>
                <w:sz w:val="17"/>
              </w:rPr>
              <w:t>-1.9%</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8,441</w:t>
            </w:r>
          </w:p>
        </w:tc>
        <w:tc>
          <w:tcPr>
            <w:tcW w:type="dxa" w:w="1440"/>
            <w:shd w:fill="FFDCE0" w:val="clear"/>
          </w:tcPr>
          <w:p>
            <w:r>
              <w:rPr>
                <w:b/>
                <w:sz w:val="17"/>
              </w:rPr>
              <w:t>8,909</w:t>
            </w:r>
          </w:p>
        </w:tc>
        <w:tc>
          <w:tcPr>
            <w:tcW w:type="dxa" w:w="1440"/>
            <w:shd w:fill="FFDCE0" w:val="clear"/>
          </w:tcPr>
          <w:p>
            <w:r>
              <w:rPr>
                <w:sz w:val="17"/>
              </w:rPr>
              <w:t>9,376</w:t>
            </w:r>
          </w:p>
        </w:tc>
        <w:tc>
          <w:tcPr>
            <w:tcW w:type="dxa" w:w="1440"/>
            <w:shd w:fill="FFDCE0" w:val="clear"/>
          </w:tcPr>
          <w:p>
            <w:r>
              <w:rPr>
                <w:b/>
                <w:color w:val="C00000"/>
                <w:sz w:val="17"/>
              </w:rPr>
              <w:t>-2.7%</w:t>
            </w:r>
          </w:p>
        </w:tc>
      </w:tr>
      <w:tr>
        <w:tc>
          <w:tcPr>
            <w:tcW w:type="dxa" w:w="1440"/>
            <w:shd w:fill="FFDCE0" w:val="clear"/>
          </w:tcPr>
          <w:p>
            <w:r>
              <w:rPr>
                <w:sz w:val="17"/>
              </w:rPr>
              <w:t>J+3  Moyenne</w:t>
            </w:r>
          </w:p>
        </w:tc>
        <w:tc>
          <w:tcPr>
            <w:tcW w:type="dxa" w:w="1440"/>
            <w:shd w:fill="FFDCE0" w:val="clear"/>
          </w:tcPr>
          <w:p>
            <w:r>
              <w:rPr>
                <w:sz w:val="17"/>
              </w:rPr>
              <w:t>2026-10-07</w:t>
            </w:r>
          </w:p>
        </w:tc>
        <w:tc>
          <w:tcPr>
            <w:tcW w:type="dxa" w:w="1440"/>
            <w:shd w:fill="FFDCE0" w:val="clear"/>
          </w:tcPr>
          <w:p>
            <w:r>
              <w:rPr>
                <w:sz w:val="17"/>
              </w:rPr>
              <w:t>8,305</w:t>
            </w:r>
          </w:p>
        </w:tc>
        <w:tc>
          <w:tcPr>
            <w:tcW w:type="dxa" w:w="1440"/>
            <w:shd w:fill="FFDCE0" w:val="clear"/>
          </w:tcPr>
          <w:p>
            <w:r>
              <w:rPr>
                <w:b/>
                <w:sz w:val="17"/>
              </w:rPr>
              <w:t>8,840</w:t>
            </w:r>
          </w:p>
        </w:tc>
        <w:tc>
          <w:tcPr>
            <w:tcW w:type="dxa" w:w="1440"/>
            <w:shd w:fill="FFDCE0" w:val="clear"/>
          </w:tcPr>
          <w:p>
            <w:r>
              <w:rPr>
                <w:sz w:val="17"/>
              </w:rPr>
              <w:t>9,375</w:t>
            </w:r>
          </w:p>
        </w:tc>
        <w:tc>
          <w:tcPr>
            <w:tcW w:type="dxa" w:w="1440"/>
            <w:shd w:fill="FFDCE0" w:val="clear"/>
          </w:tcPr>
          <w:p>
            <w:r>
              <w:rPr>
                <w:b/>
                <w:color w:val="C00000"/>
                <w:sz w:val="17"/>
              </w:rPr>
              <w:t>-3.5%</w:t>
            </w:r>
          </w:p>
        </w:tc>
      </w:tr>
      <w:tr>
        <w:tc>
          <w:tcPr>
            <w:tcW w:type="dxa" w:w="1440"/>
            <w:shd w:fill="FFDCE0" w:val="clear"/>
          </w:tcPr>
          <w:p>
            <w:r>
              <w:rPr>
                <w:sz w:val="17"/>
              </w:rPr>
              <w:t>J+4  Moyenne</w:t>
            </w:r>
          </w:p>
        </w:tc>
        <w:tc>
          <w:tcPr>
            <w:tcW w:type="dxa" w:w="1440"/>
            <w:shd w:fill="FFDCE0" w:val="clear"/>
          </w:tcPr>
          <w:p>
            <w:r>
              <w:rPr>
                <w:sz w:val="17"/>
              </w:rPr>
              <w:t>2026-10-08</w:t>
            </w:r>
          </w:p>
        </w:tc>
        <w:tc>
          <w:tcPr>
            <w:tcW w:type="dxa" w:w="1440"/>
            <w:shd w:fill="FFDCE0" w:val="clear"/>
          </w:tcPr>
          <w:p>
            <w:r>
              <w:rPr>
                <w:sz w:val="17"/>
              </w:rPr>
              <w:t>8,185</w:t>
            </w:r>
          </w:p>
        </w:tc>
        <w:tc>
          <w:tcPr>
            <w:tcW w:type="dxa" w:w="1440"/>
            <w:shd w:fill="FFDCE0" w:val="clear"/>
          </w:tcPr>
          <w:p>
            <w:r>
              <w:rPr>
                <w:b/>
                <w:sz w:val="17"/>
              </w:rPr>
              <w:t>8,779</w:t>
            </w:r>
          </w:p>
        </w:tc>
        <w:tc>
          <w:tcPr>
            <w:tcW w:type="dxa" w:w="1440"/>
            <w:shd w:fill="FFDCE0" w:val="clear"/>
          </w:tcPr>
          <w:p>
            <w:r>
              <w:rPr>
                <w:sz w:val="17"/>
              </w:rPr>
              <w:t>9,374</w:t>
            </w:r>
          </w:p>
        </w:tc>
        <w:tc>
          <w:tcPr>
            <w:tcW w:type="dxa" w:w="1440"/>
            <w:shd w:fill="FFDCE0" w:val="clear"/>
          </w:tcPr>
          <w:p>
            <w:r>
              <w:rPr>
                <w:b/>
                <w:color w:val="C00000"/>
                <w:sz w:val="17"/>
              </w:rPr>
              <w:t>-4.2%</w:t>
            </w:r>
          </w:p>
        </w:tc>
      </w:tr>
      <w:tr>
        <w:tc>
          <w:tcPr>
            <w:tcW w:type="dxa" w:w="1440"/>
            <w:shd w:fill="FFDCE0" w:val="clear"/>
          </w:tcPr>
          <w:p>
            <w:r>
              <w:rPr>
                <w:sz w:val="17"/>
              </w:rPr>
              <w:t>J+5  Moyenne</w:t>
            </w:r>
          </w:p>
        </w:tc>
        <w:tc>
          <w:tcPr>
            <w:tcW w:type="dxa" w:w="1440"/>
            <w:shd w:fill="FFDCE0" w:val="clear"/>
          </w:tcPr>
          <w:p>
            <w:r>
              <w:rPr>
                <w:sz w:val="17"/>
              </w:rPr>
              <w:t>2026-10-09</w:t>
            </w:r>
          </w:p>
        </w:tc>
        <w:tc>
          <w:tcPr>
            <w:tcW w:type="dxa" w:w="1440"/>
            <w:shd w:fill="FFDCE0" w:val="clear"/>
          </w:tcPr>
          <w:p>
            <w:r>
              <w:rPr>
                <w:sz w:val="17"/>
              </w:rPr>
              <w:t>8,077</w:t>
            </w:r>
          </w:p>
        </w:tc>
        <w:tc>
          <w:tcPr>
            <w:tcW w:type="dxa" w:w="1440"/>
            <w:shd w:fill="FFDCE0" w:val="clear"/>
          </w:tcPr>
          <w:p>
            <w:r>
              <w:rPr>
                <w:b/>
                <w:sz w:val="17"/>
              </w:rPr>
              <w:t>8,724</w:t>
            </w:r>
          </w:p>
        </w:tc>
        <w:tc>
          <w:tcPr>
            <w:tcW w:type="dxa" w:w="1440"/>
            <w:shd w:fill="FFDCE0" w:val="clear"/>
          </w:tcPr>
          <w:p>
            <w:r>
              <w:rPr>
                <w:sz w:val="17"/>
              </w:rPr>
              <w:t>9,371</w:t>
            </w:r>
          </w:p>
        </w:tc>
        <w:tc>
          <w:tcPr>
            <w:tcW w:type="dxa" w:w="1440"/>
            <w:shd w:fill="FFDCE0" w:val="clear"/>
          </w:tcPr>
          <w:p>
            <w:r>
              <w:rPr>
                <w:b/>
                <w:color w:val="C00000"/>
                <w:sz w:val="17"/>
              </w:rPr>
              <w:t>-4.8%</w:t>
            </w:r>
          </w:p>
        </w:tc>
      </w:tr>
      <w:tr>
        <w:tc>
          <w:tcPr>
            <w:tcW w:type="dxa" w:w="1440"/>
            <w:shd w:fill="FFDCE0" w:val="clear"/>
          </w:tcPr>
          <w:p>
            <w:r>
              <w:rPr>
                <w:sz w:val="17"/>
              </w:rPr>
              <w:t>J+6  Moyenne</w:t>
            </w:r>
          </w:p>
        </w:tc>
        <w:tc>
          <w:tcPr>
            <w:tcW w:type="dxa" w:w="1440"/>
            <w:shd w:fill="FFDCE0" w:val="clear"/>
          </w:tcPr>
          <w:p>
            <w:r>
              <w:rPr>
                <w:sz w:val="17"/>
              </w:rPr>
              <w:t>2026-10-12</w:t>
            </w:r>
          </w:p>
        </w:tc>
        <w:tc>
          <w:tcPr>
            <w:tcW w:type="dxa" w:w="1440"/>
            <w:shd w:fill="FFDCE0" w:val="clear"/>
          </w:tcPr>
          <w:p>
            <w:r>
              <w:rPr>
                <w:sz w:val="17"/>
              </w:rPr>
              <w:t>7,979</w:t>
            </w:r>
          </w:p>
        </w:tc>
        <w:tc>
          <w:tcPr>
            <w:tcW w:type="dxa" w:w="1440"/>
            <w:shd w:fill="FFDCE0" w:val="clear"/>
          </w:tcPr>
          <w:p>
            <w:r>
              <w:rPr>
                <w:b/>
                <w:sz w:val="17"/>
              </w:rPr>
              <w:t>8,674</w:t>
            </w:r>
          </w:p>
        </w:tc>
        <w:tc>
          <w:tcPr>
            <w:tcW w:type="dxa" w:w="1440"/>
            <w:shd w:fill="FFDCE0" w:val="clear"/>
          </w:tcPr>
          <w:p>
            <w:r>
              <w:rPr>
                <w:sz w:val="17"/>
              </w:rPr>
              <w:t>9,369</w:t>
            </w:r>
          </w:p>
        </w:tc>
        <w:tc>
          <w:tcPr>
            <w:tcW w:type="dxa" w:w="1440"/>
            <w:shd w:fill="FFDCE0" w:val="clear"/>
          </w:tcPr>
          <w:p>
            <w:r>
              <w:rPr>
                <w:b/>
                <w:color w:val="C00000"/>
                <w:sz w:val="17"/>
              </w:rPr>
              <w:t>-5.3%</w:t>
            </w:r>
          </w:p>
        </w:tc>
      </w:tr>
      <w:tr>
        <w:tc>
          <w:tcPr>
            <w:tcW w:type="dxa" w:w="1440"/>
            <w:shd w:fill="FFDCE0" w:val="clear"/>
          </w:tcPr>
          <w:p>
            <w:r>
              <w:rPr>
                <w:sz w:val="17"/>
              </w:rPr>
              <w:t>J+7  Moyenne</w:t>
            </w:r>
          </w:p>
        </w:tc>
        <w:tc>
          <w:tcPr>
            <w:tcW w:type="dxa" w:w="1440"/>
            <w:shd w:fill="FFDCE0" w:val="clear"/>
          </w:tcPr>
          <w:p>
            <w:r>
              <w:rPr>
                <w:sz w:val="17"/>
              </w:rPr>
              <w:t>2026-10-13</w:t>
            </w:r>
          </w:p>
        </w:tc>
        <w:tc>
          <w:tcPr>
            <w:tcW w:type="dxa" w:w="1440"/>
            <w:shd w:fill="FFDCE0" w:val="clear"/>
          </w:tcPr>
          <w:p>
            <w:r>
              <w:rPr>
                <w:sz w:val="17"/>
              </w:rPr>
              <w:t>7,888</w:t>
            </w:r>
          </w:p>
        </w:tc>
        <w:tc>
          <w:tcPr>
            <w:tcW w:type="dxa" w:w="1440"/>
            <w:shd w:fill="FFDCE0" w:val="clear"/>
          </w:tcPr>
          <w:p>
            <w:r>
              <w:rPr>
                <w:b/>
                <w:sz w:val="17"/>
              </w:rPr>
              <w:t>8,627</w:t>
            </w:r>
          </w:p>
        </w:tc>
        <w:tc>
          <w:tcPr>
            <w:tcW w:type="dxa" w:w="1440"/>
            <w:shd w:fill="FFDCE0" w:val="clear"/>
          </w:tcPr>
          <w:p>
            <w:r>
              <w:rPr>
                <w:sz w:val="17"/>
              </w:rPr>
              <w:t>9,366</w:t>
            </w:r>
          </w:p>
        </w:tc>
        <w:tc>
          <w:tcPr>
            <w:tcW w:type="dxa" w:w="1440"/>
            <w:shd w:fill="FFDCE0" w:val="clear"/>
          </w:tcPr>
          <w:p>
            <w:r>
              <w:rPr>
                <w:b/>
                <w:color w:val="C00000"/>
                <w:sz w:val="17"/>
              </w:rPr>
              <w:t>-5.8%</w:t>
            </w:r>
          </w:p>
        </w:tc>
      </w:tr>
      <w:tr>
        <w:tc>
          <w:tcPr>
            <w:tcW w:type="dxa" w:w="1440"/>
            <w:shd w:fill="FFDCE0" w:val="clear"/>
          </w:tcPr>
          <w:p>
            <w:r>
              <w:rPr>
                <w:sz w:val="17"/>
              </w:rPr>
              <w:t>J+8  Moyenne</w:t>
            </w:r>
          </w:p>
        </w:tc>
        <w:tc>
          <w:tcPr>
            <w:tcW w:type="dxa" w:w="1440"/>
            <w:shd w:fill="FFDCE0" w:val="clear"/>
          </w:tcPr>
          <w:p>
            <w:r>
              <w:rPr>
                <w:sz w:val="17"/>
              </w:rPr>
              <w:t>2026-10-14</w:t>
            </w:r>
          </w:p>
        </w:tc>
        <w:tc>
          <w:tcPr>
            <w:tcW w:type="dxa" w:w="1440"/>
            <w:shd w:fill="FFDCE0" w:val="clear"/>
          </w:tcPr>
          <w:p>
            <w:r>
              <w:rPr>
                <w:sz w:val="17"/>
              </w:rPr>
              <w:t>7,804</w:t>
            </w:r>
          </w:p>
        </w:tc>
        <w:tc>
          <w:tcPr>
            <w:tcW w:type="dxa" w:w="1440"/>
            <w:shd w:fill="FFDCE0" w:val="clear"/>
          </w:tcPr>
          <w:p>
            <w:r>
              <w:rPr>
                <w:b/>
                <w:sz w:val="17"/>
              </w:rPr>
              <w:t>8,584</w:t>
            </w:r>
          </w:p>
        </w:tc>
        <w:tc>
          <w:tcPr>
            <w:tcW w:type="dxa" w:w="1440"/>
            <w:shd w:fill="FFDCE0" w:val="clear"/>
          </w:tcPr>
          <w:p>
            <w:r>
              <w:rPr>
                <w:sz w:val="17"/>
              </w:rPr>
              <w:t>9,364</w:t>
            </w:r>
          </w:p>
        </w:tc>
        <w:tc>
          <w:tcPr>
            <w:tcW w:type="dxa" w:w="1440"/>
            <w:shd w:fill="FFDCE0" w:val="clear"/>
          </w:tcPr>
          <w:p>
            <w:r>
              <w:rPr>
                <w:b/>
                <w:color w:val="C00000"/>
                <w:sz w:val="17"/>
              </w:rPr>
              <w:t>-6.3%</w:t>
            </w:r>
          </w:p>
        </w:tc>
      </w:tr>
      <w:tr>
        <w:tc>
          <w:tcPr>
            <w:tcW w:type="dxa" w:w="1440"/>
            <w:shd w:fill="FFDCE0" w:val="clear"/>
          </w:tcPr>
          <w:p>
            <w:r>
              <w:rPr>
                <w:sz w:val="17"/>
              </w:rPr>
              <w:t>J+9  Moyenne</w:t>
            </w:r>
          </w:p>
        </w:tc>
        <w:tc>
          <w:tcPr>
            <w:tcW w:type="dxa" w:w="1440"/>
            <w:shd w:fill="FFDCE0" w:val="clear"/>
          </w:tcPr>
          <w:p>
            <w:r>
              <w:rPr>
                <w:sz w:val="17"/>
              </w:rPr>
              <w:t>2026-10-15</w:t>
            </w:r>
          </w:p>
        </w:tc>
        <w:tc>
          <w:tcPr>
            <w:tcW w:type="dxa" w:w="1440"/>
            <w:shd w:fill="FFDCE0" w:val="clear"/>
          </w:tcPr>
          <w:p>
            <w:r>
              <w:rPr>
                <w:sz w:val="17"/>
              </w:rPr>
              <w:t>7,726</w:t>
            </w:r>
          </w:p>
        </w:tc>
        <w:tc>
          <w:tcPr>
            <w:tcW w:type="dxa" w:w="1440"/>
            <w:shd w:fill="FFDCE0" w:val="clear"/>
          </w:tcPr>
          <w:p>
            <w:r>
              <w:rPr>
                <w:b/>
                <w:sz w:val="17"/>
              </w:rPr>
              <w:t>8,544</w:t>
            </w:r>
          </w:p>
        </w:tc>
        <w:tc>
          <w:tcPr>
            <w:tcW w:type="dxa" w:w="1440"/>
            <w:shd w:fill="FFDCE0" w:val="clear"/>
          </w:tcPr>
          <w:p>
            <w:r>
              <w:rPr>
                <w:sz w:val="17"/>
              </w:rPr>
              <w:t>9,362</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RAPPORT D'ANALYSE FINANCIÈRE — SIBC (Société Ivoirienne de Banque)</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**916,00 milliards FCFA**, la SIBC figure parmi les valeurs les plus importantes de la cote BRVM, ce qui témoigne de son statut de banque systémique de la place ivoirienne. Le BPA de **556 FCFA/action** signifie que chaque titre génère un bénéfice net de 556 FCFA, ce qui, rapporté au cours actuel de 9 160 FCFA, donne un **PER de 16,5x** — nettement supérieur à la moyenne BRVM (~8-12x), signalant que le marché consent une prime de qualité pour cette valeur bancaire. Le **P/B de 4,47x** confirme cette valorisation exigeante : les investisseurs paient plus de quatre fois la valeur comptable des fonds propres, ce qui traduit une forte anticipation de rentabilité future (cohérente avec le ROE de 27,16%). Enfin, l'**EV/EBITDA de 15,3x** traduit une valorisation tendue par rapport à la capacité opérationnelle, ce qui laisse peu de marge d'erreur en cas de dégradation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affiche une **progression remarquable de +29,11%**, avec un cours actuel de **9 160 FCFA** et une variation nulle sur la dernière séance (J-1 : +0,00%), signe d'une pause dans le mouvement haussier. Le range de trading s'étend de **7 095 FCFA (plus bas)** à **9 500 FCFA (plus haut)**, soit une amplitude de plus de 34%, confirmant une tendance nettement haussière portée par la bonne dynamique fondamentale de la banque. Les statistiques descriptives révèlent une **moyenne de 8 816 FCFA** légèrement inférieure à la **médiane de 8 962 FCFA**, avec un mode à 9 000 FCFA — configuration qui, combinée au **skewness négatif de -1,791**, indique une distribution asymétrique où le cours a passé davantage de séances au-dessus de la moyenne, mais avec quelques journées de forte baisse créant une queue gauche prononcée. L'**écart-type de 528 FCFA (CV = 6,0%)** traduit une dispersion modérée du cours autour de sa tendance, tandis que le **kurtosis de 2,560 (leptokurtique)** signale des queues épaisses, donc un risque de pics de volatilité brutaux. La **volatilité annualisée de 30,8%** positionne le titre dans la catégorie des valeurs à volatilité élevée (&gt;30%), ce qui est cohérent avec le profil d'une action bancaire en forte tendance haussière mais exposée à des corrections ponctuelles.</w:t>
      </w:r>
    </w:p>
    <w:p>
      <w:pPr>
        <w:spacing w:after="120" w:line="276" w:lineRule="auto"/>
      </w:pPr>
      <w:r>
        <w:t>---</w:t>
      </w:r>
    </w:p>
    <w:p>
      <w:pPr>
        <w:spacing w:after="120" w:line="276" w:lineRule="auto"/>
      </w:pPr>
      <w:r>
        <w:t>## PARTIE 2 : ANALYSE TECHNIQUE DÉTAILLÉE</w:t>
      </w:r>
    </w:p>
    <w:p>
      <w:pPr>
        <w:spacing w:after="120" w:line="276" w:lineRule="auto"/>
      </w:pPr>
      <w:r>
        <w:t>**Moyennes Mobiles** : La MM20 (9 127,25 FCFA) et la MM50 (9 117,50 FCFA) sont toutes deux légèrement inférieures au cours actuel (9 160 FCFA), et la MM20 se situe au-dessus de la MM50 — configuration haussière classique (golden cross). Le signal technique est donc **Achat**, confirmant que la tendance de fond reste positive malgré la pause actuelle.</w:t>
      </w:r>
    </w:p>
    <w:p>
      <w:pPr>
        <w:spacing w:after="120" w:line="276" w:lineRule="auto"/>
      </w:pPr>
      <w:r>
        <w:t>**Bandes de Bollinger** : Le cours (9 160 FCFA) évolue dans la partie médiane de la bande, entre la borne inférieure (8 773,12 FCFA) et la borne supérieure (9 481,38 FCFA). Cette position centrale, couplée à un resserrement relatif des bandes, indique une phase de consolidation sans excès directionnel — d'où le signal **Neutre**, qui suggère d'attendre une cassure pour se positionner.</w:t>
      </w:r>
    </w:p>
    <w:p>
      <w:pPr>
        <w:spacing w:after="120" w:line="276" w:lineRule="auto"/>
      </w:pPr>
      <w:r>
        <w:t>**MACD** : La valeur du MACD (-19,277) est supérieure à son signal (-21,528), formant un croisement haussier (MACD au-dessus du signal) bien que les deux restent en territoire négatif. Ce momentum positif naissant justifie le signal **Achat**, mais la faiblesse des valeurs absolues invite à la prudence quant à la vigueur du mouvement.</w:t>
      </w:r>
    </w:p>
    <w:p>
      <w:pPr>
        <w:spacing w:after="120" w:line="276" w:lineRule="auto"/>
      </w:pPr>
      <w:r>
        <w:t>**RSI** : À **45,652**, le RSI se situe en zone neutre (30-70), sans pression de surachat ni de survente. Cette configuration laisse de la marge pour une reprise haussière sans risque immédiat de correction technique — signal **Neutre** cohérent avec la phase de consolidation actuelle.</w:t>
      </w:r>
    </w:p>
    <w:p>
      <w:pPr>
        <w:spacing w:after="120" w:line="276" w:lineRule="auto"/>
      </w:pPr>
      <w:r>
        <w:t>**Stochastique** : Le %K (82,278) et le %D (81,857) sont tous deux en zone de surachat (&gt;80) et très proches l'un de l'autre, sans croisement baissier confirmé à ce stade. Le signal **Vente** reflète le risque de retournement à court terme après la forte hausse récente, mais l'absence de divergence baissière limite la portée de ce signal.</w:t>
      </w:r>
    </w:p>
    <w:p>
      <w:pPr>
        <w:spacing w:after="120" w:line="276" w:lineRule="auto"/>
      </w:pPr>
      <w:r>
        <w:t>**Conclusion technique** : Les indicateurs sont majoritairement neutres à haussiers (MM et MACD en Achat, Bollinger et RSI neutres), avec seul le Stochastique en zone de surachat émettant un signal de vente. Cette configuration suggère une **phase de consolidation** après la forte progression de +29%, avec un biais haussier tant que le cours se maintient au-dessus des moyennes mobiles (9 117-9 127 FCFA). Une cassure au-dessus de 9 481 FCFA (borne supérieure de Bollinger) confirmerait la reprise, tandis qu'une rupture sous 8 773 FCFA invaliderait le scénario haussier.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SIBC affiche un **PNB de 108,663 milliards FCFA**, un **résultat net de 55,623 milliards FCFA** et des **capitaux propres de 204,765 milliards FCFA**, générant un **ROE exceptionnel de 27,16%** (largement supérieur au seuil de 15% considéré comme excellent) et un **ROA de 2,96%**. Le **coefficient d'exploitation de 38,59%** est remarquablement bas (&lt; 50% = excellence opérationnelle), confirmant l'efficacité de la banque dans la maîtrise de ses charges. La structure financière montre une **autonomie financière de 10,88%** (faible en apparence, mais normale pour une banque dont le modèle repose sur les dépôts) et une **solvabilité générale de 112,21%** (&gt;1 = solvable). Le **ratio dépôts/crédits** s'établit à 1 503,441 Mds FCFA de dépôts clientèle pour 1 226,720 Mds FCFA de créances clientèle, soit un **taux de transformation de 81,6%**, indiquant une utilisation prudente des ressources collectées. Le **coût du risque** (provisions de 14,124 Mds FCFA rapportées aux charges financières) reste contenu, témoignant d'un portefeuille de crédits globalement sain.</w:t>
      </w:r>
    </w:p>
    <w:p>
      <w:pPr>
        <w:spacing w:after="120" w:line="276" w:lineRule="auto"/>
      </w:pPr>
      <w:r>
        <w:t>**Estimations basées sur les rapports trimestriels** : Le rapport du **T1 2026 (publié le 07/05/2026)** indique un PNB de 27,7 Mds FCFA (+4%) et un résultat net de 15,2 Mds FCFA (+11%), tandis que le **rapport S1 2026 (publié le 29/09/2026)** confirme un PNB de 56,592 Mds FCFA (+4,2%) et un résultat net de 32,140 Mds FCFA (+9,3%), avec un coût du risque en chute de -75,3% (287 M FCFA). Sur cette base, on peut **estimer** que l'exercice 2026 devrait afficher un PNB annuel d'environ **115-118 Mds FCFA** (+6-8%) et un résultat net de l'ordre de **62-65 Mds FCFA** (+11-17%), prolongeant la dynamique de croissance rentable. Le rapport du **T3 2025 (30/09/2025)** montrait déjà un PNB cumulé de 81,4 Mds FCFA (+8%) et un résultat net de 43,0 Mds FCFA (+11%), confirmant la régularité de la performance. Le **rapport annuel 2024** faisait état d'un PNB de 102,8 Mds FCFA (+8%), d'un résultat net de 50,2 Mds FCFA (+15%) et d'un ROE de 30,56%, avec un dividende proposé de 375 FCFA/action (rendement ~10,55% sur la base du cours de fin 2024). La **recommandation fondamentale** est donc **solide** : la SIBC combine croissance régulière, rentabilité exceptionnelle (ROE &gt;27%), efficacité opérationnelle (coefficient &lt;40%) et solidité financière (solvabilité &gt;112%), avec un risque principal lié à la concurrence bancaire et à la dépendance à l'économie ivoirienne.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avec un PER de 16,5x (vs moyenne BRVM 8-12x), un P/B de 4,47x et un EV/EBITDA de 15,3x, ce qui intègre déjà une large part des bonnes performances — le titre n'est donc pas sous-évalué. Le **comportement du cours** (Partie 1) est nettement haussier (+29,11% sur 100 jours) mais montre des signes de fatigue avec un skewness négatif (-1,791) et un kurtosis élevé (2,560) signalant un risque de pics baissiers, tandis que la volatilité annualisée de 30,8% classe le titre en catégorie risquée. Les **signaux techniques** (Partie 2) sont mitigés : MM et MACD en Achat, mais Bollinger et RSI neutres, et Stochastique en zone de surachat — configuration de consolidation avec biais haussier tant que 9 117 FCFA est préservé. Les **fondamentaux** (Partie 3) restent excellents : ROE de 27,16%, coefficient d'exploitation de 38,59%, croissance du résultat net estimée à +11-17% pour 2026, et dividende attractif (~4-5% de rendement au cours actuel). Les **prédictions IA** (J+1 à J+10) anticipent une **correction baissière** de 9 160 FCFA vers 8 724 FCFA (-4,8%), ce qui contredit le biais haussier des moyennes mobiles mais s'aligne avec le signal de vente du Stochastique et la valorisation tendue. **Synthèse** : la convergence entre valorisation exigeante, signaux techniques de surachat à court terme et prédictions baissières suggère une **prise de bénéfices imminente**, mais les fondamentaux solides et la croissance régulière plaident pour une **conservation** du titre dans une optique de moyen-long terme. **Recommandation finale : CONSERVER** (avec opportunité d'achat sur repli vers 8 700-8 800 FCFA). **Niveau de confiance : Moyen** (fondamentaux solides mais valorisation tendue et signaux techniques divergents). **Niveau de risque global : Moyen à Élevé** (volatilité 30,8%, kurtosis leptokurtique, dépendance macroéconomique). **Horizon d'investissement optimal : Moyen terme (3-12 mois)** pour bénéficier de la croissance des résultats et du dividende, en évitant le court terme exposé à la correction prédite.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β=-1.1102 (Contre-cyclique) — Cov=-0.000041, Var(idx)=0.000037, ρ=-0.180, n=87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**RAPPORT D'ANALYSE FINANCIÈRE — ACTION SICC (SICOR CI)**</w:t>
        <w:br/>
        <w:t>**Bourse Régionale des Valeurs Mobilières (BRVM) — Secteur Agro-industriel**</w:t>
        <w:br/>
        <w:t>**Date d'analyse : Mai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SICC s'établit à 5,04 milliards FCFA, un niveau modeste à l'échelle de la BRVM qui la classe parmi les petites capitalisations du compartiment agro-industriel. Les ratios de valorisation classiques (BPA, PER, P/B, EV/EBITDA) ne sont pas calculables en l'état, faute de données financières structurées exploitables dans la base (les états financiers annuels récents n'ont pas été intégrés sous forme de ratios normalisés). Cette absence empêche toute comparaison directe avec le PER moyen de la BRVM (8-12x) et ne permet pas de statuer objectivement sur une sous- ou surévaluation relative. L'investisseur devra donc s'appuyer sur l'analyse fondamentale narrative (Partie 3) et sur les signaux techniques pour évaluer le titre, en gardant à l'esprit que l'opacité des ratios constitue en soi un facteur de risque à intégrer dans la décision.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SICC affiche une performance spectaculaire de +95,35%, bien que la dernière séance (J-1) marque une légère correction de -1,12%, signe d'une prise de profit après un rallye exceptionnel. Le cours actuel de 8 400 FCFA se situe dans la partie haute du range de trading, le plus haut ayant atteint 10 200 FCFA contre un plus bas de 3 985 FCFA — soit un amplitude de plus de 155% entre les extrêmes, illustrant une tendance nettement haussière portée par un momentum acheteur puissant. Les statistiques descriptives révèlent une distribution asymétrique : la moyenne (5 815 FCFA) est supérieure à la médiane (5 022 FCFA), et le mode (4 380 FCFA) est bien inférieur aux deux, confirmant que le titre a passé la majorité de la période à des niveaux bas avant une accélération récente vers le haut. L'écart-type de 1 813 FCFA et le coefficient de variation de 31,2% traduisent une dispersion élevée du cours, cohérente avec un titre volatil. Le kurtosis de -0,630 (mésokurtique) indique une distribution proche de la normale, sans pics extrêmes fréquents, tandis que le skewness positif de +0,913 signale une asymétrie à droite — davantage de journées sous la moyenne, mais des gains extrêmes tirant le cours vers le haut. La volatilité annualisée de 58,2% classe clairement SICC dans la catégorie des titres à volatilité élevée (&gt;30%), ce qui implique un risque de marché significatif et justifie une approche prudente en termes de taille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(8 472,25 FCFA) et la MM50 (7 205,0 FCFA) se situent toutes deux sous le cours actuel (8 400 FCFA), avec la MM20 légèrement au-dessus du prix — configuration haussière classique où les moyennes courtes soutiennent la tendance. La MM50, bien en-dessous, confirme la dynamique positive de fond. La décision technique est à l'**Achat**, portée par le croisement haussier et l'alignement des moyennes.</w:t>
      </w:r>
    </w:p>
    <w:p>
      <w:pPr>
        <w:spacing w:after="120" w:line="276" w:lineRule="auto"/>
      </w:pPr>
      <w:r>
        <w:t>**Bandes de Bollinger** : Le cours (8 400 FCFA) évolue à l'intérieur des bandes, entre la borne inférieure (7 354,78 FCFA) et la borne supérieure (9 589,72 FCFA), sans les toucher. Cette position médiane, couplée à un écart-type élevé, traduit une volatilité importante mais sans signal de surachat ou de survente imminent. La décision est **Neutre**, le marché étant en phase de consolidation après le rallye.</w:t>
      </w:r>
    </w:p>
    <w:p>
      <w:pPr>
        <w:spacing w:after="120" w:line="276" w:lineRule="auto"/>
      </w:pPr>
      <w:r>
        <w:t>**MACD** : La valeur du MACD (275,32) est inférieure à son signal (368,15), générant une divergence baissière qui indique un essoufflement du momentum haussier. Bien que la tendance de fond reste positive, ce croisement à la baisse suggère une prudence à court terme. La décision est à la **Vente** technique.</w:t>
      </w:r>
    </w:p>
    <w:p>
      <w:pPr>
        <w:spacing w:after="120" w:line="276" w:lineRule="auto"/>
      </w:pPr>
      <w:r>
        <w:t>**RSI** : À 61,16, le RSI se situe en zone neutre haute, sans atteindre le seuil de surachat (70). Cela indique que le titre conserve un potentiel de hausse mais approche de niveaux où la pression acheteuse pourrait s'essouffler. La décision est **Neutre**, avec une vigilance accrue.</w:t>
      </w:r>
    </w:p>
    <w:p>
      <w:pPr>
        <w:spacing w:after="120" w:line="276" w:lineRule="auto"/>
      </w:pPr>
      <w:r>
        <w:t>**Stochastique** : Le %K (85,71) et le %D (94,76) sont tous deux en zone de surachat (&gt;80), avec un %D supérieur au %K — configuration baissière signalant un retournement imminent. La décision est à la **Vente**, confirmant la pression vendeuse à court terme.</w:t>
      </w:r>
    </w:p>
    <w:p>
      <w:pPr>
        <w:spacing w:after="120" w:line="276" w:lineRule="auto"/>
      </w:pPr>
      <w:r>
        <w:t>**Conclusion technique** : Les indicateurs sont divergents — les moyennes mobiles et la tendance de fond restent haussières, mais le MACD, le stochastique et la position du RSI en zone haute suggèrent un essoufflement à court terme. Le titre se trouve dans une phase de consolidation après un rallye exceptionnel, avec un risque de correction technique. La prudence est de mise pour les acheteurs à court terme, tandis que les investisseurs de moyen terme peuvent surveiller un point d'entrée sur repli vers la MM20 (8 472 FCFA) ou la borne inférieure des Bollinger (7 355 FCFA).</w:t>
      </w:r>
    </w:p>
    <w:p>
      <w:pPr>
        <w:spacing w:after="120" w:line="276" w:lineRule="auto"/>
      </w:pPr>
      <w:r>
        <w:t>---</w:t>
      </w:r>
    </w:p>
    <w:p>
      <w:pPr>
        <w:spacing w:after="120" w:line="276" w:lineRule="auto"/>
      </w:pPr>
      <w:r>
        <w:t>### **PARTIE 3 : ANALYSE FONDAMENTALE (SECTION CRITIQUE)**</w:t>
      </w:r>
    </w:p>
    <w:p>
      <w:pPr>
        <w:spacing w:after="120" w:line="276" w:lineRule="auto"/>
      </w:pPr>
      <w:r>
        <w:t>L'analyse fondamentale de SICC (Société Ivoirienne de Coco Râpé) s'appuie sur les rapports financiers officiels disponibles, couvrant les exercices 2015 à 2023, avec un rapport récent daté du 31 décembre 2024 (analysé par GEMINI-VISION le 6 septembre 2026) dont le contenu détaillé n'est que partiellement exploitable. Les données structurées montrent une évolution contrastée : après un chiffre d'affaires de 1 936,64 millions FCFA en 2016 (en hausse de 10,4% vs 2015) et un résultat net positif de 53,31 millions FCFA (marge nette de 3,39%), la société a connu une dégradation en 2016 avec une perte nette de -348,99 millions FCFA et des capitaux propres négatifs de -2 324,84 millions FCFA, avant de se redresser progressivement. En 2022, le CA chute à 1 138,17 millions FCFA (-17,58%) et le résultat net devient négatif (-39,95 millions FCFA, marge nette de -3,51%), suivi d'une nouvelle contraction du CA en 2023 à 701,09 millions FCFA (-38,4%) mais avec un retour à la profitabilité (+19,25 millions FCFA, marge nette de 2,75%). Cette amélioration en 2023 résulte d'une réduction drastique des charges (-43,68%), notamment via le transfert de 50% du personnel vers la filiale SIPAL, et d'une baisse des coûts logistiques (-65,97%). Le rapport 2024 (analysé par GEMINI-VISION) confirme la poursuite de cette dynamique, mais les détails chiffrés restent partiels. Les risques majeurs identifiés incluent : des pertes cumulées de 689,86 millions FCFA (report à nouveau négatif) qui bloquent toute distribution de dividende depuis 2019, une trésorerie tendue avec des découverts bancaires multipliés par 14 en 2023, et une dépendance aux cours mondiaux du coprah. Les opportunités résident dans la diversification vers les noix de coco (+126% de CA en 2022) et les tourteaux, ainsi que dans la modernisation des infrastructures. La recommandation fondamentale est de **CONSERVER avec vigilance** : la société est en phase de redressement fragile, mais l'absence de dividende et la volatilité des résultats justifient une approche prudente. Les données 2024, bien que récentes, ne permettent pas encore de confirmer une tendance durable.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complexe et contrasté. La valorisation (Partie 0) est impossible à évaluer faute de ratios calculables, ce qui constitue un handicap majeur pour une décision éclairée. Le comportement du cours (Partie 1) est exceptionnellement haussier (+95,35% sur 100 jours) mais accompagné d'une volatilité élevée (58,2%) et d'une asymétrie positive (skewness +0,913) qui suggère que les gains récents pourraient être suivis de corrections. Les signaux techniques (Partie 2) sont divergents : les moyennes mobiles et la tendance de fond restent haussières, mais le MACD, le stochastique et le RSI en zone haute signalent un essoufflement à court terme, avec des décisions de vente sur plusieurs indicateurs. Les fondamentaux (Partie 3) montrent une société en redressement fragile, avec un retour à la profitabilité en 2023 (+19,25 millions FCFA) mais des pertes cumulées élevées, une trésorerie tendue et une absence de dividende depuis 2019. Les prédictions IA (J+1 à J+10) ne sont pas disponibles, ce qui prive l'analyse d'un signal prospectif. Sur la base de cette synthèse, la recommandation finale est **CONSERVER** avec un niveau de confiance **Moyen** et un risque global **Élevé**. La convergence entre la dynamique haussière du cours et l'amélioration fondamentale est encourageante, mais la divergence des indicateurs techniques à court terme et l'absence de valorisation claire incitent à la prudence. L'horizon d'investissement optimal est le **moyen terme (3-12 mois)**, en surveillant les prochains rapports financiers (notamment l'exercice 2024) pour confirmer la tendance au redressement, et en guettant un point d'entrée sur repli technique vers 7 355-8 472 FCFA. Une rupture sous la borne inférieure des Bollinger (7 354,78 FCFA) invaliderait le scénario haussier et justifierait une réduction de l'exposition.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5,490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-29.70%</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11.64% (Moyenne) — μ=2,441 FCFA, σ=284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β=0.5200 (Défensif) — Cov=0.000035, Var(idx)=0.000068, ρ=0.126,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σ_j=3.38%/j (Modérée) — Vol. annualisée≈53.7%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1,895</w:t>
            </w:r>
          </w:p>
        </w:tc>
        <w:tc>
          <w:tcPr>
            <w:tcW w:type="dxa" w:w="1440"/>
            <w:shd w:fill="FAFAFA" w:val="clear"/>
          </w:tcPr>
          <w:p>
            <w:r>
              <w:rPr>
                <w:b/>
                <w:sz w:val="17"/>
              </w:rPr>
              <w:t>2,039</w:t>
            </w:r>
          </w:p>
        </w:tc>
        <w:tc>
          <w:tcPr>
            <w:tcW w:type="dxa" w:w="1440"/>
            <w:shd w:fill="FAFAFA" w:val="clear"/>
          </w:tcPr>
          <w:p>
            <w:r>
              <w:rPr>
                <w:sz w:val="17"/>
              </w:rPr>
              <w:t>2,183</w:t>
            </w:r>
          </w:p>
        </w:tc>
        <w:tc>
          <w:tcPr>
            <w:tcW w:type="dxa" w:w="1440"/>
            <w:shd w:fill="FAFAFA" w:val="clear"/>
          </w:tcPr>
          <w:p>
            <w:r>
              <w:rPr>
                <w:b/>
                <w:color w:val="008000"/>
                <w:sz w:val="17"/>
              </w:rPr>
              <w:t>+2.0%</w:t>
            </w:r>
          </w:p>
        </w:tc>
      </w:tr>
      <w:tr>
        <w:tc>
          <w:tcPr>
            <w:tcW w:type="dxa" w:w="1440"/>
            <w:shd w:fill="C6EFCE" w:val="clear"/>
          </w:tcPr>
          <w:p>
            <w:r>
              <w:rPr>
                <w:sz w:val="17"/>
              </w:rPr>
              <w:t>J+2  ⭐</w:t>
            </w:r>
          </w:p>
        </w:tc>
        <w:tc>
          <w:tcPr>
            <w:tcW w:type="dxa" w:w="1440"/>
            <w:shd w:fill="C6EFCE" w:val="clear"/>
          </w:tcPr>
          <w:p>
            <w:r>
              <w:rPr>
                <w:sz w:val="17"/>
              </w:rPr>
              <w:t>2026-10-06</w:t>
            </w:r>
          </w:p>
        </w:tc>
        <w:tc>
          <w:tcPr>
            <w:tcW w:type="dxa" w:w="1440"/>
            <w:shd w:fill="C6EFCE" w:val="clear"/>
          </w:tcPr>
          <w:p>
            <w:r>
              <w:rPr>
                <w:sz w:val="17"/>
              </w:rPr>
              <w:t>1,865</w:t>
            </w:r>
          </w:p>
        </w:tc>
        <w:tc>
          <w:tcPr>
            <w:tcW w:type="dxa" w:w="1440"/>
            <w:shd w:fill="C6EFCE" w:val="clear"/>
          </w:tcPr>
          <w:p>
            <w:r>
              <w:rPr>
                <w:b/>
                <w:sz w:val="17"/>
              </w:rPr>
              <w:t>2,042</w:t>
            </w:r>
          </w:p>
        </w:tc>
        <w:tc>
          <w:tcPr>
            <w:tcW w:type="dxa" w:w="1440"/>
            <w:shd w:fill="C6EFCE" w:val="clear"/>
          </w:tcPr>
          <w:p>
            <w:r>
              <w:rPr>
                <w:sz w:val="17"/>
              </w:rPr>
              <w:t>2,218</w:t>
            </w:r>
          </w:p>
        </w:tc>
        <w:tc>
          <w:tcPr>
            <w:tcW w:type="dxa" w:w="1440"/>
            <w:shd w:fill="C6EFCE" w:val="clear"/>
          </w:tcPr>
          <w:p>
            <w:r>
              <w:rPr>
                <w:b/>
                <w:color w:val="008000"/>
                <w:sz w:val="17"/>
              </w:rPr>
              <w:t>+2.1%</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1,840</w:t>
            </w:r>
          </w:p>
        </w:tc>
        <w:tc>
          <w:tcPr>
            <w:tcW w:type="dxa" w:w="1440"/>
            <w:shd w:fill="C6EFCE" w:val="clear"/>
          </w:tcPr>
          <w:p>
            <w:r>
              <w:rPr>
                <w:b/>
                <w:sz w:val="17"/>
              </w:rPr>
              <w:t>2,045</w:t>
            </w:r>
          </w:p>
        </w:tc>
        <w:tc>
          <w:tcPr>
            <w:tcW w:type="dxa" w:w="1440"/>
            <w:shd w:fill="C6EFCE" w:val="clear"/>
          </w:tcPr>
          <w:p>
            <w:r>
              <w:rPr>
                <w:sz w:val="17"/>
              </w:rPr>
              <w:t>2,250</w:t>
            </w:r>
          </w:p>
        </w:tc>
        <w:tc>
          <w:tcPr>
            <w:tcW w:type="dxa" w:w="1440"/>
            <w:shd w:fill="C6EFCE" w:val="clear"/>
          </w:tcPr>
          <w:p>
            <w:r>
              <w:rPr>
                <w:b/>
                <w:color w:val="008000"/>
                <w:sz w:val="17"/>
              </w:rPr>
              <w:t>+2.2%</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1,819</w:t>
            </w:r>
          </w:p>
        </w:tc>
        <w:tc>
          <w:tcPr>
            <w:tcW w:type="dxa" w:w="1440"/>
            <w:shd w:fill="C6EFCE" w:val="clear"/>
          </w:tcPr>
          <w:p>
            <w:r>
              <w:rPr>
                <w:b/>
                <w:sz w:val="17"/>
              </w:rPr>
              <w:t>2,049</w:t>
            </w:r>
          </w:p>
        </w:tc>
        <w:tc>
          <w:tcPr>
            <w:tcW w:type="dxa" w:w="1440"/>
            <w:shd w:fill="C6EFCE" w:val="clear"/>
          </w:tcPr>
          <w:p>
            <w:r>
              <w:rPr>
                <w:sz w:val="17"/>
              </w:rPr>
              <w:t>2,278</w:t>
            </w:r>
          </w:p>
        </w:tc>
        <w:tc>
          <w:tcPr>
            <w:tcW w:type="dxa" w:w="1440"/>
            <w:shd w:fill="C6EFCE" w:val="clear"/>
          </w:tcPr>
          <w:p>
            <w:r>
              <w:rPr>
                <w:b/>
                <w:color w:val="008000"/>
                <w:sz w:val="17"/>
              </w:rPr>
              <w:t>+2.4%</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1,801</w:t>
            </w:r>
          </w:p>
        </w:tc>
        <w:tc>
          <w:tcPr>
            <w:tcW w:type="dxa" w:w="1440"/>
            <w:shd w:fill="C6EFCE" w:val="clear"/>
          </w:tcPr>
          <w:p>
            <w:r>
              <w:rPr>
                <w:b/>
                <w:sz w:val="17"/>
              </w:rPr>
              <w:t>2,052</w:t>
            </w:r>
          </w:p>
        </w:tc>
        <w:tc>
          <w:tcPr>
            <w:tcW w:type="dxa" w:w="1440"/>
            <w:shd w:fill="C6EFCE" w:val="clear"/>
          </w:tcPr>
          <w:p>
            <w:r>
              <w:rPr>
                <w:sz w:val="17"/>
              </w:rPr>
              <w:t>2,304</w:t>
            </w:r>
          </w:p>
        </w:tc>
        <w:tc>
          <w:tcPr>
            <w:tcW w:type="dxa" w:w="1440"/>
            <w:shd w:fill="C6EFCE" w:val="clear"/>
          </w:tcPr>
          <w:p>
            <w:r>
              <w:rPr>
                <w:b/>
                <w:color w:val="008000"/>
                <w:sz w:val="17"/>
              </w:rPr>
              <w:t>+2.6%</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1,784</w:t>
            </w:r>
          </w:p>
        </w:tc>
        <w:tc>
          <w:tcPr>
            <w:tcW w:type="dxa" w:w="1440"/>
            <w:shd w:fill="C6EFCE" w:val="clear"/>
          </w:tcPr>
          <w:p>
            <w:r>
              <w:rPr>
                <w:b/>
                <w:sz w:val="17"/>
              </w:rPr>
              <w:t>2,056</w:t>
            </w:r>
          </w:p>
        </w:tc>
        <w:tc>
          <w:tcPr>
            <w:tcW w:type="dxa" w:w="1440"/>
            <w:shd w:fill="C6EFCE" w:val="clear"/>
          </w:tcPr>
          <w:p>
            <w:r>
              <w:rPr>
                <w:sz w:val="17"/>
              </w:rPr>
              <w:t>2,328</w:t>
            </w:r>
          </w:p>
        </w:tc>
        <w:tc>
          <w:tcPr>
            <w:tcW w:type="dxa" w:w="1440"/>
            <w:shd w:fill="C6EFCE" w:val="clear"/>
          </w:tcPr>
          <w:p>
            <w:r>
              <w:rPr>
                <w:b/>
                <w:color w:val="008000"/>
                <w:sz w:val="17"/>
              </w:rPr>
              <w:t>+2.8%</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1,768</w:t>
            </w:r>
          </w:p>
        </w:tc>
        <w:tc>
          <w:tcPr>
            <w:tcW w:type="dxa" w:w="1440"/>
            <w:shd w:fill="C6EFCE" w:val="clear"/>
          </w:tcPr>
          <w:p>
            <w:r>
              <w:rPr>
                <w:b/>
                <w:sz w:val="17"/>
              </w:rPr>
              <w:t>2,060</w:t>
            </w:r>
          </w:p>
        </w:tc>
        <w:tc>
          <w:tcPr>
            <w:tcW w:type="dxa" w:w="1440"/>
            <w:shd w:fill="C6EFCE" w:val="clear"/>
          </w:tcPr>
          <w:p>
            <w:r>
              <w:rPr>
                <w:sz w:val="17"/>
              </w:rPr>
              <w:t>2,351</w:t>
            </w:r>
          </w:p>
        </w:tc>
        <w:tc>
          <w:tcPr>
            <w:tcW w:type="dxa" w:w="1440"/>
            <w:shd w:fill="C6EFCE" w:val="clear"/>
          </w:tcPr>
          <w:p>
            <w:r>
              <w:rPr>
                <w:b/>
                <w:color w:val="008000"/>
                <w:sz w:val="17"/>
              </w:rPr>
              <w:t>+3.0%</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1,753</w:t>
            </w:r>
          </w:p>
        </w:tc>
        <w:tc>
          <w:tcPr>
            <w:tcW w:type="dxa" w:w="1440"/>
            <w:shd w:fill="C6EFCE" w:val="clear"/>
          </w:tcPr>
          <w:p>
            <w:r>
              <w:rPr>
                <w:b/>
                <w:sz w:val="17"/>
              </w:rPr>
              <w:t>2,063</w:t>
            </w:r>
          </w:p>
        </w:tc>
        <w:tc>
          <w:tcPr>
            <w:tcW w:type="dxa" w:w="1440"/>
            <w:shd w:fill="C6EFCE" w:val="clear"/>
          </w:tcPr>
          <w:p>
            <w:r>
              <w:rPr>
                <w:sz w:val="17"/>
              </w:rPr>
              <w:t>2,373</w:t>
            </w:r>
          </w:p>
        </w:tc>
        <w:tc>
          <w:tcPr>
            <w:tcW w:type="dxa" w:w="1440"/>
            <w:shd w:fill="C6EFCE" w:val="clear"/>
          </w:tcPr>
          <w:p>
            <w:r>
              <w:rPr>
                <w:b/>
                <w:color w:val="008000"/>
                <w:sz w:val="17"/>
              </w:rPr>
              <w:t>+3.2%</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1,740</w:t>
            </w:r>
          </w:p>
        </w:tc>
        <w:tc>
          <w:tcPr>
            <w:tcW w:type="dxa" w:w="1440"/>
            <w:shd w:fill="C6EFCE" w:val="clear"/>
          </w:tcPr>
          <w:p>
            <w:r>
              <w:rPr>
                <w:b/>
                <w:sz w:val="17"/>
              </w:rPr>
              <w:t>2,067</w:t>
            </w:r>
          </w:p>
        </w:tc>
        <w:tc>
          <w:tcPr>
            <w:tcW w:type="dxa" w:w="1440"/>
            <w:shd w:fill="C6EFCE" w:val="clear"/>
          </w:tcPr>
          <w:p>
            <w:r>
              <w:rPr>
                <w:sz w:val="17"/>
              </w:rPr>
              <w:t>2,394</w:t>
            </w:r>
          </w:p>
        </w:tc>
        <w:tc>
          <w:tcPr>
            <w:tcW w:type="dxa" w:w="1440"/>
            <w:shd w:fill="C6EFCE" w:val="clear"/>
          </w:tcPr>
          <w:p>
            <w:r>
              <w:rPr>
                <w:b/>
                <w:color w:val="008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(ERIUM COTE D'IVOIRE)**</w:t>
        <w:br/>
        <w:t>*Bourse Régionale des Valeurs Mobilières (BRVM) — Secteur : Gaz industriels / Services*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17,47 milliards FCFA, SIVC se situe dans la fourchette des valeurs moyennes de la cote BRVM, mais son BPA de 43 FCFA/action pour 2024 porte le PER à 46,3x, soit un niveau très supérieur à la moyenne du marché régional (8-12x), ce qui traduit une valorisation tendue et une forte anticipation de croissance de la part des investisseurs. Le P/B de 5,34x confirme cette prime excessive : le marché valorise l'entreprise à plus de cinq fois ses fonds propres comptables, un niveau qui n'est justifié que par des perspectives de rentabilité future nettement supérieures à celles observées actuellement. L'EV/EBITDA de 15,1x, supérieur au seuil de 15x, renchérit ce constat : la valeur d'entreprise rapportée à la capacité opérationnelle dégagée reste très exigeante, d'autant que le résultat net 2024 (376,96 M FCFA) a depuis chuté de moitié en 2025 (179,29 M FCFA selon le rapport du 31/12/2025). En synthèse, ces ratios signalent une action nettement surévaluée au regard de ses fondamentaux actuels, avec un risque de correction si la rentabilité ne se redresse pas durablement.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variation totale de -29,70%, avec une dernière séance stable (+0,00%), portant le cours actuel à 2 000 FCFA pour une capitalisation de 17,47 Mds FCFA. Le range de trading est large, entre un plus haut de 2 875 FCFA et un plus bas de 1 920 FCFA, soit un écart de près de 50%, ce qui témoigne d'une tendance générale nettement baissière et d'une pression vendeuse persistante. Les statistiques descriptives révèlent une moyenne de 2 441 FCFA supérieure à la médiane de 2 382 FCFA, avec un mode à 2 000 FCFA (cours actuel), indiquant que la distribution est légèrement tirée vers le haut par les niveaux antérieurs mais que le prix s'est depuis replié sous ses niveaux moyens. L'écart-type de 286 FCFA et le coefficient de variation de 11,7% traduisent une dispersion modérée du cours autour de sa moyenne, tandis que le kurtosis de -1,160 (platykurtique) signale une distribution aplatie avec une faible concentration des rendements et un risque de pics de volatilité moins prononcé qu'une distribution normale. Le skewness de 0,217, proche de zéro, confirme une distribution quasi symétrique, sans biais directionnel marqué. Enfin, la volatilité annualisée de 53,7% classe le titre dans la catégorie des valeurs à volatilité élevée (&gt;30%), ce qui implique un risque de perte en capital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(2 177,5 FCFA) et la MM50 (2 253,6 FCFA) se situent toutes deux au-dessus du cours actuel (2 000 FCFA), ce qui place le titre en configuration baissière sur les deux horizons. La MM20 étant inférieure à la MM50, on observe un croisement baissier (death cross) confirmant la tendance descendante, et la décision technique est logiquement « Vente ».</w:t>
      </w:r>
    </w:p>
    <w:p>
      <w:pPr>
        <w:spacing w:after="120" w:line="276" w:lineRule="auto"/>
      </w:pPr>
      <w:r>
        <w:t>**Bandes de Bollinger** : Le cours (2 000 FCFA) évolue dans la partie basse du canal, entre la borne inférieure (1 877,1 FCFA) et la borne supérieure (2 477,9 FCFA), sans franchir les bornes, ce qui justifie la décision « Neutre ». L'amplitude des bandes (600 FCFA) reflète une volatilité encore présente, mais le positionnement du cours près de la borne basse suggère une possible zone de rebond technique.</w:t>
      </w:r>
    </w:p>
    <w:p>
      <w:pPr>
        <w:spacing w:after="120" w:line="276" w:lineRule="auto"/>
      </w:pPr>
      <w:r>
        <w:t>**MACD** : Le MACD (-84,383) est inférieur à son signal (-69,015), avec un histogramme négatif, ce qui confirme un momentum baissier toujours actif. La divergence négative entre les deux lignes indique que la pression vendeuse n'est pas encore épuisée, justifiant la décision « Vente ».</w:t>
      </w:r>
    </w:p>
    <w:p>
      <w:pPr>
        <w:spacing w:after="120" w:line="276" w:lineRule="auto"/>
      </w:pPr>
      <w:r>
        <w:t>**RSI** : À 28,495, le RSI se situe sous le seuil de 30, en zone de survente, ce qui déclenche une décision « Achat ». Ce niveau extrême suggère que le titre pourrait être techniquement survendu et qu'un rebond à court terme est envisageable, mais il convient de le confirmer par d'autres signaux.</w:t>
      </w:r>
    </w:p>
    <w:p>
      <w:pPr>
        <w:spacing w:after="120" w:line="276" w:lineRule="auto"/>
      </w:pPr>
      <w:r>
        <w:t>**Stochastique** : Le %K (0,0) est très inférieur au %D (11,667), avec un croisement en zone basse, ce qui donne une décision « Achat ». Cette configuration indique que le titre est au plus bas de sa fourchette récente et qu'un retournement haussier pourrait se dessiner, bien que la faiblesse du %K traduise une pression baissière encore forte.</w:t>
      </w:r>
    </w:p>
    <w:p>
      <w:pPr>
        <w:spacing w:after="120" w:line="276" w:lineRule="auto"/>
      </w:pPr>
      <w:r>
        <w:t>**Conclusion technique** : Les indicateurs sont partagés : les moyennes mobiles et le MACD restent clairement baissiers, tandis que le RSI et le stochastique signalent une survente propice à un rebond technique. Les bandes de Bollinger confirment une position basse du cours sans excès. La convergence des signaux de survente (RSI &lt; 30, %K = 0) suggère qu'un rebond à court terme est probable, mais la tendance de fond demeure baissière tant que le cours reste sous ses moyennes mobiles.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(base brvm_donnees_financieres) indiquent un chiffre d'affaires/PNB de 9,283 Mds FCFA, un résultat net de 376,96 M FCFA, un ROE de 11,52% (inférieur au seuil de 15% considéré comme excellent) et un ROA de 2,69%, traduisant une rentabilité des actifs faible. Le coefficient d'exploitation de 95,83% est très élevé pour une entreprise industrielle, signe d'une structure de coûts lourde, tandis que la marge nette de 4,06% reste modeste. Le rapport annuel du 31/12/2025 (analysé par DEEPSEEK le 29/06/2026) révèle une dégradation préoccupante : le chiffre d'affaires progresse de +8,53% à 10,075 Mds FCFA, mais le résultat net chute de -52,4% à 179,29 M FCFA, avec une marge nette divisée par deux à 1,78%. Cette contre-performance s'explique par une forte hausse des charges d'exploitation et un résultat financier passé d'un gain de 316 M FCFA à une perte de -114 M FCFA, tandis que l'endettement financier atteint 4 164 M FCFA et que la trésorerie nette reste négative à -1 660 M FCFA (contre -2 143 M FCFA en 2024). Les rapports trimestriels 2025 confirment toutefois une amélioration en cours : le S1 2025 (rapport certifié du 30/06/2025) affiche un CA de 4 897,5 M FCFA (+8,8%) et un résultat net de 512,9 M FCFA (+4,6%), avec une marge nette de 10,5%, tandis que le T3 2025 (rapport du 30/09/2025) montre un CA cumulé de 7 584,7 M FCFA (+13%) et un résultat net de 832,5 M FCFA (+58%), avec une marge nette de 11,0% et un résultat des activités ordinaires de 1 122 M FCFA (+67%). Sur la base de ces tendances trimestrielles, on peut estimer que l'exercice 2025 devrait clôturer avec un résultat net nettement supérieur à celui de 2024, potentiellement autour de 900 M-1 Md FCFA si la dynamique se maintient, ce qui ramènerait le PER à un niveau plus raisonnable (environ 19-20x). Cependant, la structure financière reste fragile : capitaux propres en baisse à 2 526 M FCFA, endettement élevé et trésorerie nette négative. La recommandation fondamentale est donc « Conserver avec surveillance », en attendant la confirmation d'un redressement durable de la rentabilité et d'un assainissement du bilan.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met en évidence une divergence marquée entre une valorisation très exigeante (PER 46,3x, P/B 5,34x, EV/EBITDA 15,1x) et des fondamentaux en cours de redressement mais encore fragiles. Le comportement du cours sur 100 jours est nettement baissier (-29,70%), avec une volatilité élevée (53,7%) et une distribution quasi symétrique (skewness 0,217) mais aplatie (kurtosis -1,160), ce qui n'offre pas de biais directionnel favorable. Les signaux techniques sont partagés : les moyennes mobiles et le MACD restent baissiers, tandis que le RSI (28,5) et le stochastique (%K=0) signalent une survente propice à un rebond à court terme. Les fondamentaux montrent une amélioration séquentielle en 2025 (S1 : résultat net +4,6% ; T3 : +58%), mais le rapport annuel 2025 fait état d'une chute de -52% du résultat net et d'une trésorerie nette toujours négative, ce qui tempère l'optimisme. Les prédictions IA pour les 10 prochains jours (2 039 → 2 052 FCFA) suggèrent une légère reprise (+2,6% depuis 2 000 FCFA), ce qui confirme le signal de survente technique mais reste timide au regard des risques baissiers persistants. Compte tenu de cette configuration, la recommandation finale est **CONSERVER** : le potentiel de rebond à court terme est réel (RSI survendu, prédictions haussières), mais la valorisation reste trop élevée et les fondamentaux ne sont pas encore suffisamment solides pour justifier un achat. Le niveau de confiance est **Moyen** (les signaux techniques de survente sont clairs, mais la tendance de fond et la valorisation incitent à la prudence), et le niveau de risque global est **Élevé** (volatilité 53,7%, endettement important, trésorerie négative). L'horizon d'investissement optimal est le **moyen terme (3-12 mois)**, en attendant la publication des résultats annuels 2025 définitifs et la confirmation d'un redressement durable de la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609.05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1,402 titres</w:t>
            </w:r>
          </w:p>
        </w:tc>
        <w:tc>
          <w:tcPr>
            <w:tcW w:type="dxa" w:w="2268"/>
            <w:shd w:fill="FFF2CC" w:val="clear"/>
          </w:tcPr>
          <w:p>
            <w:r>
              <w:rPr>
                <w:b/>
                <w:color w:val="503200"/>
                <w:sz w:val="16"/>
              </w:rPr>
              <w:t xml:space="preserve">Cours actuel : </w:t>
            </w:r>
            <w:r>
              <w:rPr>
                <w:color w:val="000000"/>
                <w:sz w:val="17"/>
              </w:rPr>
              <w:t>37,000 FCFA</w:t>
            </w:r>
          </w:p>
          <w:p>
            <w:r>
              <w:rPr>
                <w:b/>
                <w:color w:val="503200"/>
                <w:sz w:val="16"/>
              </w:rPr>
              <w:t xml:space="preserve">Var. 100 jours : </w:t>
            </w:r>
            <w:r>
              <w:rPr>
                <w:b/>
                <w:color w:val="B40000"/>
                <w:sz w:val="17"/>
              </w:rPr>
              <w:t>-1.33%</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2.22% (Faible) — μ=38,278 FCFA, σ=850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β=0.0660 (Défensif) — Cov=0.000004, Var(idx)=0.000068, ρ=0.035,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36,889</w:t>
            </w:r>
          </w:p>
        </w:tc>
        <w:tc>
          <w:tcPr>
            <w:tcW w:type="dxa" w:w="1440"/>
            <w:shd w:fill="FAFAFA" w:val="clear"/>
          </w:tcPr>
          <w:p>
            <w:r>
              <w:rPr>
                <w:b/>
                <w:sz w:val="17"/>
              </w:rPr>
              <w:t>37,697</w:t>
            </w:r>
          </w:p>
        </w:tc>
        <w:tc>
          <w:tcPr>
            <w:tcW w:type="dxa" w:w="1440"/>
            <w:shd w:fill="FAFAFA" w:val="clear"/>
          </w:tcPr>
          <w:p>
            <w:r>
              <w:rPr>
                <w:sz w:val="17"/>
              </w:rPr>
              <w:t>38,504</w:t>
            </w:r>
          </w:p>
        </w:tc>
        <w:tc>
          <w:tcPr>
            <w:tcW w:type="dxa" w:w="1440"/>
            <w:shd w:fill="FAFAFA" w:val="clear"/>
          </w:tcPr>
          <w:p>
            <w:r>
              <w:rPr>
                <w:b/>
                <w:color w:val="008000"/>
                <w:sz w:val="17"/>
              </w:rPr>
              <w:t>+1.9%</w:t>
            </w:r>
          </w:p>
        </w:tc>
      </w:tr>
      <w:tr>
        <w:tc>
          <w:tcPr>
            <w:tcW w:type="dxa" w:w="1440"/>
            <w:shd w:fill="C6EFCE" w:val="clear"/>
          </w:tcPr>
          <w:p>
            <w:r>
              <w:rPr>
                <w:sz w:val="17"/>
              </w:rPr>
              <w:t>J+2  ⭐⭐⭐</w:t>
            </w:r>
          </w:p>
        </w:tc>
        <w:tc>
          <w:tcPr>
            <w:tcW w:type="dxa" w:w="1440"/>
            <w:shd w:fill="C6EFCE" w:val="clear"/>
          </w:tcPr>
          <w:p>
            <w:r>
              <w:rPr>
                <w:sz w:val="17"/>
              </w:rPr>
              <w:t>2026-10-06</w:t>
            </w:r>
          </w:p>
        </w:tc>
        <w:tc>
          <w:tcPr>
            <w:tcW w:type="dxa" w:w="1440"/>
            <w:shd w:fill="C6EFCE" w:val="clear"/>
          </w:tcPr>
          <w:p>
            <w:r>
              <w:rPr>
                <w:sz w:val="17"/>
              </w:rPr>
              <w:t>36,859</w:t>
            </w:r>
          </w:p>
        </w:tc>
        <w:tc>
          <w:tcPr>
            <w:tcW w:type="dxa" w:w="1440"/>
            <w:shd w:fill="C6EFCE" w:val="clear"/>
          </w:tcPr>
          <w:p>
            <w:r>
              <w:rPr>
                <w:b/>
                <w:sz w:val="17"/>
              </w:rPr>
              <w:t>37,852</w:t>
            </w:r>
          </w:p>
        </w:tc>
        <w:tc>
          <w:tcPr>
            <w:tcW w:type="dxa" w:w="1440"/>
            <w:shd w:fill="C6EFCE" w:val="clear"/>
          </w:tcPr>
          <w:p>
            <w:r>
              <w:rPr>
                <w:sz w:val="17"/>
              </w:rPr>
              <w:t>38,845</w:t>
            </w:r>
          </w:p>
        </w:tc>
        <w:tc>
          <w:tcPr>
            <w:tcW w:type="dxa" w:w="1440"/>
            <w:shd w:fill="C6EFCE" w:val="clear"/>
          </w:tcPr>
          <w:p>
            <w:r>
              <w:rPr>
                <w:b/>
                <w:color w:val="008000"/>
                <w:sz w:val="17"/>
              </w:rPr>
              <w:t>+2.3%</w:t>
            </w:r>
          </w:p>
        </w:tc>
      </w:tr>
      <w:tr>
        <w:tc>
          <w:tcPr>
            <w:tcW w:type="dxa" w:w="1440"/>
            <w:shd w:fill="C6EFCE" w:val="clear"/>
          </w:tcPr>
          <w:p>
            <w:r>
              <w:rPr>
                <w:sz w:val="17"/>
              </w:rPr>
              <w:t>J+3  Moyenne</w:t>
            </w:r>
          </w:p>
        </w:tc>
        <w:tc>
          <w:tcPr>
            <w:tcW w:type="dxa" w:w="1440"/>
            <w:shd w:fill="C6EFCE" w:val="clear"/>
          </w:tcPr>
          <w:p>
            <w:r>
              <w:rPr>
                <w:sz w:val="17"/>
              </w:rPr>
              <w:t>2026-10-07</w:t>
            </w:r>
          </w:p>
        </w:tc>
        <w:tc>
          <w:tcPr>
            <w:tcW w:type="dxa" w:w="1440"/>
            <w:shd w:fill="C6EFCE" w:val="clear"/>
          </w:tcPr>
          <w:p>
            <w:r>
              <w:rPr>
                <w:sz w:val="17"/>
              </w:rPr>
              <w:t>36,870</w:t>
            </w:r>
          </w:p>
        </w:tc>
        <w:tc>
          <w:tcPr>
            <w:tcW w:type="dxa" w:w="1440"/>
            <w:shd w:fill="C6EFCE" w:val="clear"/>
          </w:tcPr>
          <w:p>
            <w:r>
              <w:rPr>
                <w:b/>
                <w:sz w:val="17"/>
              </w:rPr>
              <w:t>38,021</w:t>
            </w:r>
          </w:p>
        </w:tc>
        <w:tc>
          <w:tcPr>
            <w:tcW w:type="dxa" w:w="1440"/>
            <w:shd w:fill="C6EFCE" w:val="clear"/>
          </w:tcPr>
          <w:p>
            <w:r>
              <w:rPr>
                <w:sz w:val="17"/>
              </w:rPr>
              <w:t>39,173</w:t>
            </w:r>
          </w:p>
        </w:tc>
        <w:tc>
          <w:tcPr>
            <w:tcW w:type="dxa" w:w="1440"/>
            <w:shd w:fill="C6EFCE" w:val="clear"/>
          </w:tcPr>
          <w:p>
            <w:r>
              <w:rPr>
                <w:b/>
                <w:color w:val="008000"/>
                <w:sz w:val="17"/>
              </w:rPr>
              <w:t>+2.8%</w:t>
            </w:r>
          </w:p>
        </w:tc>
      </w:tr>
      <w:tr>
        <w:tc>
          <w:tcPr>
            <w:tcW w:type="dxa" w:w="1440"/>
            <w:shd w:fill="C6EFCE" w:val="clear"/>
          </w:tcPr>
          <w:p>
            <w:r>
              <w:rPr>
                <w:sz w:val="17"/>
              </w:rPr>
              <w:t>J+4  Moyenne</w:t>
            </w:r>
          </w:p>
        </w:tc>
        <w:tc>
          <w:tcPr>
            <w:tcW w:type="dxa" w:w="1440"/>
            <w:shd w:fill="C6EFCE" w:val="clear"/>
          </w:tcPr>
          <w:p>
            <w:r>
              <w:rPr>
                <w:sz w:val="17"/>
              </w:rPr>
              <w:t>2026-10-08</w:t>
            </w:r>
          </w:p>
        </w:tc>
        <w:tc>
          <w:tcPr>
            <w:tcW w:type="dxa" w:w="1440"/>
            <w:shd w:fill="C6EFCE" w:val="clear"/>
          </w:tcPr>
          <w:p>
            <w:r>
              <w:rPr>
                <w:sz w:val="17"/>
              </w:rPr>
              <w:t>36,892</w:t>
            </w:r>
          </w:p>
        </w:tc>
        <w:tc>
          <w:tcPr>
            <w:tcW w:type="dxa" w:w="1440"/>
            <w:shd w:fill="C6EFCE" w:val="clear"/>
          </w:tcPr>
          <w:p>
            <w:r>
              <w:rPr>
                <w:b/>
                <w:sz w:val="17"/>
              </w:rPr>
              <w:t>38,185</w:t>
            </w:r>
          </w:p>
        </w:tc>
        <w:tc>
          <w:tcPr>
            <w:tcW w:type="dxa" w:w="1440"/>
            <w:shd w:fill="C6EFCE" w:val="clear"/>
          </w:tcPr>
          <w:p>
            <w:r>
              <w:rPr>
                <w:sz w:val="17"/>
              </w:rPr>
              <w:t>39,478</w:t>
            </w:r>
          </w:p>
        </w:tc>
        <w:tc>
          <w:tcPr>
            <w:tcW w:type="dxa" w:w="1440"/>
            <w:shd w:fill="C6EFCE" w:val="clear"/>
          </w:tcPr>
          <w:p>
            <w:r>
              <w:rPr>
                <w:b/>
                <w:color w:val="008000"/>
                <w:sz w:val="17"/>
              </w:rPr>
              <w:t>+3.2%</w:t>
            </w:r>
          </w:p>
        </w:tc>
      </w:tr>
      <w:tr>
        <w:tc>
          <w:tcPr>
            <w:tcW w:type="dxa" w:w="1440"/>
            <w:shd w:fill="C6EFCE" w:val="clear"/>
          </w:tcPr>
          <w:p>
            <w:r>
              <w:rPr>
                <w:sz w:val="17"/>
              </w:rPr>
              <w:t>J+5  Moyenne</w:t>
            </w:r>
          </w:p>
        </w:tc>
        <w:tc>
          <w:tcPr>
            <w:tcW w:type="dxa" w:w="1440"/>
            <w:shd w:fill="C6EFCE" w:val="clear"/>
          </w:tcPr>
          <w:p>
            <w:r>
              <w:rPr>
                <w:sz w:val="17"/>
              </w:rPr>
              <w:t>2026-10-09</w:t>
            </w:r>
          </w:p>
        </w:tc>
        <w:tc>
          <w:tcPr>
            <w:tcW w:type="dxa" w:w="1440"/>
            <w:shd w:fill="C6EFCE" w:val="clear"/>
          </w:tcPr>
          <w:p>
            <w:r>
              <w:rPr>
                <w:sz w:val="17"/>
              </w:rPr>
              <w:t>36,920</w:t>
            </w:r>
          </w:p>
        </w:tc>
        <w:tc>
          <w:tcPr>
            <w:tcW w:type="dxa" w:w="1440"/>
            <w:shd w:fill="C6EFCE" w:val="clear"/>
          </w:tcPr>
          <w:p>
            <w:r>
              <w:rPr>
                <w:b/>
                <w:sz w:val="17"/>
              </w:rPr>
              <w:t>38,343</w:t>
            </w:r>
          </w:p>
        </w:tc>
        <w:tc>
          <w:tcPr>
            <w:tcW w:type="dxa" w:w="1440"/>
            <w:shd w:fill="C6EFCE" w:val="clear"/>
          </w:tcPr>
          <w:p>
            <w:r>
              <w:rPr>
                <w:sz w:val="17"/>
              </w:rPr>
              <w:t>39,765</w:t>
            </w:r>
          </w:p>
        </w:tc>
        <w:tc>
          <w:tcPr>
            <w:tcW w:type="dxa" w:w="1440"/>
            <w:shd w:fill="C6EFCE" w:val="clear"/>
          </w:tcPr>
          <w:p>
            <w:r>
              <w:rPr>
                <w:b/>
                <w:color w:val="008000"/>
                <w:sz w:val="17"/>
              </w:rPr>
              <w:t>+3.6%</w:t>
            </w:r>
          </w:p>
        </w:tc>
      </w:tr>
      <w:tr>
        <w:tc>
          <w:tcPr>
            <w:tcW w:type="dxa" w:w="1440"/>
            <w:shd w:fill="C6EFCE" w:val="clear"/>
          </w:tcPr>
          <w:p>
            <w:r>
              <w:rPr>
                <w:sz w:val="17"/>
              </w:rPr>
              <w:t>J+6  Moyenne</w:t>
            </w:r>
          </w:p>
        </w:tc>
        <w:tc>
          <w:tcPr>
            <w:tcW w:type="dxa" w:w="1440"/>
            <w:shd w:fill="C6EFCE" w:val="clear"/>
          </w:tcPr>
          <w:p>
            <w:r>
              <w:rPr>
                <w:sz w:val="17"/>
              </w:rPr>
              <w:t>2026-10-12</w:t>
            </w:r>
          </w:p>
        </w:tc>
        <w:tc>
          <w:tcPr>
            <w:tcW w:type="dxa" w:w="1440"/>
            <w:shd w:fill="C6EFCE" w:val="clear"/>
          </w:tcPr>
          <w:p>
            <w:r>
              <w:rPr>
                <w:sz w:val="17"/>
              </w:rPr>
              <w:t>36,952</w:t>
            </w:r>
          </w:p>
        </w:tc>
        <w:tc>
          <w:tcPr>
            <w:tcW w:type="dxa" w:w="1440"/>
            <w:shd w:fill="C6EFCE" w:val="clear"/>
          </w:tcPr>
          <w:p>
            <w:r>
              <w:rPr>
                <w:b/>
                <w:sz w:val="17"/>
              </w:rPr>
              <w:t>38,494</w:t>
            </w:r>
          </w:p>
        </w:tc>
        <w:tc>
          <w:tcPr>
            <w:tcW w:type="dxa" w:w="1440"/>
            <w:shd w:fill="C6EFCE" w:val="clear"/>
          </w:tcPr>
          <w:p>
            <w:r>
              <w:rPr>
                <w:sz w:val="17"/>
              </w:rPr>
              <w:t>40,037</w:t>
            </w:r>
          </w:p>
        </w:tc>
        <w:tc>
          <w:tcPr>
            <w:tcW w:type="dxa" w:w="1440"/>
            <w:shd w:fill="C6EFCE" w:val="clear"/>
          </w:tcPr>
          <w:p>
            <w:r>
              <w:rPr>
                <w:b/>
                <w:color w:val="008000"/>
                <w:sz w:val="17"/>
              </w:rPr>
              <w:t>+4.0%</w:t>
            </w:r>
          </w:p>
        </w:tc>
      </w:tr>
      <w:tr>
        <w:tc>
          <w:tcPr>
            <w:tcW w:type="dxa" w:w="1440"/>
            <w:shd w:fill="C6EFCE" w:val="clear"/>
          </w:tcPr>
          <w:p>
            <w:r>
              <w:rPr>
                <w:sz w:val="17"/>
              </w:rPr>
              <w:t>J+7  Moyenne</w:t>
            </w:r>
          </w:p>
        </w:tc>
        <w:tc>
          <w:tcPr>
            <w:tcW w:type="dxa" w:w="1440"/>
            <w:shd w:fill="C6EFCE" w:val="clear"/>
          </w:tcPr>
          <w:p>
            <w:r>
              <w:rPr>
                <w:sz w:val="17"/>
              </w:rPr>
              <w:t>2026-10-13</w:t>
            </w:r>
          </w:p>
        </w:tc>
        <w:tc>
          <w:tcPr>
            <w:tcW w:type="dxa" w:w="1440"/>
            <w:shd w:fill="C6EFCE" w:val="clear"/>
          </w:tcPr>
          <w:p>
            <w:r>
              <w:rPr>
                <w:sz w:val="17"/>
              </w:rPr>
              <w:t>36,986</w:t>
            </w:r>
          </w:p>
        </w:tc>
        <w:tc>
          <w:tcPr>
            <w:tcW w:type="dxa" w:w="1440"/>
            <w:shd w:fill="C6EFCE" w:val="clear"/>
          </w:tcPr>
          <w:p>
            <w:r>
              <w:rPr>
                <w:b/>
                <w:sz w:val="17"/>
              </w:rPr>
              <w:t>38,641</w:t>
            </w:r>
          </w:p>
        </w:tc>
        <w:tc>
          <w:tcPr>
            <w:tcW w:type="dxa" w:w="1440"/>
            <w:shd w:fill="C6EFCE" w:val="clear"/>
          </w:tcPr>
          <w:p>
            <w:r>
              <w:rPr>
                <w:sz w:val="17"/>
              </w:rPr>
              <w:t>40,296</w:t>
            </w:r>
          </w:p>
        </w:tc>
        <w:tc>
          <w:tcPr>
            <w:tcW w:type="dxa" w:w="1440"/>
            <w:shd w:fill="C6EFCE" w:val="clear"/>
          </w:tcPr>
          <w:p>
            <w:r>
              <w:rPr>
                <w:b/>
                <w:color w:val="008000"/>
                <w:sz w:val="17"/>
              </w:rPr>
              <w:t>+4.4%</w:t>
            </w:r>
          </w:p>
        </w:tc>
      </w:tr>
      <w:tr>
        <w:tc>
          <w:tcPr>
            <w:tcW w:type="dxa" w:w="1440"/>
            <w:shd w:fill="C6EFCE" w:val="clear"/>
          </w:tcPr>
          <w:p>
            <w:r>
              <w:rPr>
                <w:sz w:val="17"/>
              </w:rPr>
              <w:t>J+8  Moyenne</w:t>
            </w:r>
          </w:p>
        </w:tc>
        <w:tc>
          <w:tcPr>
            <w:tcW w:type="dxa" w:w="1440"/>
            <w:shd w:fill="C6EFCE" w:val="clear"/>
          </w:tcPr>
          <w:p>
            <w:r>
              <w:rPr>
                <w:sz w:val="17"/>
              </w:rPr>
              <w:t>2026-10-14</w:t>
            </w:r>
          </w:p>
        </w:tc>
        <w:tc>
          <w:tcPr>
            <w:tcW w:type="dxa" w:w="1440"/>
            <w:shd w:fill="C6EFCE" w:val="clear"/>
          </w:tcPr>
          <w:p>
            <w:r>
              <w:rPr>
                <w:sz w:val="17"/>
              </w:rPr>
              <w:t>37,021</w:t>
            </w:r>
          </w:p>
        </w:tc>
        <w:tc>
          <w:tcPr>
            <w:tcW w:type="dxa" w:w="1440"/>
            <w:shd w:fill="C6EFCE" w:val="clear"/>
          </w:tcPr>
          <w:p>
            <w:r>
              <w:rPr>
                <w:b/>
                <w:sz w:val="17"/>
              </w:rPr>
              <w:t>38,783</w:t>
            </w:r>
          </w:p>
        </w:tc>
        <w:tc>
          <w:tcPr>
            <w:tcW w:type="dxa" w:w="1440"/>
            <w:shd w:fill="C6EFCE" w:val="clear"/>
          </w:tcPr>
          <w:p>
            <w:r>
              <w:rPr>
                <w:sz w:val="17"/>
              </w:rPr>
              <w:t>40,545</w:t>
            </w:r>
          </w:p>
        </w:tc>
        <w:tc>
          <w:tcPr>
            <w:tcW w:type="dxa" w:w="1440"/>
            <w:shd w:fill="C6EFCE" w:val="clear"/>
          </w:tcPr>
          <w:p>
            <w:r>
              <w:rPr>
                <w:b/>
                <w:color w:val="008000"/>
                <w:sz w:val="17"/>
              </w:rPr>
              <w:t>+4.8%</w:t>
            </w:r>
          </w:p>
        </w:tc>
      </w:tr>
      <w:tr>
        <w:tc>
          <w:tcPr>
            <w:tcW w:type="dxa" w:w="1440"/>
            <w:shd w:fill="C6EFCE" w:val="clear"/>
          </w:tcPr>
          <w:p>
            <w:r>
              <w:rPr>
                <w:sz w:val="17"/>
              </w:rPr>
              <w:t>J+9  Moyenne</w:t>
            </w:r>
          </w:p>
        </w:tc>
        <w:tc>
          <w:tcPr>
            <w:tcW w:type="dxa" w:w="1440"/>
            <w:shd w:fill="C6EFCE" w:val="clear"/>
          </w:tcPr>
          <w:p>
            <w:r>
              <w:rPr>
                <w:sz w:val="17"/>
              </w:rPr>
              <w:t>2026-10-15</w:t>
            </w:r>
          </w:p>
        </w:tc>
        <w:tc>
          <w:tcPr>
            <w:tcW w:type="dxa" w:w="1440"/>
            <w:shd w:fill="C6EFCE" w:val="clear"/>
          </w:tcPr>
          <w:p>
            <w:r>
              <w:rPr>
                <w:sz w:val="17"/>
              </w:rPr>
              <w:t>37,058</w:t>
            </w:r>
          </w:p>
        </w:tc>
        <w:tc>
          <w:tcPr>
            <w:tcW w:type="dxa" w:w="1440"/>
            <w:shd w:fill="C6EFCE" w:val="clear"/>
          </w:tcPr>
          <w:p>
            <w:r>
              <w:rPr>
                <w:b/>
                <w:sz w:val="17"/>
              </w:rPr>
              <w:t>38,922</w:t>
            </w:r>
          </w:p>
        </w:tc>
        <w:tc>
          <w:tcPr>
            <w:tcW w:type="dxa" w:w="1440"/>
            <w:shd w:fill="C6EFCE" w:val="clear"/>
          </w:tcPr>
          <w:p>
            <w:r>
              <w:rPr>
                <w:sz w:val="17"/>
              </w:rPr>
              <w:t>40,786</w:t>
            </w:r>
          </w:p>
        </w:tc>
        <w:tc>
          <w:tcPr>
            <w:tcW w:type="dxa" w:w="1440"/>
            <w:shd w:fill="C6EFCE" w:val="clear"/>
          </w:tcPr>
          <w:p>
            <w:r>
              <w:rPr>
                <w:b/>
                <w:color w:val="008000"/>
                <w:sz w:val="17"/>
              </w:rPr>
              <w:t>+5.2%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*Bourse Régionale des Valeurs Mobilières (BRVM) — Secteur : Entreprise (Boissons/Limonaderies)*</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609,05 milliards FCFA, SLBC s'impose comme l'une des plus importantes capitalisations de la BRVM, témoignant de son statut de valeur de premier plan dans l'indice BRVM Composite. Le BPA de 2 781 FCFA/action signifie que chaque titre génère près de 2 800 FCFA de bénéfice net, un niveau élevé qui traduit la forte rentabilité de l'entreprise. Le PER de 13,3x situe le titre légèrement au-dessus de la moyenne du marché BRVM (8-12x), mais cette prime reste raisonnable au regard de la croissance exceptionnelle des bénéfices (+113% en 2025). Le P/B de 3,12x indique que le marché valorise l'action à plus de trois fois sa valeur comptable, une prime de croissance justifiée par un ROE exceptionnel de 23,46%. Enfin, l'EV/EBITDA de 7,2x, dans la fourchette raisonnable de 5-10x, confirme que la valeur d'entreprise reste proportionnée à la capacité opérationnelle de génération de cash-flow.</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 enregistré une variation totale de -1,33%, avec une dernière séance (J-1) également en repli de -1,33%, clôturant à 37 000 FCFA. Le range de trading s'est établi entre un plus haut de 41 500 FCFA et un plus bas de 36 900 FCFA, le cours actuel se situant à proximité immédiate du plancher de cette fourchette, ce qui traduit une pression baissière récente. La tendance générale apparaît donc baissière à court terme, le titre ayant cédé du terrain après avoir atteint des sommets. Les statistiques descriptives révèlent une moyenne de 38 278 FCFA légèrement supérieure à la médiane de 38 000 FCFA, avec un mode identique à 38 000 FCFA, suggérant une distribution quasi-symétrique autour de ce pivot. L'écart-type de 854 FCFA et le coefficient de variation de 2,2% indiquent une dispersion très faible du cours, caractéristique d'un titre peu volatil sur la période. Le kurtosis de 0,830 (mésokurtique) signifie que la distribution des rendements est proche d'une loi normale, sans risque majeur de pics extrêmes. Le skewness de 0,833 (asymétrie positive) révèle toutefois que davantage de journées se sont situées sous la moyenne, signalant une légère pression vendeuse structurelle. La volatilité annualisée de 24,4% positionne SLBC dans la catégorie des titres à volatilité modérée (15-30%), offrant un profil risque/rendement équilibré.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(37 787 FCFA) et la MM50 (37 852 FCFA) se situent toutes deux au-dessus du cours actuel (37 000 FCFA), avec une MM20 légèrement inférieure à la MM50, configuration baissière classique. Le cours évoluant sous ses deux moyennes mobiles, la décision technique de vente est confirmée, le titre n'ayant pas encore trouvé de support significatif.</w:t>
      </w:r>
    </w:p>
    <w:p>
      <w:pPr>
        <w:spacing w:after="120" w:line="276" w:lineRule="auto"/>
      </w:pPr>
      <w:r>
        <w:t>**Bandes de Bollinger** : La borne supérieure est à 38 400 FCFA et la borne inférieure à 37 174 FCFA, avec un cours actuel de 37 000 FCFA qui se situe légèrement sous la borne inférieure. Cette position sous la bande basse signale une survente technique et génère une décision d'achat, le titre étant statistiquement susceptible de rebondir vers la moyenne mobile.</w:t>
      </w:r>
    </w:p>
    <w:p>
      <w:pPr>
        <w:spacing w:after="120" w:line="276" w:lineRule="auto"/>
      </w:pPr>
      <w:r>
        <w:t>**MACD** : La valeur du MACD (-94,276) est nettement inférieure à son signal (-26,151), avec un histogramme négatif et un écartement croissant entre les deux lignes. Ce momentum baissier prononcé confirme la décision de vente, aucune divergence haussière n'étant encore détectée.</w:t>
      </w:r>
    </w:p>
    <w:p>
      <w:pPr>
        <w:spacing w:after="120" w:line="276" w:lineRule="auto"/>
      </w:pPr>
      <w:r>
        <w:t>**RSI** : À 19,732, le RSI se situe très en dessous du seuil de survente de 30, un niveau extrême qui n'est généralement pas durable. Cette configuration génère une décision d'achat, le titre étant techniquement survendu et présentant un potentiel de rebond à court terme.</w:t>
      </w:r>
    </w:p>
    <w:p>
      <w:pPr>
        <w:spacing w:after="120" w:line="276" w:lineRule="auto"/>
      </w:pPr>
      <w:r>
        <w:t>**Stochastique** : Les valeurs %K et %D sont toutes deux à 0,0, indiquant que le cours se situe au plus bas de sa fourchette récente sur la période de calcul. Cette situation extrême de survente génère une décision d'achat, un croisement haussier étant attendu prochainement.</w:t>
      </w:r>
    </w:p>
    <w:p>
      <w:pPr>
        <w:spacing w:after="120" w:line="276" w:lineRule="auto"/>
      </w:pPr>
      <w:r>
        <w:t>**Conclusion technique** : Les indicateurs présentent une divergence notable : les moyennes mobiles et le MACD confirment une tendance baissière de fond, tandis que le RSI, le stochastique et les bandes de Bollinger signalent une survente extrême propice à un rebond technique. Cette configuration suggère une possible capitulation en fin de mouvement baissier, avec un potentiel de retournement à court terme vers la zone des 37 800-38 000 FCFA (moyennes mobiles).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SLBC a réalisé un chiffre d'affaires de 378 123 millions FCFA, en croissance de 22,08% par rapport à 2024, porté par une demande soutenue sur le marché ivoirien des boissons. Le résultat net s'établit à 45 781 millions FCFA, en explosion de +113% (contre 21 472 millions en 2024), avec une marge nette qui double de 6,9% à 12,1%. Le ROE atteint 23,46% (excellent, &gt;15%) et le ROA 13,48%, confirmant l'excellente rentabilité des capitaux propres et des actifs. La structure financière est saine avec une autonomie financière de 57,48% (capitaux propres/total bilan), un ratio d'endettement maîtrisé de 42,52% et une trésorerie nette positive de 22 117 millions FCFA. Le BFR de 61 587 millions FCFA (positif) reflète la croissance de l'activité, avec des délais clients de 64,27 jours (risque modéré) et fournisseurs de 76,82 jours (favorable à la trésorerie). La capacité de remboursement est excellente à 0,67 an (dettes financières/CAF), et la couverture des intérêts atteint 3 374,68%, traduisant une charge financière quasi-négligeable.</w:t>
      </w:r>
    </w:p>
    <w:p>
      <w:pPr>
        <w:spacing w:after="120" w:line="276" w:lineRule="auto"/>
      </w:pPr>
      <w:r>
        <w:t>**Adaptation au secteur ENTREPRISE** : Les marges sont solides (marge brute de 76,21%, marge opérationnelle de 17,23%), et la rotation des actifs de 111,37% indique une utilisation efficace du capital. Le besoin en fonds de roulement positif (61 587 M FCFA) est typique d'une activité en croissance nécessitant du stockage (117,32 jours de durée de stockage) et du crédit client (64,27 jours).</w:t>
      </w:r>
    </w:p>
    <w:p>
      <w:pPr>
        <w:spacing w:after="120" w:line="276" w:lineRule="auto"/>
      </w:pPr>
      <w:r>
        <w:t>**Estimations basées sur les rapports trimestriels** : Le rapport T1 2026 (publié en 2026) confirme la dynamique avec un CA de 93,46 milliards FCFA (+7,6%) et un résultat net de 16,26 milliards FCFA (+4,8%), soit une marge nette de 17,4% (en amélioration). Sur cette base, on peut estimer que l'exercice 2026 devrait maintenir une croissance à deux chiffres, avec un résultat net potentiellement supérieur à 50 milliards FCFA si la tendance se poursuit. Le rapport S1 2025 (daté du 30/06/2025) avait déjà montré une marge nette de 16,9% et une marge opérationnelle de 23,3%, confirmant l'accélération de la rentabilité.</w:t>
      </w:r>
    </w:p>
    <w:p>
      <w:pPr>
        <w:spacing w:after="120" w:line="276" w:lineRule="auto"/>
      </w:pPr>
      <w:r>
        <w:t>**Évolution pluriannuelle** : Les rapports antérieurs (2023, 2024) montrent une nette amélioration : le CA est passé de 311 395 M FCFA (2023) à 378 123 M FCFA (2025), tandis que le résultat net bondissait de 15 078 M FCFA (2023) à 45 781 M FCFA (2025). La politique de dividende est devenue très généreuse, avec un dividende proposé de 2 127 FCFA/action au titre de 2025 (rendement de 5,75% au cours actuel), représentant un payout de 76,5%.</w:t>
      </w:r>
    </w:p>
    <w:p>
      <w:pPr>
        <w:spacing w:after="120" w:line="276" w:lineRule="auto"/>
      </w:pPr>
      <w:r>
        <w:t>**Recommandation fondamentale** : Les fondamentaux de SLBC sont exceptionnels, avec une croissance forte, une rentabilité en forte hausse, une structure financière solide et une politique de dividende attractive. Les principaux risques identifiés sont la dépendance aux matières premières (90 milliards FCFA d'achats exposés à la volatilité), la concentration géographique sur la Côte d'Ivoire, et un payout élevé (76,5%) qui limite l'autofinancement. Néanmoins, la position de leader, la dynamique du T1 2026 et la solidité du bilan justifient une recommandation fondamentale d'ACHAT.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convergence globalement positive malgré des signaux techniques contradictoires à court terme. La valorisation (Partie 0) apparaît raisonnable avec un PER de 13,3x légèrement supérieur à la moyenne du marché mais justifié par la croissance, un P/B de 3,12x reflétant une prime de croissance, et un EV/EBITDA de 7,2x dans la fourchette normale. Le comportement du cours (Partie 1) montre une tendance baissière récente (-1,33%) avec une volatilité modérée (24,4%) et une distribution quasi-normale (kurtosis 0,83) mais légèrement asymétrique à la baisse (skewness 0,83), le titre se situant près de son plus bas annuel. Les signaux techniques (Partie 2) sont divergents : baissiers pour les MM et le MACD, mais extrêmement haussiers pour le RSI (19,7), le stochastique (0,0) et les bandes de Bollinger (cours sous la borne inférieure), suggérant une survente propice à un rebond. Les fondamentaux (Partie 3) sont excellents avec un CA de 378,1 Mds FCFA (+22%), un résultat net de 45,8 Mds FCFA (+113%), un ROE de 23,46%, et une confirmation de la dynamique par le T1 2026 (+7,6% de CA). Les prédictions IA (J+1 à J+10) anticipent une trajectoire haussière de 37 697 FCFA à 38 343 FCFA, confirmant le potentiel de rebond technique identifié.</w:t>
      </w:r>
    </w:p>
    <w:p>
      <w:pPr>
        <w:spacing w:after="120" w:line="276" w:lineRule="auto"/>
      </w:pPr>
      <w:r>
        <w:t>**Recommandation finale : ACHAT**</w:t>
      </w:r>
    </w:p>
    <w:p>
      <w:pPr>
        <w:spacing w:after="120" w:line="276" w:lineRule="auto"/>
      </w:pPr>
      <w:r>
        <w:t>Cette recommandation est justifiée par la convergence entre des fondamentaux exceptionnels, une valorisation raisonnable, une survente technique extrême et des prédictions IA haussières. Le niveau de confiance est **Élevé** pour les fondamentaux et **Moyen** pour le timing technique, le risque global étant **Moyen** (volatilité modérée, dépendance aux matières premières). L'horizon d'investissement optimal est le **moyen terme (3-12 mois)** pour capturer le rebond technique et la poursuite de la croissance bénéficiaire, avec un potentiel de rendement total (appréciation + dividende) attractif. Les investisseurs à long terme (&gt;1 an) peuvent également accumuler le titre, la solidité du bilan et la position de leader offrant une visibilité satisfaisante.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127.92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1,657 titres</w:t>
            </w:r>
          </w:p>
        </w:tc>
        <w:tc>
          <w:tcPr>
            <w:tcW w:type="dxa" w:w="2268"/>
            <w:shd w:fill="FFF2CC" w:val="clear"/>
          </w:tcPr>
          <w:p>
            <w:r>
              <w:rPr>
                <w:b/>
                <w:color w:val="503200"/>
                <w:sz w:val="16"/>
              </w:rPr>
              <w:t xml:space="preserve">Cours actuel : </w:t>
            </w:r>
            <w:r>
              <w:rPr>
                <w:color w:val="000000"/>
                <w:sz w:val="17"/>
              </w:rPr>
              <w:t>16,410 FCFA</w:t>
            </w:r>
          </w:p>
          <w:p>
            <w:r>
              <w:rPr>
                <w:b/>
                <w:color w:val="503200"/>
                <w:sz w:val="16"/>
              </w:rPr>
              <w:t xml:space="preserve">Var. 100 jours : </w:t>
            </w:r>
            <w:r>
              <w:rPr>
                <w:b/>
                <w:color w:val="007800"/>
                <w:sz w:val="17"/>
              </w:rPr>
              <w:t>+36.81%</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11,995 FCFA</w:t>
            </w:r>
          </w:p>
          <w:p>
            <w:r>
              <w:rPr>
                <w:b/>
                <w:color w:val="503200"/>
                <w:sz w:val="16"/>
              </w:rPr>
              <w:t xml:space="preserve">Volatilité ann. : </w:t>
            </w:r>
            <w:r>
              <w:rPr>
                <w:color w:val="000000"/>
                <w:sz w:val="17"/>
              </w:rPr>
              <w:t>41.9%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10.16% (Moyenne) — μ=15,936 FCFA, σ=1,618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β=0.5387 (Défensif) — Cov=0.000036, Var(idx)=0.000068, ρ=0.168,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15,254</w:t>
            </w:r>
          </w:p>
        </w:tc>
        <w:tc>
          <w:tcPr>
            <w:tcW w:type="dxa" w:w="1440"/>
            <w:shd w:fill="FAFAFA" w:val="clear"/>
          </w:tcPr>
          <w:p>
            <w:r>
              <w:rPr>
                <w:b/>
                <w:sz w:val="17"/>
              </w:rPr>
              <w:t>16,281</w:t>
            </w:r>
          </w:p>
        </w:tc>
        <w:tc>
          <w:tcPr>
            <w:tcW w:type="dxa" w:w="1440"/>
            <w:shd w:fill="FAFAFA" w:val="clear"/>
          </w:tcPr>
          <w:p>
            <w:r>
              <w:rPr>
                <w:sz w:val="17"/>
              </w:rPr>
              <w:t>17,308</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14,987</w:t>
            </w:r>
          </w:p>
        </w:tc>
        <w:tc>
          <w:tcPr>
            <w:tcW w:type="dxa" w:w="1440"/>
            <w:shd w:fill="FAFAFA" w:val="clear"/>
          </w:tcPr>
          <w:p>
            <w:r>
              <w:rPr>
                <w:b/>
                <w:sz w:val="17"/>
              </w:rPr>
              <w:t>16,241</w:t>
            </w:r>
          </w:p>
        </w:tc>
        <w:tc>
          <w:tcPr>
            <w:tcW w:type="dxa" w:w="1440"/>
            <w:shd w:fill="FAFAFA" w:val="clear"/>
          </w:tcPr>
          <w:p>
            <w:r>
              <w:rPr>
                <w:sz w:val="17"/>
              </w:rPr>
              <w:t>17,496</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14,760</w:t>
            </w:r>
          </w:p>
        </w:tc>
        <w:tc>
          <w:tcPr>
            <w:tcW w:type="dxa" w:w="1440"/>
            <w:shd w:fill="FAFAFA" w:val="clear"/>
          </w:tcPr>
          <w:p>
            <w:r>
              <w:rPr>
                <w:b/>
                <w:sz w:val="17"/>
              </w:rPr>
              <w:t>16,206</w:t>
            </w:r>
          </w:p>
        </w:tc>
        <w:tc>
          <w:tcPr>
            <w:tcW w:type="dxa" w:w="1440"/>
            <w:shd w:fill="FAFAFA" w:val="clear"/>
          </w:tcPr>
          <w:p>
            <w:r>
              <w:rPr>
                <w:sz w:val="17"/>
              </w:rPr>
              <w:t>17,652</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14,559</w:t>
            </w:r>
          </w:p>
        </w:tc>
        <w:tc>
          <w:tcPr>
            <w:tcW w:type="dxa" w:w="1440"/>
            <w:shd w:fill="FAFAFA" w:val="clear"/>
          </w:tcPr>
          <w:p>
            <w:r>
              <w:rPr>
                <w:b/>
                <w:sz w:val="17"/>
              </w:rPr>
              <w:t>16,172</w:t>
            </w:r>
          </w:p>
        </w:tc>
        <w:tc>
          <w:tcPr>
            <w:tcW w:type="dxa" w:w="1440"/>
            <w:shd w:fill="FAFAFA" w:val="clear"/>
          </w:tcPr>
          <w:p>
            <w:r>
              <w:rPr>
                <w:sz w:val="17"/>
              </w:rPr>
              <w:t>17,785</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14,375</w:t>
            </w:r>
          </w:p>
        </w:tc>
        <w:tc>
          <w:tcPr>
            <w:tcW w:type="dxa" w:w="1440"/>
            <w:shd w:fill="FAFAFA" w:val="clear"/>
          </w:tcPr>
          <w:p>
            <w:r>
              <w:rPr>
                <w:b/>
                <w:sz w:val="17"/>
              </w:rPr>
              <w:t>16,138</w:t>
            </w:r>
          </w:p>
        </w:tc>
        <w:tc>
          <w:tcPr>
            <w:tcW w:type="dxa" w:w="1440"/>
            <w:shd w:fill="FAFAFA" w:val="clear"/>
          </w:tcPr>
          <w:p>
            <w:r>
              <w:rPr>
                <w:sz w:val="17"/>
              </w:rPr>
              <w:t>17,901</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14,204</w:t>
            </w:r>
          </w:p>
        </w:tc>
        <w:tc>
          <w:tcPr>
            <w:tcW w:type="dxa" w:w="1440"/>
            <w:shd w:fill="FAFAFA" w:val="clear"/>
          </w:tcPr>
          <w:p>
            <w:r>
              <w:rPr>
                <w:b/>
                <w:sz w:val="17"/>
              </w:rPr>
              <w:t>16,105</w:t>
            </w:r>
          </w:p>
        </w:tc>
        <w:tc>
          <w:tcPr>
            <w:tcW w:type="dxa" w:w="1440"/>
            <w:shd w:fill="FAFAFA" w:val="clear"/>
          </w:tcPr>
          <w:p>
            <w:r>
              <w:rPr>
                <w:sz w:val="17"/>
              </w:rPr>
              <w:t>18,005</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14,044</w:t>
            </w:r>
          </w:p>
        </w:tc>
        <w:tc>
          <w:tcPr>
            <w:tcW w:type="dxa" w:w="1440"/>
            <w:shd w:fill="FFDCE0" w:val="clear"/>
          </w:tcPr>
          <w:p>
            <w:r>
              <w:rPr>
                <w:b/>
                <w:sz w:val="17"/>
              </w:rPr>
              <w:t>16,072</w:t>
            </w:r>
          </w:p>
        </w:tc>
        <w:tc>
          <w:tcPr>
            <w:tcW w:type="dxa" w:w="1440"/>
            <w:shd w:fill="FFDCE0" w:val="clear"/>
          </w:tcPr>
          <w:p>
            <w:r>
              <w:rPr>
                <w:sz w:val="17"/>
              </w:rPr>
              <w:t>18,100</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13,894</w:t>
            </w:r>
          </w:p>
        </w:tc>
        <w:tc>
          <w:tcPr>
            <w:tcW w:type="dxa" w:w="1440"/>
            <w:shd w:fill="FFDCE0" w:val="clear"/>
          </w:tcPr>
          <w:p>
            <w:r>
              <w:rPr>
                <w:b/>
                <w:sz w:val="17"/>
              </w:rPr>
              <w:t>16,040</w:t>
            </w:r>
          </w:p>
        </w:tc>
        <w:tc>
          <w:tcPr>
            <w:tcW w:type="dxa" w:w="1440"/>
            <w:shd w:fill="FFDCE0" w:val="clear"/>
          </w:tcPr>
          <w:p>
            <w:r>
              <w:rPr>
                <w:sz w:val="17"/>
              </w:rPr>
              <w:t>18,186</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13,750</w:t>
            </w:r>
          </w:p>
        </w:tc>
        <w:tc>
          <w:tcPr>
            <w:tcW w:type="dxa" w:w="1440"/>
            <w:shd w:fill="FFDCE0" w:val="clear"/>
          </w:tcPr>
          <w:p>
            <w:r>
              <w:rPr>
                <w:b/>
                <w:sz w:val="17"/>
              </w:rPr>
              <w:t>16,008</w:t>
            </w:r>
          </w:p>
        </w:tc>
        <w:tc>
          <w:tcPr>
            <w:tcW w:type="dxa" w:w="1440"/>
            <w:shd w:fill="FFDCE0" w:val="clear"/>
          </w:tcPr>
          <w:p>
            <w:r>
              <w:rPr>
                <w:sz w:val="17"/>
              </w:rPr>
              <w:t>18,266</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non bancaire (Bitumes)**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127,92 Mds FCFA, SMBC se positionne comme une valeur de taille intermédiaire sur la BRVM, représentative d'une entreprise industrielle intégrée à la chaîne pétrolière régionale. Le BPA de 1 677 FCFA/action signifie que chaque titre génère près de 1 677 FCFA de bénéfice net, ce qui, rapporté au cours actuel de 16 410 FCFA, donne un PER de 9,8x — légèrement inférieur à la moyenne BRVM (~8-12x), suggérant une valorisation raisonnable voire légèrement sous-évaluée au regard des bénéfices. Le P/B de 2,98x indique que le marché valorise SMBC à près de trois fois sa valeur comptable (capitaux propres de 42,9 Mds FCFA), une prime de croissance justifiée par un ROE exceptionnel de 30,5%. Enfin, l'EV/EBITDA de 6,1x traduit une valorisation modérée de la capacité opérationnelle, cohérente avec la fourchette sectorielle de 5-10x, et confirme que le titre n'est pas surévalué malgré sa récente progression.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affiche une performance remarquable de **+36,81%**, bien que la dernière séance (J-1) marque un léger repli de -0,55%, signalant une possible prise de bénéfices après un rallye soutenu. Le cours a évolué dans un range large de 11 995 FCFA (plus bas) à 18 500 FCFA (plus haut), soit une amplitude de plus de 54%, avant de se stabiliser à 16 410 FCFA — à mi-chemin entre ces extrêmes. La tendance générale reste haussière sur la période, portée par l'amélioration spectaculaire des fondamentaux (résultat net +50,3% en 2025). Les statistiques descriptives révèlent une moyenne (15 936 FCFA) légèrement inférieure à la médiane (16 405 FCFA), confirmant une asymétrie négative (skewness de -0,914) : le titre a passé plus de temps au-dessus de sa moyenne, avec quelques journées de forte baisse qui tirent la moyenne vers le bas. L'écart-type de 1 627 FCFA (CV de 10,2%) indique une dispersion modérée, tandis que le kurtosis de -0,059 (mésokurtique) suggère une distribution proche de la normale, sans risque excessif de pics extrêmes. La volatilité annualisée de 41,9% classe SMBC parmi les titres à volatilité élevée (&gt;30%), ce qui implique un risque de marché significatif mais compensé par le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La MM20 (16 975,75 FCFA) et la MM50 (16 682,40 FCFA) se situent toutes deux au-dessus du cours actuel (16 410 FCFA), ce qui place le titre en position baissière à court terme. Cependant, la MM20 reste supérieure à la MM50, conservant une structure haussière de fond. La décision fournie est "Achat", suggérant que le repli actuel pourrait constituer une opportunité d'entrée sur support.</w:t>
      </w:r>
    </w:p>
    <w:p>
      <w:pPr>
        <w:spacing w:after="120" w:line="276" w:lineRule="auto"/>
      </w:pPr>
      <w:r>
        <w:t>**Bandes de Bollinger** : Le cours (16 410 FCFA) évolue dans la partie basse de la bande, entre la borne inférieure (14 694,46 FCFA) et la borne supérieure (19 257,05 FCFA). Cette position médiane-basse indique une absence de pression acheteuse immédiate, mais aussi un potentiel de rebond vers la moyenne. La décision "Neutre" reflète cette configuration équilibrée, sans signal directionnel fort.</w:t>
      </w:r>
    </w:p>
    <w:p>
      <w:pPr>
        <w:spacing w:after="120" w:line="276" w:lineRule="auto"/>
      </w:pPr>
      <w:r>
        <w:t>**MACD** : La valeur du MACD (-250,80) est inférieure à son signal (-174,20), confirmant un momentum baissier à court terme. La décision "Vente" suggère que la dynamique négative pourrait se poursuivre, bien que l'écart entre les deux lignes reste modéré, n'excluant pas un retournement rapide.</w:t>
      </w:r>
    </w:p>
    <w:p>
      <w:pPr>
        <w:spacing w:after="120" w:line="276" w:lineRule="auto"/>
      </w:pPr>
      <w:r>
        <w:t>**RSI** : À 33,79, le RSI se situe dans la zone neutre basse, proche du seuil de survente (30). La décision "Neutre" indique que le titre n'est ni suracheté ni survendu, mais la proximité de la survente pourrait attirer des acheteurs à contre-tendance.</w:t>
      </w:r>
    </w:p>
    <w:p>
      <w:pPr>
        <w:spacing w:after="120" w:line="276" w:lineRule="auto"/>
      </w:pPr>
      <w:r>
        <w:t>**Stochastique** : Le %K (45,09) et le %D (46,60) évoluent en zone neutre, sans croisement significatif. La décision "Neutre" confirme l'absence de signal fort, le titre évoluant dans une phase de consolidation.</w:t>
      </w:r>
    </w:p>
    <w:p>
      <w:pPr>
        <w:spacing w:after="120" w:line="276" w:lineRule="auto"/>
      </w:pPr>
      <w:r>
        <w:t>**Conclusion technique** : Les indicateurs techniques sont majoritairement neutres à baissiers à court terme (MACD vendeur, cours sous les MM), mais le RSI proche de la survente et la position basse dans les Bandes de Bollinger suggèrent un potentiel de rebond. La convergence des signaux "Neutre" pour le RSI, le Stochastique et les Bollinger indique une phase de consolidation, tandis que la décision "Achat" sur les MM20/MM50 maintient une perspective haussière de moyen terme. Le titre pourrait connaître une correction avant de reprendre sa tendance haussière.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SMBC affiche un chiffre d'affaires de 206,74 Mds FCFA, en baisse de -9,74% par rapport à 2024 (229,06 Mds FCFA), reflétant un environnement de marché difficile. Cependant, le résultat net progresse spectaculairement de +50,3% à 13,08 Mds FCFA, porté par une amélioration de la marge nette (6,32% contre 3,8% en 2024) et un EBE en hausse de +41,8% à 18,48 Mds FCFA. Le ROE atteint 30,47% (excellent, &gt;15%) et le ROA 7,26%, confirmant une rentabilité capitalistique solide. La structure financière reste saine avec des capitaux propres de 42,91 Mds FCFA (+21,6%) et une trésorerie nette positive de 23,99 Mds FCFA. Le BFR est maîtrisé à 1,69 Md FCFA, bien que les délais clients (193,75 jours) et fournisseurs (207,07 jours) soient élevés, caractéristiques d'un secteur à cycle long. L'endettement financier (9,20 Mds FCFA) reste modéré avec une capacité de remboursement de 0,68 an et une couverture des intérêts de 483,4%.</w:t>
      </w:r>
    </w:p>
    <w:p>
      <w:pPr>
        <w:spacing w:after="120" w:line="276" w:lineRule="auto"/>
      </w:pPr>
      <w:r>
        <w:t>**Estimations basées sur les rapports trimestriels** : Le rapport T1 2025 (publié le 31/03/2025) indiquait un CA de 54,8 Mds FCFA (-22%) et un résultat net de 2,7 Mds FCFA (-7%), avec une marge nette en amélioration à 5,0%. Le rapport S1 2025 (30/06/2025) confirmait cette tendance avec un CA de 101,9 Mds FCFA (-23%) et un résultat net de 3,9 Mds FCFA (-7%), mais une marge nette de 3,9%. Le rapport 9M 2025 (30/09/2025) montrait un CA de 155,2 Mds FCFA (-14%) et un résultat net de 5,7 Mds FCFA (+6%), avec une marge opérationnelle de 5,4%. **On estime donc que l'exercice 2025 devrait clôturer avec un résultat net autour de 13,1 Mds FCFA**, confirmant la forte accélération de la rentabilité au second semestre, portée par l'amélioration des marges de raffinage et la reprise des ventes à l'export (Nigeria, Ghana, Burkina Faso, Mali).</w:t>
      </w:r>
    </w:p>
    <w:p>
      <w:pPr>
        <w:spacing w:after="120" w:line="276" w:lineRule="auto"/>
      </w:pPr>
      <w:r>
        <w:t>**Évolution pluriannuelle** : Entre 2023 et 2025, SMBC a connu une volatilité importante de ses résultats (résultat net de 17,3 Mds FCFA en 2023, 8,7 Mds en 2024, 13,1 Mds en 2025), reflétant sa sensibilité aux cours du pétrole et aux cycles d'investissement public. La politique de dividende, avec un payout ratio de 41,7% en 2025 (5 457 M FCFA versés), est prudente et soutenable, contrastant avec le taux de 107,5% de 2024.</w:t>
      </w:r>
    </w:p>
    <w:p>
      <w:pPr>
        <w:spacing w:after="120" w:line="276" w:lineRule="auto"/>
      </w:pPr>
      <w:r>
        <w:t>**Recommandation fondamentale** : SMBC présente une solidité financière renforcée (capitaux propres en hausse, trésorerie positive, endettement maîtrisé) et une rentabilité exceptionnelle (ROE de 30,5%). Les risques principaux restent la dépendance aux prix du bitume et la baisse structurelle du CA (-9,7% en 2025), mais les perspectives sont positives grâce aux chantiers routiers en Côte d'Ivoire et à la demande régionale. La recommandation fondamentale est **ACHAT**, avec un potentiel de revalorisation si la croissance du CA reprend en 2026.</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apparaît raisonnable avec un PER de 9,8x (légèrement sous la moyenne BRVM) et un EV/EBITDA de 6,1x, suggérant une sous-évaluation modérée malgré la prime de croissance (P/B de 2,98x). Le comportement du cours (Partie 1) est haussier sur 100 jours (+36,81%), avec une volatilité élevée (41,9%) mais une distribution proche de la normale (kurtosis -0,059) et une asymétrie négative (skewness -0,914) indiquant que le titre a plus souvent évolué au-dessus de sa moyenne. Les signaux techniques (Partie 2) sont mitigés : neutres à baissiers à court terme (MACD vendeur, cours sous les MM), mais avec un potentiel de rebond (RSI proche de la survente, position basse dans les Bollinger). Les fondamentaux (Partie 3) sont solides : résultat net en hausse de +50,3% en 2025, ROE de 30,5%, trésorerie nette positive de 24 Mds FCFA, et perspectives favorables malgré la baisse du CA. Les prédictions IA (J+1 à J+10) anticipent une légère baisse vers 16 138 FCFA d'ici le 09/10/2026, confirmant la phase de consolidation technique à court terme.</w:t>
      </w:r>
    </w:p>
    <w:p>
      <w:pPr>
        <w:spacing w:after="120" w:line="276" w:lineRule="auto"/>
      </w:pPr>
      <w:r>
        <w:t>**Recommandation finale** : **CONSERVER** (avec biais haussier). La convergence entre une valorisation attractive, des fondamentaux solides et des perspectives positives est tempérée par des signaux techniques baissiers à court terme et une prédiction IA légèrement négative. Le titre offre un bon potentiel de moyen terme, mais une correction à court terme est possible avant une reprise. **Niveau de confiance : Moyen** (les fondamentaux sont solides, mais l'incertitude sur les prix du pétrole et la baisse du CA pèsent). **Niveau de risque : Moyen à Élevé** (volatilité de 41,9%, dépendance aux matières premières). **Horizon d'investissement optimal : Moyen terme (3-12 mois)**, en attendant la confirmation de la reprise du CA et l'annonce de nouveaux contrats d'infrastructures. Un passage à **ACHAT** serait justifié si le cours se stabilise au-dessus de 16 500 FCFA (MM20) et si le MACD croise à la hausse.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4500.00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12,724 titres</w:t>
            </w:r>
          </w:p>
        </w:tc>
        <w:tc>
          <w:tcPr>
            <w:tcW w:type="dxa" w:w="2268"/>
            <w:shd w:fill="FFF2CC" w:val="clear"/>
          </w:tcPr>
          <w:p>
            <w:r>
              <w:rPr>
                <w:b/>
                <w:color w:val="503200"/>
                <w:sz w:val="16"/>
              </w:rPr>
              <w:t xml:space="preserve">Cours actuel : </w:t>
            </w:r>
            <w:r>
              <w:rPr>
                <w:color w:val="000000"/>
                <w:sz w:val="17"/>
              </w:rPr>
              <w:t>45,000 FCFA</w:t>
            </w:r>
          </w:p>
          <w:p>
            <w:r>
              <w:rPr>
                <w:b/>
                <w:color w:val="503200"/>
                <w:sz w:val="16"/>
              </w:rPr>
              <w:t xml:space="preserve">Var. 100 jours : </w:t>
            </w:r>
            <w:r>
              <w:rPr>
                <w:b/>
                <w:color w:val="007800"/>
                <w:sz w:val="17"/>
              </w:rPr>
              <w:t>+55.71%</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14.59% (Moyenne) — μ=32,760 FCFA, σ=4,781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β=1.2749 (Agressif) — Cov=0.000086, Var(idx)=0.000068, ρ=0.500,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12,724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2026-10-05</w:t>
            </w:r>
          </w:p>
        </w:tc>
        <w:tc>
          <w:tcPr>
            <w:tcW w:type="dxa" w:w="1440"/>
            <w:shd w:fill="FFDCE0" w:val="clear"/>
          </w:tcPr>
          <w:p>
            <w:r>
              <w:rPr>
                <w:sz w:val="17"/>
              </w:rPr>
              <w:t>41,057</w:t>
            </w:r>
          </w:p>
        </w:tc>
        <w:tc>
          <w:tcPr>
            <w:tcW w:type="dxa" w:w="1440"/>
            <w:shd w:fill="FFDCE0" w:val="clear"/>
          </w:tcPr>
          <w:p>
            <w:r>
              <w:rPr>
                <w:b/>
                <w:sz w:val="17"/>
              </w:rPr>
              <w:t>43,588</w:t>
            </w:r>
          </w:p>
        </w:tc>
        <w:tc>
          <w:tcPr>
            <w:tcW w:type="dxa" w:w="1440"/>
            <w:shd w:fill="FFDCE0" w:val="clear"/>
          </w:tcPr>
          <w:p>
            <w:r>
              <w:rPr>
                <w:sz w:val="17"/>
              </w:rPr>
              <w:t>46,119</w:t>
            </w:r>
          </w:p>
        </w:tc>
        <w:tc>
          <w:tcPr>
            <w:tcW w:type="dxa" w:w="1440"/>
            <w:shd w:fill="FFDCE0" w:val="clear"/>
          </w:tcPr>
          <w:p>
            <w:r>
              <w:rPr>
                <w:b/>
                <w:color w:val="C00000"/>
                <w:sz w:val="17"/>
              </w:rPr>
              <w:t>-3.1%</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40,442</w:t>
            </w:r>
          </w:p>
        </w:tc>
        <w:tc>
          <w:tcPr>
            <w:tcW w:type="dxa" w:w="1440"/>
            <w:shd w:fill="FFDCE0" w:val="clear"/>
          </w:tcPr>
          <w:p>
            <w:r>
              <w:rPr>
                <w:b/>
                <w:sz w:val="17"/>
              </w:rPr>
              <w:t>43,539</w:t>
            </w:r>
          </w:p>
        </w:tc>
        <w:tc>
          <w:tcPr>
            <w:tcW w:type="dxa" w:w="1440"/>
            <w:shd w:fill="FFDCE0" w:val="clear"/>
          </w:tcPr>
          <w:p>
            <w:r>
              <w:rPr>
                <w:sz w:val="17"/>
              </w:rPr>
              <w:t>46,636</w:t>
            </w:r>
          </w:p>
        </w:tc>
        <w:tc>
          <w:tcPr>
            <w:tcW w:type="dxa" w:w="1440"/>
            <w:shd w:fill="FFDCE0" w:val="clear"/>
          </w:tcPr>
          <w:p>
            <w:r>
              <w:rPr>
                <w:b/>
                <w:color w:val="C00000"/>
                <w:sz w:val="17"/>
              </w:rPr>
              <w:t>-3.2%</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39,935</w:t>
            </w:r>
          </w:p>
        </w:tc>
        <w:tc>
          <w:tcPr>
            <w:tcW w:type="dxa" w:w="1440"/>
            <w:shd w:fill="FFDCE0" w:val="clear"/>
          </w:tcPr>
          <w:p>
            <w:r>
              <w:rPr>
                <w:b/>
                <w:sz w:val="17"/>
              </w:rPr>
              <w:t>43,509</w:t>
            </w:r>
          </w:p>
        </w:tc>
        <w:tc>
          <w:tcPr>
            <w:tcW w:type="dxa" w:w="1440"/>
            <w:shd w:fill="FFDCE0" w:val="clear"/>
          </w:tcPr>
          <w:p>
            <w:r>
              <w:rPr>
                <w:sz w:val="17"/>
              </w:rPr>
              <w:t>47,082</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39,509</w:t>
            </w:r>
          </w:p>
        </w:tc>
        <w:tc>
          <w:tcPr>
            <w:tcW w:type="dxa" w:w="1440"/>
            <w:shd w:fill="FFDCE0" w:val="clear"/>
          </w:tcPr>
          <w:p>
            <w:r>
              <w:rPr>
                <w:b/>
                <w:sz w:val="17"/>
              </w:rPr>
              <w:t>43,504</w:t>
            </w:r>
          </w:p>
        </w:tc>
        <w:tc>
          <w:tcPr>
            <w:tcW w:type="dxa" w:w="1440"/>
            <w:shd w:fill="FFDCE0" w:val="clear"/>
          </w:tcPr>
          <w:p>
            <w:r>
              <w:rPr>
                <w:sz w:val="17"/>
              </w:rPr>
              <w:t>47,498</w:t>
            </w:r>
          </w:p>
        </w:tc>
        <w:tc>
          <w:tcPr>
            <w:tcW w:type="dxa" w:w="1440"/>
            <w:shd w:fill="FFDCE0" w:val="clear"/>
          </w:tcPr>
          <w:p>
            <w:r>
              <w:rPr>
                <w:b/>
                <w:color w:val="C00000"/>
                <w:sz w:val="17"/>
              </w:rPr>
              <w:t>-3.3%</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39,136</w:t>
            </w:r>
          </w:p>
        </w:tc>
        <w:tc>
          <w:tcPr>
            <w:tcW w:type="dxa" w:w="1440"/>
            <w:shd w:fill="FFDCE0" w:val="clear"/>
          </w:tcPr>
          <w:p>
            <w:r>
              <w:rPr>
                <w:b/>
                <w:sz w:val="17"/>
              </w:rPr>
              <w:t>43,512</w:t>
            </w:r>
          </w:p>
        </w:tc>
        <w:tc>
          <w:tcPr>
            <w:tcW w:type="dxa" w:w="1440"/>
            <w:shd w:fill="FFDCE0" w:val="clear"/>
          </w:tcPr>
          <w:p>
            <w:r>
              <w:rPr>
                <w:sz w:val="17"/>
              </w:rPr>
              <w:t>47,889</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38,797</w:t>
            </w:r>
          </w:p>
        </w:tc>
        <w:tc>
          <w:tcPr>
            <w:tcW w:type="dxa" w:w="1440"/>
            <w:shd w:fill="FFDCE0" w:val="clear"/>
          </w:tcPr>
          <w:p>
            <w:r>
              <w:rPr>
                <w:b/>
                <w:sz w:val="17"/>
              </w:rPr>
              <w:t>43,526</w:t>
            </w:r>
          </w:p>
        </w:tc>
        <w:tc>
          <w:tcPr>
            <w:tcW w:type="dxa" w:w="1440"/>
            <w:shd w:fill="FFDCE0" w:val="clear"/>
          </w:tcPr>
          <w:p>
            <w:r>
              <w:rPr>
                <w:sz w:val="17"/>
              </w:rPr>
              <w:t>48,255</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38,485</w:t>
            </w:r>
          </w:p>
        </w:tc>
        <w:tc>
          <w:tcPr>
            <w:tcW w:type="dxa" w:w="1440"/>
            <w:shd w:fill="FFDCE0" w:val="clear"/>
          </w:tcPr>
          <w:p>
            <w:r>
              <w:rPr>
                <w:b/>
                <w:sz w:val="17"/>
              </w:rPr>
              <w:t>43,542</w:t>
            </w:r>
          </w:p>
        </w:tc>
        <w:tc>
          <w:tcPr>
            <w:tcW w:type="dxa" w:w="1440"/>
            <w:shd w:fill="FFDCE0" w:val="clear"/>
          </w:tcPr>
          <w:p>
            <w:r>
              <w:rPr>
                <w:sz w:val="17"/>
              </w:rPr>
              <w:t>48,599</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38,192</w:t>
            </w:r>
          </w:p>
        </w:tc>
        <w:tc>
          <w:tcPr>
            <w:tcW w:type="dxa" w:w="1440"/>
            <w:shd w:fill="FFDCE0" w:val="clear"/>
          </w:tcPr>
          <w:p>
            <w:r>
              <w:rPr>
                <w:b/>
                <w:sz w:val="17"/>
              </w:rPr>
              <w:t>43,558</w:t>
            </w:r>
          </w:p>
        </w:tc>
        <w:tc>
          <w:tcPr>
            <w:tcW w:type="dxa" w:w="1440"/>
            <w:shd w:fill="FFDCE0" w:val="clear"/>
          </w:tcPr>
          <w:p>
            <w:r>
              <w:rPr>
                <w:sz w:val="17"/>
              </w:rPr>
              <w:t>48,924</w:t>
            </w:r>
          </w:p>
        </w:tc>
        <w:tc>
          <w:tcPr>
            <w:tcW w:type="dxa" w:w="1440"/>
            <w:shd w:fill="FFDCE0" w:val="clear"/>
          </w:tcPr>
          <w:p>
            <w:r>
              <w:rPr>
                <w:b/>
                <w:color w:val="C00000"/>
                <w:sz w:val="17"/>
              </w:rPr>
              <w:t>-3.2%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37,915</w:t>
            </w:r>
          </w:p>
        </w:tc>
        <w:tc>
          <w:tcPr>
            <w:tcW w:type="dxa" w:w="1440"/>
            <w:shd w:fill="FFDCE0" w:val="clear"/>
          </w:tcPr>
          <w:p>
            <w:r>
              <w:rPr>
                <w:b/>
                <w:sz w:val="17"/>
              </w:rPr>
              <w:t>43,573</w:t>
            </w:r>
          </w:p>
        </w:tc>
        <w:tc>
          <w:tcPr>
            <w:tcW w:type="dxa" w:w="1440"/>
            <w:shd w:fill="FFDCE0" w:val="clear"/>
          </w:tcPr>
          <w:p>
            <w:r>
              <w:rPr>
                <w:sz w:val="17"/>
              </w:rPr>
              <w:t>49,231</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SONATEL (SNTS)**</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4 500 milliards FCFA, Sonatel demeure l'une des plus importantes capitalisations de la BRVM, ce qui en fait un poids lourd de l'indice BRVM Composite et un titre de référence pour les investisseurs institutionnels de la zone UEMOA. Le BPA de 4 136 FCFA par action signifie que chaque titre génère près de 4 136 FCFA de bénéfice net, un niveau élevé qui traduit la forte rentabilité de l'opérateur télécoms. Le PER de 10,9x se situe dans la fourchette moyenne du marché BRVM (8-12x), indiquant une valorisation raisonnable, sans prime excessive ni décote marquée par rapport aux bénéfices. Le P/B de 3,22x montre que le marché valorise le titre à plus de trois fois sa valeur comptable, ce qui traduit une prime de croissance justifiée par la qualité des actifs immatériels (licences, réseaux, base clients) et la rentabilité des fonds propres (ROE de 29,6%). Enfin, l'EV/EBITDA de 4,7x, inférieur au seuil de 5x, signale que la valeur d'entreprise reste très abordable au regard de la capacité opérationnelle de génération de cash-flow, ce qui constitue un signal de sous-évaluation relative sur ce critère.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SNTS a enregistré une progression spectaculaire de +55,71%, passant d'un plus bas de 27 160 FCFA à un plus haut de 45 000 FCFA, niveau auquel il cote actuellement, avec une variation nulle lors de la dernière séance (J-1 : +0,00%), signe d'une pause dans la dynamique haussière. Le range de trading de 17 840 FCFA (soit près de 66% d'amplitude) témoigne d'une tendance nettement haussière, portée par des fondamentaux solides et un intérêt croissant des investisseurs. Les statistiques descriptives révèlent une moyenne de 32 760 FCFA supérieure à la médiane de 31 002 FCFA, avec un mode à 31 000 FCFA : cet écart entre moyenne et médiane, combiné à un skewness positif de 0,966, indique une asymétrie positive avec davantage de journées de cotation sous la moyenne, le cours ayant progressé par à-coups vers le haut. L'écart-type de 4 805 FCFA (CV de 14,7%) traduit une dispersion modérée du cours autour de sa moyenne, tandis que le kurtosis de -0,317 (mésokurtique) suggère une distribution proche de la normale, sans risque excessif de pics extrêmes. La volatilité annualisée de 33,3% positionne le titre dans la catégorie des valeurs à volatilité élevée (&gt;30%), ce qui implique un potentiel de gain attractif mais aussi un risque de correction significatif, particulièrement après une hausse aussi rapide.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40 878,75 FCFA et la MM50 à 36 272,2 FCFA, toutes deux nettement inférieures au cours actuel de 45 000 FCFA. Cette configuration en « golden cross » (MM20 &gt; MM50) avec un cours surplombant les deux moyennes confirme une tendance haussière robuste et justifie la décision d'achat. Toutefois, l'écart important entre le cours et la MM20 (+10,1%) suggère une extension potentielle à court terme.</w:t>
      </w:r>
    </w:p>
    <w:p>
      <w:pPr>
        <w:spacing w:after="120" w:line="276" w:lineRule="auto"/>
      </w:pPr>
      <w:r>
        <w:t>**Bandes de Bollinger** : Le cours (45 000 FCFA) évolue pratiquement au niveau de la borne supérieure (45 152,79 FCFA), tandis que la borne inférieure se situe à 36 604,71 FCFA. Cette position haute indique que le titre est en zone de surachat technique, avec une volatilité élevée, ce qui justifie la décision neutre : le potentiel de hausse immédiat est limité et un retour vers la moyenne (autour de 40 878 FCFA) n'est pas à exclure.</w:t>
      </w:r>
    </w:p>
    <w:p>
      <w:pPr>
        <w:spacing w:after="120" w:line="276" w:lineRule="auto"/>
      </w:pPr>
      <w:r>
        <w:t>**MACD** : La valeur du MACD (2 245,688) est supérieure à son signal (2 030,236), avec un histogramme positif, confirmant un momentum haussier toujours en place. La décision d'achat est validée par cette configuration, bien que l'écart entre les deux lignes se réduise, suggérant un essoufflement progressif de la dynamique.</w:t>
      </w:r>
    </w:p>
    <w:p>
      <w:pPr>
        <w:spacing w:after="120" w:line="276" w:lineRule="auto"/>
      </w:pPr>
      <w:r>
        <w:t>**RSI** : À 81,543, le RSI se situe largement au-dessus du seuil de surachat de 70, ce qui déclenche une décision de vente. Ce niveau extrême indique que le titre a été acheté de manière excessive à court terme et qu'une correction ou une consolidation est probable avant toute nouvelle progression.</w:t>
      </w:r>
    </w:p>
    <w:p>
      <w:pPr>
        <w:spacing w:after="120" w:line="276" w:lineRule="auto"/>
      </w:pPr>
      <w:r>
        <w:t>**Stochastique** : Le %K (100,0) et le %D (99,96) sont tous deux en zone de surachat extrême, avec un croisement imminent à la baisse. La décision de vente est justifiée par cette configuration, qui signale que la pression acheteuse est à son paroxysme et qu'un retournement à court terme est probable.</w:t>
      </w:r>
    </w:p>
    <w:p>
      <w:pPr>
        <w:spacing w:after="120" w:line="276" w:lineRule="auto"/>
      </w:pPr>
      <w:r>
        <w:t>**Conclusion technique** : Les indicateurs de tendance (MM, MACD) restent haussiers et confirment la solidité du mouvement de fond, mais les oscillateurs (RSI, Stochastique) affichent des signaux de surachat extrême qui plaident pour une prise de bénéfices ou une attente avant tout nouvel achat. La divergence entre tendance et momentum suggère une phase de consolidation imminente, avec un support potentiel autour de la MM20 (40 878 FCFA) et une résistance majeure à 45 152 FCFA (borne supérieure de Bollinger).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Sonatel a réalisé un chiffre d'affaires consolidé de 1 923,122 milliards FCFA, en progression de +8,3% par rapport à 2024, porté par la Data mobile (+8,6% de clients), le haut débit fixe (+26,2%) et Orange Money (+2,8% de clients). Le résultat net s'établit à 413,588 milliards FCFA, en hausse de +5,1%, avec une marge nette de 21,5% et une marge opérationnelle de 34,8%. La rentabilité des fonds propres (ROE) atteint 29,56%, un niveau excellent (&gt;15%), tandis que le ROA de 12,65% confirme l'efficacité dans l'utilisation des actifs. La structure financière est saine : l'autonomie financière de 42,79% (&gt;30%) et la solvabilité générale de 174,79% (&gt;1) témoignent d'une bonne capitalisation, tandis que le ratio d'endettement de 57,21% reste maîtrisé. En tant qu'entreprise non bancaire, l'analyse des délais d'exploitation est cruciale : le délai clients de 46,16 jours est modéré, le délai fournisseurs de 201,39 jours est très favorable à la trésorerie, et la durée de stockage de 14,49 jours est faible. Le BFR est négatif à -284,906 milliards FCFA, ce qui constitue un point fort majeur : l'entreprise finance son cycle d'exploitation par ses fournisseurs et génère de la trésorerie. La trésorerie nette de 536,105 milliards FCFA et le Free Cash Flow de 408,087 milliards FCFA confirment la solidité financière. Les rapports trimestriels récents (S1 2026, publié le 27/07/2026) montrent une accélération : le CA progresse de +9,3% à 1 049,8 milliards FCFA et le résultat net de +10,5% à 230 milliards FCFA, avec une marge EBITDAAL de 48,7%. Sur cette base, on peut estimer que l'exercice 2026 devrait enregistrer une croissance du CA d'environ 9% (soit ~2 096 milliards FCFA) et un résultat net d'environ 430-440 milliards FCFA, soutenu par la fibre (+23% de clients), la 4G (+19,5%) et l'obtention de licences 5G en Guinée-Bissau et Sierra Leone. Le dividende proposé de 1 933 FCFA brut (1 740 FCFA net) offre un rendement attractif de 3,87% au cours actuel de 45 000 FCFA. Les risques identifiés incluent la pression fiscale et réglementaire croissante, l'intensification concurrentielle (notamment sur Orange Money) et l'instabilité géopolitique dans certains pays de présence (Mali, Guinée-Bissau). Néanmoins, la notation AAA (wu) relevée par GCR Ratings en 2026 confirme la solidité exceptionnelle du modèle.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Sonatel apparaît raisonnable à modérément attractive : le PER de 10,9x est dans la moyenne du marché, le P/B de 3,22x traduit une prime de croissance justifiée, et l'EV/EBITDA de 4,7x signale une sous-évaluation relative sur la capacité opérationnelle. Le comportement du cours sur 100 jours est nettement haussier (+55,71%), avec une volatilité élevée (33,3%) et une asymétrie positive (skewness de 0,966) qui indique une tendance à la hausse malgré des journées de consolidation ; le kurtosis proche de la normale (-0,317) suggère l'absence de risque extrême. Les signaux techniques sont mitigés : les moyennes mobiles et le MACD confirment la tendance haussière, mais le RSI (81,5) et le stochastique (100,0) affichent un surachat extrême qui plaide pour une consolidation à court terme. Les fondamentaux sont excellents : croissance du CA (+8,3% en 2025, +9,3% au S1 2026), rentabilité élevée (ROE de 29,6%, marge nette de 21,5%), structure financière saine (autonomie financière de 42,8%, BFR négatif de -284,9 milliards FCFA) et dividende attractif (rendement de 3,87%). Les prédictions IA pour les 10 prochains jours (43 504-43 588 FCFA) suggèrent une légère correction de -3,1% à -3,3% par rapport au cours actuel, ce qui est cohérent avec les signaux de surachat technique et confirme la probabilité d'une consolidation à court terme. Sur la base de cette synthèse, la recommandation finale est **CONSERVER** : la convergence entre fondamentaux solides, valorisation raisonnable et tendance de fond haussière justifie le maintien en portefeuille, mais le surachat technique extrême et les prédictions de correction à court terme déconseillent un achat immédiat. Le niveau de confiance est **Moyen** (les fondamentaux sont solides mais les signaux techniques à court terme sont contradictoires), le niveau de risque global est **Moyen** (volatilité élevée mais fondamentaux robustes), et l'horizon d'investissement optimal est le **moyen terme (3-12 mois)** , avec un point d'entrée idéal autour de 40 000-41 000 FCFA (niveau de la MM20) pour profiter de la tendance haussière de fond tout en évitant le risque de correction à court terme.</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171.52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5,295 titres</w:t>
            </w:r>
          </w:p>
        </w:tc>
        <w:tc>
          <w:tcPr>
            <w:tcW w:type="dxa" w:w="2268"/>
            <w:shd w:fill="FFF2CC" w:val="clear"/>
          </w:tcPr>
          <w:p>
            <w:r>
              <w:rPr>
                <w:b/>
                <w:color w:val="503200"/>
                <w:sz w:val="16"/>
              </w:rPr>
              <w:t xml:space="preserve">Cours actuel : </w:t>
            </w:r>
            <w:r>
              <w:rPr>
                <w:color w:val="000000"/>
                <w:sz w:val="17"/>
              </w:rPr>
              <w:t>7,940 FCFA</w:t>
            </w:r>
          </w:p>
          <w:p>
            <w:r>
              <w:rPr>
                <w:b/>
                <w:color w:val="503200"/>
                <w:sz w:val="16"/>
              </w:rPr>
              <w:t xml:space="preserve">Var. 100 jours : </w:t>
            </w:r>
            <w:r>
              <w:rPr>
                <w:b/>
                <w:color w:val="007800"/>
                <w:sz w:val="17"/>
              </w:rPr>
              <w:t>+7.44%</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4.61% (Faible) — μ=8,068 FCFA, σ=372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β=0.9403 (Neutre (suit le marché)) — Cov=0.000064, Var(idx)=0.000068, ρ=0.295,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5,295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7,347</w:t>
            </w:r>
          </w:p>
        </w:tc>
        <w:tc>
          <w:tcPr>
            <w:tcW w:type="dxa" w:w="1440"/>
            <w:shd w:fill="FAFAFA" w:val="clear"/>
          </w:tcPr>
          <w:p>
            <w:r>
              <w:rPr>
                <w:b/>
                <w:sz w:val="17"/>
              </w:rPr>
              <w:t>7,886</w:t>
            </w:r>
          </w:p>
        </w:tc>
        <w:tc>
          <w:tcPr>
            <w:tcW w:type="dxa" w:w="1440"/>
            <w:shd w:fill="FAFAFA" w:val="clear"/>
          </w:tcPr>
          <w:p>
            <w:r>
              <w:rPr>
                <w:sz w:val="17"/>
              </w:rPr>
              <w:t>8,425</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7,203</w:t>
            </w:r>
          </w:p>
        </w:tc>
        <w:tc>
          <w:tcPr>
            <w:tcW w:type="dxa" w:w="1440"/>
            <w:shd w:fill="FAFAFA" w:val="clear"/>
          </w:tcPr>
          <w:p>
            <w:r>
              <w:rPr>
                <w:b/>
                <w:sz w:val="17"/>
              </w:rPr>
              <w:t>7,861</w:t>
            </w:r>
          </w:p>
        </w:tc>
        <w:tc>
          <w:tcPr>
            <w:tcW w:type="dxa" w:w="1440"/>
            <w:shd w:fill="FAFAFA" w:val="clear"/>
          </w:tcPr>
          <w:p>
            <w:r>
              <w:rPr>
                <w:sz w:val="17"/>
              </w:rPr>
              <w:t>8,519</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7,080</w:t>
            </w:r>
          </w:p>
        </w:tc>
        <w:tc>
          <w:tcPr>
            <w:tcW w:type="dxa" w:w="1440"/>
            <w:shd w:fill="FAFAFA" w:val="clear"/>
          </w:tcPr>
          <w:p>
            <w:r>
              <w:rPr>
                <w:b/>
                <w:sz w:val="17"/>
              </w:rPr>
              <w:t>7,838</w:t>
            </w:r>
          </w:p>
        </w:tc>
        <w:tc>
          <w:tcPr>
            <w:tcW w:type="dxa" w:w="1440"/>
            <w:shd w:fill="FAFAFA" w:val="clear"/>
          </w:tcPr>
          <w:p>
            <w:r>
              <w:rPr>
                <w:sz w:val="17"/>
              </w:rPr>
              <w:t>8,596</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6,971</w:t>
            </w:r>
          </w:p>
        </w:tc>
        <w:tc>
          <w:tcPr>
            <w:tcW w:type="dxa" w:w="1440"/>
            <w:shd w:fill="FAFAFA" w:val="clear"/>
          </w:tcPr>
          <w:p>
            <w:r>
              <w:rPr>
                <w:b/>
                <w:sz w:val="17"/>
              </w:rPr>
              <w:t>7,816</w:t>
            </w:r>
          </w:p>
        </w:tc>
        <w:tc>
          <w:tcPr>
            <w:tcW w:type="dxa" w:w="1440"/>
            <w:shd w:fill="FAFAFA" w:val="clear"/>
          </w:tcPr>
          <w:p>
            <w:r>
              <w:rPr>
                <w:sz w:val="17"/>
              </w:rPr>
              <w:t>8,661</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6,872</w:t>
            </w:r>
          </w:p>
        </w:tc>
        <w:tc>
          <w:tcPr>
            <w:tcW w:type="dxa" w:w="1440"/>
            <w:shd w:fill="FAFAFA" w:val="clear"/>
          </w:tcPr>
          <w:p>
            <w:r>
              <w:rPr>
                <w:b/>
                <w:sz w:val="17"/>
              </w:rPr>
              <w:t>7,795</w:t>
            </w:r>
          </w:p>
        </w:tc>
        <w:tc>
          <w:tcPr>
            <w:tcW w:type="dxa" w:w="1440"/>
            <w:shd w:fill="FAFAFA" w:val="clear"/>
          </w:tcPr>
          <w:p>
            <w:r>
              <w:rPr>
                <w:sz w:val="17"/>
              </w:rPr>
              <w:t>8,718</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6,780</w:t>
            </w:r>
          </w:p>
        </w:tc>
        <w:tc>
          <w:tcPr>
            <w:tcW w:type="dxa" w:w="1440"/>
            <w:shd w:fill="FFDCE0" w:val="clear"/>
          </w:tcPr>
          <w:p>
            <w:r>
              <w:rPr>
                <w:b/>
                <w:sz w:val="17"/>
              </w:rPr>
              <w:t>7,775</w:t>
            </w:r>
          </w:p>
        </w:tc>
        <w:tc>
          <w:tcPr>
            <w:tcW w:type="dxa" w:w="1440"/>
            <w:shd w:fill="FFDCE0" w:val="clear"/>
          </w:tcPr>
          <w:p>
            <w:r>
              <w:rPr>
                <w:sz w:val="17"/>
              </w:rPr>
              <w:t>8,769</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6,695</w:t>
            </w:r>
          </w:p>
        </w:tc>
        <w:tc>
          <w:tcPr>
            <w:tcW w:type="dxa" w:w="1440"/>
            <w:shd w:fill="FFDCE0" w:val="clear"/>
          </w:tcPr>
          <w:p>
            <w:r>
              <w:rPr>
                <w:b/>
                <w:sz w:val="17"/>
              </w:rPr>
              <w:t>7,755</w:t>
            </w:r>
          </w:p>
        </w:tc>
        <w:tc>
          <w:tcPr>
            <w:tcW w:type="dxa" w:w="1440"/>
            <w:shd w:fill="FFDCE0" w:val="clear"/>
          </w:tcPr>
          <w:p>
            <w:r>
              <w:rPr>
                <w:sz w:val="17"/>
              </w:rPr>
              <w:t>8,815</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6,614</w:t>
            </w:r>
          </w:p>
        </w:tc>
        <w:tc>
          <w:tcPr>
            <w:tcW w:type="dxa" w:w="1440"/>
            <w:shd w:fill="FFDCE0" w:val="clear"/>
          </w:tcPr>
          <w:p>
            <w:r>
              <w:rPr>
                <w:b/>
                <w:sz w:val="17"/>
              </w:rPr>
              <w:t>7,736</w:t>
            </w:r>
          </w:p>
        </w:tc>
        <w:tc>
          <w:tcPr>
            <w:tcW w:type="dxa" w:w="1440"/>
            <w:shd w:fill="FFDCE0" w:val="clear"/>
          </w:tcPr>
          <w:p>
            <w:r>
              <w:rPr>
                <w:sz w:val="17"/>
              </w:rPr>
              <w:t>8,858</w:t>
            </w:r>
          </w:p>
        </w:tc>
        <w:tc>
          <w:tcPr>
            <w:tcW w:type="dxa" w:w="1440"/>
            <w:shd w:fill="FFDCE0" w:val="clear"/>
          </w:tcPr>
          <w:p>
            <w:r>
              <w:rPr>
                <w:b/>
                <w:color w:val="C00000"/>
                <w:sz w:val="17"/>
              </w:rPr>
              <w:t>-2.6%</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6,539</w:t>
            </w:r>
          </w:p>
        </w:tc>
        <w:tc>
          <w:tcPr>
            <w:tcW w:type="dxa" w:w="1440"/>
            <w:shd w:fill="FFDCE0" w:val="clear"/>
          </w:tcPr>
          <w:p>
            <w:r>
              <w:rPr>
                <w:b/>
                <w:sz w:val="17"/>
              </w:rPr>
              <w:t>7,718</w:t>
            </w:r>
          </w:p>
        </w:tc>
        <w:tc>
          <w:tcPr>
            <w:tcW w:type="dxa" w:w="1440"/>
            <w:shd w:fill="FFDCE0" w:val="clear"/>
          </w:tcPr>
          <w:p>
            <w:r>
              <w:rPr>
                <w:sz w:val="17"/>
              </w:rPr>
              <w:t>8,898</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*Bourse Régionale des Valeurs Mobilières (BRVM) — Secteur : Entreprise agro-industrielle*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171,52 milliards FCFA, SOGC s'impose comme une valeur de taille intermédiaire significative au sein de la cote BRVM, représentative du segment des grandes entreprises agro-industrielles ivoiriennes. Le BPA de 578 FCFA/action signifie que chaque titre génère près de 578 FCFA de bénéfice net, ce qui, rapporté au cours actuel de 7 940 FCFA, confère un PER de 13,7x — légèrement supérieur à la moyenne BRVM (8-12x), traduisant une prime de qualité modérée mais non excessive. Le P/B de 2,51x indique que le marché valorise la société à 2,5 fois ses fonds propres comptables (68,43 Mds FCFA), ce qui reste dans la fourchette 2-4x typique d'une entreprise rentable bénéficiant d'une prime de croissance. Enfin, l'EV/EBITDA de 7,1x, situé dans la zone raisonnable de 5-10x, suggère que la valeur totale de l'entreprise (capitalisation + dette nette) reste cohérente avec sa capacité opérationnelle dégagée (EBE de 23,54 Mds FCFA en 2025), sans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SOGC affiche une progression totale de +7,44%, mais la dernière séance (J-1) enregistre un repli de -1,98%, signalant une prise de bénéfices après une phase de hausse. Le cours a évolué dans un range de 1 675 FCFA, entre un plus bas de 7 200 FCFA et un plus haut de 8 875 FCFA, ce qui témoigne d'une amplitude de trading relativement large pour un titre de cette catégorie. La tendance générale reste haussière sur la période, mais le cours actuel (7 940 FCFA) se situe désormais sous sa moyenne (8 068 FCFA) et sa médiane (8 145 FCFA), suggérant une correction en cours. L'écart entre moyenne et médiane (77 FCFA) est faible, indiquant une distribution globalement équilibrée, mais le skewness de -0,573 confirme une asymétrie négative avec davantage de journées de cotation au-dessus de la moyenne — typique d'un titre ayant connu des pics avant de corriger. L'écart-type de 374 FCFA (CV = 4,6%) révèle une dispersion modérée du cours, tandis que le kurtosis de -0,361 (mésokurtique) indique une distribution proche de la normale, sans risque excessif de pics extrêmes. La volatilité annualisée de 41,6% classe SOGC dans la catégorie des titres à volatilité élevée (&gt;30%), ce qui est cohérent avec son exposition aux prix des matières premières agricoles (caoutchouc, huiles).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(7 949,25 FCFA) est légèrement supérieure au cours actuel (7 940 FCFA), tandis que la MM50 (8 067,6 FCFA) se situe nettement au-dessus, confirmant une tendance baissière de court terme. Le croisement baissier entre le cours et ses moyennes justifie la décision technique de **Vente**, bien que l'écart avec la MM20 reste marginal.</w:t>
      </w:r>
    </w:p>
    <w:p>
      <w:pPr>
        <w:spacing w:after="120" w:line="276" w:lineRule="auto"/>
      </w:pPr>
      <w:r>
        <w:t>**Bandes de Bollinger** : Le cours (7 940 FCFA) évolue dans la partie médiane de la bande, entre la borne inférieure (7 367,82 FCFA) et supérieure (8 530,68 FCFA), sans atteindre les extrêmes. Cette position centrale, couplée à une volatilité modérée, justifie la décision **Neutre**, le titre n'étant ni suracheté ni survendu.</w:t>
      </w:r>
    </w:p>
    <w:p>
      <w:pPr>
        <w:spacing w:after="120" w:line="276" w:lineRule="auto"/>
      </w:pPr>
      <w:r>
        <w:t>**MACD** : La valeur du MACD (-73,337) est supérieure à son signal (-86,5), générant un croisement haussier bien que les deux restent en territoire négatif. Ce momentum positif naissant justifie la décision **Achat**, mais la faiblesse des valeurs absolues invite à la prudence.</w:t>
      </w:r>
    </w:p>
    <w:p>
      <w:pPr>
        <w:spacing w:after="120" w:line="276" w:lineRule="auto"/>
      </w:pPr>
      <w:r>
        <w:t>**RSI** : À 46,825, le RSI se situe en zone neutre (30-70), sans signal de surachat (&gt;70) ni de survente (&lt;30). Cette configuration médiane justifie la décision **Neutre**, le titre n'offrant pas de signal directionnel clair.</w:t>
      </w:r>
    </w:p>
    <w:p>
      <w:pPr>
        <w:spacing w:after="120" w:line="276" w:lineRule="auto"/>
      </w:pPr>
      <w:r>
        <w:t>**Stochastique** : Le %K (76,19) est inférieur au %D (82,738), avec un croisement baissier en zone haute (&gt;80), signalant un essoufflement potentiel de la dynamique haussière. La décision **Neutre** reflète cette absence de signal fort, bien que la position élevée des deux courbes suggère une vigilance accrue.</w:t>
      </w:r>
    </w:p>
    <w:p>
      <w:pPr>
        <w:spacing w:after="120" w:line="276" w:lineRule="auto"/>
      </w:pPr>
      <w:r>
        <w:t>**Conclusion technique** : Les indicateurs techniques présentent une configuration mitigée — le MACD génère un signal d'achat naissant, mais les moyennes mobiles et le stochastique plaident pour la prudence, tandis que le RSI et les Bandes de Bollinger restent neutres. Cette divergence suggère une phase d'indécision du marché, avec un léger biais baissier de court terme, le cours évoluant sous ses principales moyennes mobiles.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SOGC (exercice clos au 31 décembre 2025) affichent un chiffre d'affaires de 98,979 milliards FCFA, en croissance de 10,70% par rapport à 2024 (93,52 Mds FCFA selon le rapport annuel 2024), portée par la hausse des prix de l'huile de palme (+20%) et de palmiste (+47%), ainsi que par la croissance des volumes de caoutchouc (+9%). Le résultat net s'établit à 12,493 milliards FCFA, en légère baisse de 5% par rapport aux 13,11 Mds FCFA de 2024, sous l'effet de la hausse de 15% des coûts de matières premières (coagulum). La rentabilité reste néanmoins solide avec un ROE de 18,26% (excellent, &gt;15%) et un ROA de 13,84%, tandis que la marge nette se maintient à 12,62% et la marge opérationnelle à 17,24%. La structure financière est très saine : l'autonomie financière atteint 75,79% (capitaux propres de 68,43 Mds FCFA pour un total bilan de 90,29 Mds FCFA), l'endettement est quasi inexistant (dettes financières de 708,86 M FCFA, ratio de dépendance de 1,04%), et la trésorerie nette s'élève à 4,575 Mds FCFA. Le BFR de 7,124 Mds FCFA et la liquidité générale de 170,32% confirment la solidité du cycle d'exploitation, bien que la durée de stockage de 97,67 jours et le délai client de 29,60 jours méritent une surveillance. Les rapports trimestriels 2025 (T1 au 31/03/2025, S1 au 30/06/2025, 9M au 30/09/2025) montrent une dynamique exceptionnelle sur la première partie de l'année (CA +63,1% au T1, résultat net +262,9%), suivie d'un ralentissement au S2 sous l'effet de la concurrence accrue sur l'achat de coagulum et de la baisse des cours SICOM du caoutchouc — la direction anticipant des performances « raisonnablement bonnes » pour le reste de l'exercice. Sur la base du rapport 9M 2025 (CA de 75,6 Mds FCFA, résultat net de 11,5 Mds FCFA), on peut estimer que l'exercice 2025 devrait se conclure autour de 98-99 Mds FCFA de CA et 12-13 Mds FCFA de résultat net, ce qui est cohérent avec les chiffres annuels publiés. La politique de dividende est très généreuse : un dividende brut de 570 FCFA/action proposé pour 2025 (contre 60 FCFA en 2024), soit un rendement de 7,2% au cours actuel, avec un taux de distribution de 98,9% qui, bien qu'attractif pour les actionnaires, limite les capacités de réinvestissement. En synthèse, SOGC présente des fondamentaux solides (ROE &gt;18%, endettement quasi nul, trésorerie positive), mais fait face à des vents contraires (hausse des coûts d'approvisionnement, baisse des cours du caoutchouc) qui pèsent sur la croissance bénéficiaire. La recommandation fondamentale est de **CONSERVER** le titre, avec une vigilance accrue sur l'évolution des prix des matières premières et la politique de distribution.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Sur le plan de la **valorisation (Partie 0)**, les ratios PER (13,7x), P/B (2,51x) et EV/EBITDA (7,1x) indiquent une valorisation raisonnable, sans sous-évaluation flagrante mais sans surévaluation excessive, le titre se situant dans la fourchette haute de la moyenne BRVM. Le **comportement du cours (Partie 1)** révèle une tendance haussière sur 100 jours (+7,44%) mais une correction récente (-1,98% en J-1), avec une volatilité élevée (41,6%) et une asymétrie négative (skewness -0,573) suggérant que les meilleures performances sont peut-être derrière nous. Les **signaux techniques (Partie 2)** sont mitigés : le MACD génère un signal d'achat naissant, mais les moyennes mobiles (MM20 et MM50 au-dessus du cours) et le stochastique (croisement baissier en zone haute) plaident pour la prudence, tandis que le RSI et les Bandes de Bollinger restent neutres — une divergence qui traduit l'indécision du marché. Les **fondamentaux (Partie 3)** demeurent solides (ROE de 18,26%, endettement quasi nul, trésorerie positive), mais la baisse de 5% du résultat net 2025 et les perspectives prudentes de la direction pour le S2 2025 (concurrence accrue, baisse des cours SICOM) tempèrent l'optimisme. Les **prédictions IA (J+1 à J+10)** anticipent une trajectoire baissière continue, de 7 886 FCFA (05/10/2026) à 7 795 FCFA (09/10/2026), soit une baisse de 1,8% sur 10 jours, ce qui confirme le biais baissier de court terme identifié par les moyennes mobiles et le stochastique. Compte tenu de cette convergence entre technique baissière, prédictions IA négatives et fondamentaux solides mais en léger repli, la recommandation finale est de **CONSERVER** le titre, avec un niveau de confiance **Moyen** et un risque global **Moyen**. L'horizon d'investissement optimal est le **moyen terme (3-12 mois)**, le temps que la société démontre sa capacité à maintenir ses marges dans un environnement de prix moins favorable et que le marché intègre la générosité du dividende (rendement de 7,2%). Une entrée à des niveaux inférieurs (proches de 7 500-7 600 FCFA) offrirait un meilleur point d'entrée pour les investisseurs cherchant à profiter du rendement attractif et de la solidité financière de SOGC.</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201.65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4,668 titres</w:t>
            </w:r>
          </w:p>
        </w:tc>
        <w:tc>
          <w:tcPr>
            <w:tcW w:type="dxa" w:w="2268"/>
            <w:shd w:fill="FFF2CC" w:val="clear"/>
          </w:tcPr>
          <w:p>
            <w:r>
              <w:rPr>
                <w:b/>
                <w:color w:val="503200"/>
                <w:sz w:val="16"/>
              </w:rPr>
              <w:t xml:space="preserve">Cours actuel : </w:t>
            </w:r>
            <w:r>
              <w:rPr>
                <w:color w:val="000000"/>
                <w:sz w:val="17"/>
              </w:rPr>
              <w:t>7,890 FCFA</w:t>
            </w:r>
          </w:p>
          <w:p>
            <w:r>
              <w:rPr>
                <w:b/>
                <w:color w:val="503200"/>
                <w:sz w:val="16"/>
              </w:rPr>
              <w:t xml:space="preserve">Var. 100 jours : </w:t>
            </w:r>
            <w:r>
              <w:rPr>
                <w:b/>
                <w:color w:val="007800"/>
                <w:sz w:val="17"/>
              </w:rPr>
              <w:t>+11.91%</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6,850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9.76% (Moyenne) — μ=7,857 FCFA, σ=767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β=0.7760 (Défensif) — Cov=0.000052, Var(idx)=0.000068, ρ=0.234,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7,139</w:t>
            </w:r>
          </w:p>
        </w:tc>
        <w:tc>
          <w:tcPr>
            <w:tcW w:type="dxa" w:w="1440"/>
            <w:shd w:fill="FAFAFA" w:val="clear"/>
          </w:tcPr>
          <w:p>
            <w:r>
              <w:rPr>
                <w:b/>
                <w:sz w:val="17"/>
              </w:rPr>
              <w:t>7,784</w:t>
            </w:r>
          </w:p>
        </w:tc>
        <w:tc>
          <w:tcPr>
            <w:tcW w:type="dxa" w:w="1440"/>
            <w:shd w:fill="FAFAFA" w:val="clear"/>
          </w:tcPr>
          <w:p>
            <w:r>
              <w:rPr>
                <w:sz w:val="17"/>
              </w:rPr>
              <w:t>8,428</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6,961</w:t>
            </w:r>
          </w:p>
        </w:tc>
        <w:tc>
          <w:tcPr>
            <w:tcW w:type="dxa" w:w="1440"/>
            <w:shd w:fill="FAFAFA" w:val="clear"/>
          </w:tcPr>
          <w:p>
            <w:r>
              <w:rPr>
                <w:b/>
                <w:sz w:val="17"/>
              </w:rPr>
              <w:t>7,746</w:t>
            </w:r>
          </w:p>
        </w:tc>
        <w:tc>
          <w:tcPr>
            <w:tcW w:type="dxa" w:w="1440"/>
            <w:shd w:fill="FAFAFA" w:val="clear"/>
          </w:tcPr>
          <w:p>
            <w:r>
              <w:rPr>
                <w:sz w:val="17"/>
              </w:rPr>
              <w:t>8,532</w:t>
            </w:r>
          </w:p>
        </w:tc>
        <w:tc>
          <w:tcPr>
            <w:tcW w:type="dxa" w:w="1440"/>
            <w:shd w:fill="FAFAFA" w:val="clear"/>
          </w:tcPr>
          <w:p>
            <w:r>
              <w:rPr>
                <w:b/>
                <w:color w:val="C00000"/>
                <w:sz w:val="17"/>
              </w:rPr>
              <w:t>-1.8%</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6,809</w:t>
            </w:r>
          </w:p>
        </w:tc>
        <w:tc>
          <w:tcPr>
            <w:tcW w:type="dxa" w:w="1440"/>
            <w:shd w:fill="FFDCE0" w:val="clear"/>
          </w:tcPr>
          <w:p>
            <w:r>
              <w:rPr>
                <w:b/>
                <w:sz w:val="17"/>
              </w:rPr>
              <w:t>7,712</w:t>
            </w:r>
          </w:p>
        </w:tc>
        <w:tc>
          <w:tcPr>
            <w:tcW w:type="dxa" w:w="1440"/>
            <w:shd w:fill="FFDCE0" w:val="clear"/>
          </w:tcPr>
          <w:p>
            <w:r>
              <w:rPr>
                <w:sz w:val="17"/>
              </w:rPr>
              <w:t>8,615</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6,674</w:t>
            </w:r>
          </w:p>
        </w:tc>
        <w:tc>
          <w:tcPr>
            <w:tcW w:type="dxa" w:w="1440"/>
            <w:shd w:fill="FFDCE0" w:val="clear"/>
          </w:tcPr>
          <w:p>
            <w:r>
              <w:rPr>
                <w:b/>
                <w:sz w:val="17"/>
              </w:rPr>
              <w:t>7,679</w:t>
            </w:r>
          </w:p>
        </w:tc>
        <w:tc>
          <w:tcPr>
            <w:tcW w:type="dxa" w:w="1440"/>
            <w:shd w:fill="FFDCE0" w:val="clear"/>
          </w:tcPr>
          <w:p>
            <w:r>
              <w:rPr>
                <w:sz w:val="17"/>
              </w:rPr>
              <w:t>8,684</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6,550</w:t>
            </w:r>
          </w:p>
        </w:tc>
        <w:tc>
          <w:tcPr>
            <w:tcW w:type="dxa" w:w="1440"/>
            <w:shd w:fill="FFDCE0" w:val="clear"/>
          </w:tcPr>
          <w:p>
            <w:r>
              <w:rPr>
                <w:b/>
                <w:sz w:val="17"/>
              </w:rPr>
              <w:t>7,646</w:t>
            </w:r>
          </w:p>
        </w:tc>
        <w:tc>
          <w:tcPr>
            <w:tcW w:type="dxa" w:w="1440"/>
            <w:shd w:fill="FFDCE0" w:val="clear"/>
          </w:tcPr>
          <w:p>
            <w:r>
              <w:rPr>
                <w:sz w:val="17"/>
              </w:rPr>
              <w:t>8,743</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6,436</w:t>
            </w:r>
          </w:p>
        </w:tc>
        <w:tc>
          <w:tcPr>
            <w:tcW w:type="dxa" w:w="1440"/>
            <w:shd w:fill="FFDCE0" w:val="clear"/>
          </w:tcPr>
          <w:p>
            <w:r>
              <w:rPr>
                <w:b/>
                <w:sz w:val="17"/>
              </w:rPr>
              <w:t>7,615</w:t>
            </w:r>
          </w:p>
        </w:tc>
        <w:tc>
          <w:tcPr>
            <w:tcW w:type="dxa" w:w="1440"/>
            <w:shd w:fill="FFDCE0" w:val="clear"/>
          </w:tcPr>
          <w:p>
            <w:r>
              <w:rPr>
                <w:sz w:val="17"/>
              </w:rPr>
              <w:t>8,794</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6,329</w:t>
            </w:r>
          </w:p>
        </w:tc>
        <w:tc>
          <w:tcPr>
            <w:tcW w:type="dxa" w:w="1440"/>
            <w:shd w:fill="FFDCE0" w:val="clear"/>
          </w:tcPr>
          <w:p>
            <w:r>
              <w:rPr>
                <w:b/>
                <w:sz w:val="17"/>
              </w:rPr>
              <w:t>7,585</w:t>
            </w:r>
          </w:p>
        </w:tc>
        <w:tc>
          <w:tcPr>
            <w:tcW w:type="dxa" w:w="1440"/>
            <w:shd w:fill="FFDCE0" w:val="clear"/>
          </w:tcPr>
          <w:p>
            <w:r>
              <w:rPr>
                <w:sz w:val="17"/>
              </w:rPr>
              <w:t>8,840</w:t>
            </w:r>
          </w:p>
        </w:tc>
        <w:tc>
          <w:tcPr>
            <w:tcW w:type="dxa" w:w="1440"/>
            <w:shd w:fill="FFDCE0" w:val="clear"/>
          </w:tcPr>
          <w:p>
            <w:r>
              <w:rPr>
                <w:b/>
                <w:color w:val="C00000"/>
                <w:sz w:val="17"/>
              </w:rPr>
              <w:t>-3.9%</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6,229</w:t>
            </w:r>
          </w:p>
        </w:tc>
        <w:tc>
          <w:tcPr>
            <w:tcW w:type="dxa" w:w="1440"/>
            <w:shd w:fill="FFDCE0" w:val="clear"/>
          </w:tcPr>
          <w:p>
            <w:r>
              <w:rPr>
                <w:b/>
                <w:sz w:val="17"/>
              </w:rPr>
              <w:t>7,555</w:t>
            </w:r>
          </w:p>
        </w:tc>
        <w:tc>
          <w:tcPr>
            <w:tcW w:type="dxa" w:w="1440"/>
            <w:shd w:fill="FFDCE0" w:val="clear"/>
          </w:tcPr>
          <w:p>
            <w:r>
              <w:rPr>
                <w:sz w:val="17"/>
              </w:rPr>
              <w:t>8,881</w:t>
            </w:r>
          </w:p>
        </w:tc>
        <w:tc>
          <w:tcPr>
            <w:tcW w:type="dxa" w:w="1440"/>
            <w:shd w:fill="FFDCE0" w:val="clear"/>
          </w:tcPr>
          <w:p>
            <w:r>
              <w:rPr>
                <w:b/>
                <w:color w:val="C00000"/>
                <w:sz w:val="17"/>
              </w:rPr>
              <w:t>-4.2%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6,133</w:t>
            </w:r>
          </w:p>
        </w:tc>
        <w:tc>
          <w:tcPr>
            <w:tcW w:type="dxa" w:w="1440"/>
            <w:shd w:fill="FFDCE0" w:val="clear"/>
          </w:tcPr>
          <w:p>
            <w:r>
              <w:rPr>
                <w:b/>
                <w:sz w:val="17"/>
              </w:rPr>
              <w:t>7,526</w:t>
            </w:r>
          </w:p>
        </w:tc>
        <w:tc>
          <w:tcPr>
            <w:tcW w:type="dxa" w:w="1440"/>
            <w:shd w:fill="FFDCE0" w:val="clear"/>
          </w:tcPr>
          <w:p>
            <w:r>
              <w:rPr>
                <w:sz w:val="17"/>
              </w:rPr>
              <w:t>8,919</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201,65 milliards FCFA, SPHC s'impose comme une valeur de premier plan de la cote BRVM, représentant un poids significatif dans l'indice composite. Le BPA de 977 FCFA/action signifie que chaque titre génère près d'un millier de francs de bénéfice net, un niveau de rentabilité par action remarquable pour le marché régional. Le PER de 8,1x traduit une valorisation modérée, nettement inférieure à la moyenne BRVM (8-12x), suggérant que le marché ne paie pas cher pour les bénéfices actuels — une configuration potentiellement sous-évaluée. Le P/B de 1,46x indique que le marché valorise l'action à 46% au-dessus de sa valeur comptable, un niveau raisonnable qui reflète la qualité des actifs sans exubérance. Enfin, l'EV/EBITDA de 5,1x, bien positionné dans la fourchette raisonnable (5-10x), confirme que la valeur d'entreprise reste contenue au regard de la capacité opérationnelle de la société.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SPHC affiche une variation totale positive de +11,91%, bien que la dernière séance (J-1) ait enregistré un repli de -1,31%, signalant une prise de bénéfices récente. Le cours actuel de 7 890 FCFA se situe dans la partie médiane de la fourchette de trading, le plus haut ayant atteint 10 300 FCFA et le plus bas 6 850 FCFA, soit un range de 3 450 FCFA (50% d'amplitude) qui témoigne d'une forte volatilité intra-période. La tendance générale reste haussière sur la période, mais le repli depuis le sommet de 10 300 FCFA suggère un essoufflement du momentum. Les statistiques descriptives révèlent une moyenne (7 857 FCFA) légèrement supérieure à la médiane (7 645 FCFA), avec un mode à 7 500 FCFA, indiquant une distribution asymétrique positive — le skewness de 1,435 confirme cette asymétrie avec davantage de journées sous la moyenne. L'écart-type de 771 FCFA (CV=9,8%) traduit une dispersion modérée du cours, tandis que le kurtosis de 1,624 (leptokurtique) signale des queues épaisses et un risque de pics de volatilité. La volatilité annualisée de 43,3% classe SPHC parmi les titres à volatilité élevée (&gt;30%), ce qui implique un risque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(8 119,5 FCFA) et la MM50 (8 289,9 FCFA) se situent toutes deux au-dessus du cours actuel (7 890 FCFA), confirmant une configuration baissière de court et moyen terme. Le cours évolue sous ses moyennes mobiles, ce qui justifie la décision technique de **Vente** émise par le système. La MM20 étant inférieure à la MM50, on note un croisement baissier (death cross) qui renforce le signal négatif.</w:t>
      </w:r>
    </w:p>
    <w:p>
      <w:pPr>
        <w:spacing w:after="120" w:line="276" w:lineRule="auto"/>
      </w:pPr>
      <w:r>
        <w:t>**Bandes de Bollinger** : Le cours actuel (7 890 FCFA) se situe à 31% de la borne supérieure (9 298,23 FCFA) et à 69% de la borne inférieure (6 940,77 FCFA), dans la moitié basse du canal. Cette position médiane-basse indique une absence de pression acheteuse forte, mais sans survente extrême. La décision est **Neutre**, les bandes n'étant ni comprimées ni élargies de manière significative.</w:t>
      </w:r>
    </w:p>
    <w:p>
      <w:pPr>
        <w:spacing w:after="120" w:line="276" w:lineRule="auto"/>
      </w:pPr>
      <w:r>
        <w:t>**MACD** : La valeur du MACD (-219,33) est inférieure à son signal (-200,33), avec un histogramme négatif qui traduit un momentum baissier persistant. La divergence négative entre le MACD et son signal justifie la décision de **Vente**, le croisement baissier étant déjà effectué. Aucun signe de retournement imminent n'est visible.</w:t>
      </w:r>
    </w:p>
    <w:p>
      <w:pPr>
        <w:spacing w:after="120" w:line="276" w:lineRule="auto"/>
      </w:pPr>
      <w:r>
        <w:t>**RSI** : À 40,05, le RSI se situe dans la zone neutre (30-70), sans atteindre la zone de survente (&lt;30). Cette valeur indique une absence de pression vendeuse excessive, mais aussi une faiblesse relative du momentum acheteur. La décision est **Neutre**, le titre n'étant ni suracheté ni survendu.</w:t>
      </w:r>
    </w:p>
    <w:p>
      <w:pPr>
        <w:spacing w:after="120" w:line="276" w:lineRule="auto"/>
      </w:pPr>
      <w:r>
        <w:t>**Stochastique** : Le %K (57,35) et le %D (56,41) évoluent en zone médiane, avec un léger croisement haussier du %K au-dessus du %D. Cette configuration suggère un possible début de redressement, mais la proximité des deux lignes rend le signal peu fiable. La décision reste **Neutre**.</w:t>
      </w:r>
    </w:p>
    <w:p>
      <w:pPr>
        <w:spacing w:after="120" w:line="276" w:lineRule="auto"/>
      </w:pPr>
      <w:r>
        <w:t>**Conclusion technique** : La convergence des signaux baissiers (MM, MACD) et neutres (Bollinger, RSI, Stochastique) dresse un tableau technique mitigé à tendance baissière. Le cours évolue sous ses moyennes mobiles avec un MACD négatif, mais le RSI et le stochastique n'indiquent pas de survente extrême, laissant entrevoir une possible stabilisation. Dans l'ensemble, les indicateurs techniques plaident pour une **prudence à court terme**, avec un risque de poursuite de la correction vers la borne inférieure des Bollinger (6 940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SPHC a réalisé un chiffre d'affaires de 340,83 milliards FCFA, en croissance de 21,97% par rapport à 2024 (279,44 milliards FCFA), portée par une hausse des volumes (+16,8%) et des prix moyens (+17,6%). Le résultat net s'établit à 24,97 milliards FCFA, en progression de 32,9%, avec une marge nette de 7,33% (contre 6,7% en 2024). Le ROE atteint 18,10% (&gt;15% = excellent) et le ROA 11,06%, confirmant une rentabilité solide des fonds propres et des actifs. La structure financière est saine avec une autonomie financière de 61,08% et un ratio d'endettement maîtrisé de 25,81%. Le BFR de 65,39 milliards FCFA (positif) et la trésorerie nette négative (-15,41 milliards FCFA) constituent des points de vigilance, bien que le flux opérationnel (37,61 milliards FCFA) couvre largement les investissements (-23,42 milliards FCFA). Les délais clients (35 jours) et de stockage (72,33 jours) restent modérés pour le secteur agro-industriel.</w:t>
      </w:r>
    </w:p>
    <w:p>
      <w:pPr>
        <w:spacing w:after="120" w:line="276" w:lineRule="auto"/>
      </w:pPr>
      <w:r>
        <w:t>**Estimations basées sur les rapports trimestriels** : Le rapport T1 2026 (publié en 2026) révèle une dégradation marquée : CA de 71,8 milliards FCFA (-24%), résultat net de 2,63 milliards FCFA (-78%), et marge nette réduite à 4%. Cette contre-performance est attribuée à la chute des cours mondiaux du caoutchouc (SICOM 20 à 1,91 USD/kg), à l'engorgement du port de San Pedro et à la concurrence accrue pour la matière première. Sur la base de ce T1, on estime que l'exercice 2026 devrait afficher un recul significatif du CA et du résultat net par rapport à 2025, sauf redressement des cours au second semestre. Le rapport S1 2026 (analysé par GEMINI-VISION en septembre 2026) confirme cette tendance baissière, sans toutefois fournir de chiffres précis dans l'extrait disponible.</w:t>
      </w:r>
    </w:p>
    <w:p>
      <w:pPr>
        <w:spacing w:after="120" w:line="276" w:lineRule="auto"/>
      </w:pPr>
      <w:r>
        <w:t>**Évolution pluriannuelle** : De 2022 à 2025, SPHC a connu une trajectoire remarquable : CA passant de 58,8 à 340,83 milliards FCFA (multiplication par 5,8), résultat net de 16,7 à 24,97 milliards FCFA, et ROE de 12,9% à 18,1%. Cette performance a été dopée par un environnement de prix favorable pour le caoutchouc naturel, mais le T1 2026 marque une rupture brutale. La politique de dividende reste attractive avec un DPA proposé de 489 FCFA/action (12,50 milliards FCFA au total), soit un rendement de 6,2% au cours actuel de 7 890 FCFA.</w:t>
      </w:r>
    </w:p>
    <w:p>
      <w:pPr>
        <w:spacing w:after="120" w:line="276" w:lineRule="auto"/>
      </w:pPr>
      <w:r>
        <w:t>**Recommandation fondamentale** : Malgré la solidité du bilan et la générosité du dividende, la dégradation des résultats au T1 2026 et la volatilité des cours du caoutchouc incitent à la prudence. La société conserve des fondamentaux robustes (ROE &gt;15%, autonomie financière &gt;60%), mais les perspectives à court terme sont assombries. **Recommandation : CONSERVER** avec une surveillance active des prochains rapports trimestriels.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entre valorisation attractive et signaux techniques/fondamentaux mitigés**. La valorisation (Partie 0) est séduisante avec un PER de 8,1x et un EV/EBITDA de 5,1x, suggérant une sous-évaluation potentielle. Cependant, le comportement du cours (Partie 1) est préoccupant : malgré une hausse de +11,91% sur 100 jours, la volatilité élevée (43,3%), le kurtosis leptokurtique (1,624) et le skewness positif (1,435) indiquent un risque de pics baissiers. Les signaux techniques (Partie 2) sont majoritairement baissiers (MM, MACD) ou neutres (Bollinger, RSI, Stochastique), sans convergence haussière. Les fondamentaux (Partie 3) sont solides pour 2025 (ROE 18,1%, CA +22%), mais le T1 2026 montre une dégradation sévère (-78% de résultat net), ce qui remet en cause la trajectoire de croissance. Les prédictions IA (J+1 à J+10) anticipent une poursuite de la baisse vers 7 646 FCFA d'ici le 9 octobre 2026, confirmant les signaux techniques baissiers à court terme.</w:t>
      </w:r>
    </w:p>
    <w:p>
      <w:pPr>
        <w:spacing w:after="120" w:line="276" w:lineRule="auto"/>
      </w:pPr>
      <w:r>
        <w:t>**Recommandation finale : CONSERVER** — La convergence entre valorisation attractive (PER faible), fondamentaux 2025 solides mais dégradation au T1 2026, et signaux techniques baissiers à court terme plaide pour une position d'attente. Le niveau de confiance est **Moyen** (les données T1 2026 sont récentes mais le S1 2026 manque de chiffres précis). Le risque global est **Élevé** (volatilité 43,3%, dépendance aux cours du caoutchouc, trésorerie négative). L'horizon d'investissement optimal est **moyen terme (3-12 mois)**, le temps que la société démontre sa capacité à redresser ses marges et que les cours du caoutchouc se stabilisent. Un passage à **ACHAT** serait justifié si le T2/T3 2026 confirme une amélioration des cours et une stabilisation des résultats.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6,194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B40000"/>
                <w:sz w:val="17"/>
              </w:rPr>
              <w:t>-19.17%</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2,085 FCFA</w:t>
            </w:r>
          </w:p>
          <w:p>
            <w:r>
              <w:rPr>
                <w:b/>
                <w:color w:val="503200"/>
                <w:sz w:val="16"/>
              </w:rPr>
              <w:t xml:space="preserve">Volatilité ann. : </w:t>
            </w:r>
            <w:r>
              <w:rPr>
                <w:color w:val="000000"/>
                <w:sz w:val="17"/>
              </w:rPr>
              <w:t>61.6%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14.15% (Moyenne) — μ=2,865 FCFA, σ=405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β=0.0684 (Défensif) — Cov=0.000005, Var(idx)=0.000068, ρ=0.014,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σ_j=3.88%/j (Modérée) — Vol. annualisée≈61.6%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1,918</w:t>
            </w:r>
          </w:p>
        </w:tc>
        <w:tc>
          <w:tcPr>
            <w:tcW w:type="dxa" w:w="1440"/>
            <w:shd w:fill="FAFAFA" w:val="clear"/>
          </w:tcPr>
          <w:p>
            <w:r>
              <w:rPr>
                <w:b/>
                <w:sz w:val="17"/>
              </w:rPr>
              <w:t>2,111</w:t>
            </w:r>
          </w:p>
        </w:tc>
        <w:tc>
          <w:tcPr>
            <w:tcW w:type="dxa" w:w="1440"/>
            <w:shd w:fill="FAFAFA" w:val="clear"/>
          </w:tcPr>
          <w:p>
            <w:r>
              <w:rPr>
                <w:sz w:val="17"/>
              </w:rPr>
              <w:t>2,303</w:t>
            </w:r>
          </w:p>
        </w:tc>
        <w:tc>
          <w:tcPr>
            <w:tcW w:type="dxa" w:w="1440"/>
            <w:shd w:fill="FAFAFA" w:val="clear"/>
          </w:tcPr>
          <w:p>
            <w:r>
              <w:rPr>
                <w:b/>
                <w:color w:val="C00000"/>
                <w:sz w:val="17"/>
              </w:rPr>
              <w:t>-1.8%</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1,861</w:t>
            </w:r>
          </w:p>
        </w:tc>
        <w:tc>
          <w:tcPr>
            <w:tcW w:type="dxa" w:w="1440"/>
            <w:shd w:fill="FFDCE0" w:val="clear"/>
          </w:tcPr>
          <w:p>
            <w:r>
              <w:rPr>
                <w:b/>
                <w:sz w:val="17"/>
              </w:rPr>
              <w:t>2,095</w:t>
            </w:r>
          </w:p>
        </w:tc>
        <w:tc>
          <w:tcPr>
            <w:tcW w:type="dxa" w:w="1440"/>
            <w:shd w:fill="FFDCE0" w:val="clear"/>
          </w:tcPr>
          <w:p>
            <w:r>
              <w:rPr>
                <w:sz w:val="17"/>
              </w:rPr>
              <w:t>2,329</w:t>
            </w:r>
          </w:p>
        </w:tc>
        <w:tc>
          <w:tcPr>
            <w:tcW w:type="dxa" w:w="1440"/>
            <w:shd w:fill="FFDCE0" w:val="clear"/>
          </w:tcPr>
          <w:p>
            <w:r>
              <w:rPr>
                <w:b/>
                <w:color w:val="C00000"/>
                <w:sz w:val="17"/>
              </w:rPr>
              <w:t>-2.6%</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1,820</w:t>
            </w:r>
          </w:p>
        </w:tc>
        <w:tc>
          <w:tcPr>
            <w:tcW w:type="dxa" w:w="1440"/>
            <w:shd w:fill="FFDCE0" w:val="clear"/>
          </w:tcPr>
          <w:p>
            <w:r>
              <w:rPr>
                <w:b/>
                <w:sz w:val="17"/>
              </w:rPr>
              <w:t>2,090</w:t>
            </w:r>
          </w:p>
        </w:tc>
        <w:tc>
          <w:tcPr>
            <w:tcW w:type="dxa" w:w="1440"/>
            <w:shd w:fill="FFDCE0" w:val="clear"/>
          </w:tcPr>
          <w:p>
            <w:r>
              <w:rPr>
                <w:sz w:val="17"/>
              </w:rPr>
              <w:t>2,360</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1,789</w:t>
            </w:r>
          </w:p>
        </w:tc>
        <w:tc>
          <w:tcPr>
            <w:tcW w:type="dxa" w:w="1440"/>
            <w:shd w:fill="FFDCE0" w:val="clear"/>
          </w:tcPr>
          <w:p>
            <w:r>
              <w:rPr>
                <w:b/>
                <w:sz w:val="17"/>
              </w:rPr>
              <w:t>2,090</w:t>
            </w:r>
          </w:p>
        </w:tc>
        <w:tc>
          <w:tcPr>
            <w:tcW w:type="dxa" w:w="1440"/>
            <w:shd w:fill="FFDCE0" w:val="clear"/>
          </w:tcPr>
          <w:p>
            <w:r>
              <w:rPr>
                <w:sz w:val="17"/>
              </w:rPr>
              <w:t>2,392</w:t>
            </w:r>
          </w:p>
        </w:tc>
        <w:tc>
          <w:tcPr>
            <w:tcW w:type="dxa" w:w="1440"/>
            <w:shd w:fill="FFDCE0" w:val="clear"/>
          </w:tcPr>
          <w:p>
            <w:r>
              <w:rPr>
                <w:b/>
                <w:color w:val="C00000"/>
                <w:sz w:val="17"/>
              </w:rPr>
              <w:t>-2.8%</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1,762</w:t>
            </w:r>
          </w:p>
        </w:tc>
        <w:tc>
          <w:tcPr>
            <w:tcW w:type="dxa" w:w="1440"/>
            <w:shd w:fill="FFDCE0" w:val="clear"/>
          </w:tcPr>
          <w:p>
            <w:r>
              <w:rPr>
                <w:b/>
                <w:sz w:val="17"/>
              </w:rPr>
              <w:t>2,093</w:t>
            </w:r>
          </w:p>
        </w:tc>
        <w:tc>
          <w:tcPr>
            <w:tcW w:type="dxa" w:w="1440"/>
            <w:shd w:fill="FFDCE0" w:val="clear"/>
          </w:tcPr>
          <w:p>
            <w:r>
              <w:rPr>
                <w:sz w:val="17"/>
              </w:rPr>
              <w:t>2,424</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1,739</w:t>
            </w:r>
          </w:p>
        </w:tc>
        <w:tc>
          <w:tcPr>
            <w:tcW w:type="dxa" w:w="1440"/>
            <w:shd w:fill="FFDCE0" w:val="clear"/>
          </w:tcPr>
          <w:p>
            <w:r>
              <w:rPr>
                <w:b/>
                <w:sz w:val="17"/>
              </w:rPr>
              <w:t>2,097</w:t>
            </w:r>
          </w:p>
        </w:tc>
        <w:tc>
          <w:tcPr>
            <w:tcW w:type="dxa" w:w="1440"/>
            <w:shd w:fill="FFDCE0" w:val="clear"/>
          </w:tcPr>
          <w:p>
            <w:r>
              <w:rPr>
                <w:sz w:val="17"/>
              </w:rPr>
              <w:t>2,455</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1,717</w:t>
            </w:r>
          </w:p>
        </w:tc>
        <w:tc>
          <w:tcPr>
            <w:tcW w:type="dxa" w:w="1440"/>
            <w:shd w:fill="FFDCE0" w:val="clear"/>
          </w:tcPr>
          <w:p>
            <w:r>
              <w:rPr>
                <w:b/>
                <w:sz w:val="17"/>
              </w:rPr>
              <w:t>2,101</w:t>
            </w:r>
          </w:p>
        </w:tc>
        <w:tc>
          <w:tcPr>
            <w:tcW w:type="dxa" w:w="1440"/>
            <w:shd w:fill="FFDCE0" w:val="clear"/>
          </w:tcPr>
          <w:p>
            <w:r>
              <w:rPr>
                <w:sz w:val="17"/>
              </w:rPr>
              <w:t>2,484</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1,697</w:t>
            </w:r>
          </w:p>
        </w:tc>
        <w:tc>
          <w:tcPr>
            <w:tcW w:type="dxa" w:w="1440"/>
            <w:shd w:fill="FFDCE0" w:val="clear"/>
          </w:tcPr>
          <w:p>
            <w:r>
              <w:rPr>
                <w:b/>
                <w:sz w:val="17"/>
              </w:rPr>
              <w:t>2,104</w:t>
            </w:r>
          </w:p>
        </w:tc>
        <w:tc>
          <w:tcPr>
            <w:tcW w:type="dxa" w:w="1440"/>
            <w:shd w:fill="FFDCE0" w:val="clear"/>
          </w:tcPr>
          <w:p>
            <w:r>
              <w:rPr>
                <w:sz w:val="17"/>
              </w:rPr>
              <w:t>2,512</w:t>
            </w:r>
          </w:p>
        </w:tc>
        <w:tc>
          <w:tcPr>
            <w:tcW w:type="dxa" w:w="1440"/>
            <w:shd w:fill="FFDCE0" w:val="clear"/>
          </w:tcPr>
          <w:p>
            <w:r>
              <w:rPr>
                <w:b/>
                <w:color w:val="C00000"/>
                <w:sz w:val="17"/>
              </w:rPr>
              <w:t>-2.1%</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1,678</w:t>
            </w:r>
          </w:p>
        </w:tc>
        <w:tc>
          <w:tcPr>
            <w:tcW w:type="dxa" w:w="1440"/>
            <w:shd w:fill="FAFAFA" w:val="clear"/>
          </w:tcPr>
          <w:p>
            <w:r>
              <w:rPr>
                <w:b/>
                <w:sz w:val="17"/>
              </w:rPr>
              <w:t>2,108</w:t>
            </w:r>
          </w:p>
        </w:tc>
        <w:tc>
          <w:tcPr>
            <w:tcW w:type="dxa" w:w="1440"/>
            <w:shd w:fill="FAFAFA" w:val="clear"/>
          </w:tcPr>
          <w:p>
            <w:r>
              <w:rPr>
                <w:sz w:val="17"/>
              </w:rPr>
              <w:t>2,538</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ACTION STAC (SETAO)**</w:t>
        <w:br/>
        <w:t>**Bourse Régionale des Valeurs Mobilières (BRVM) — Secteur : BTP / Entreprise non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STAC s'élève à 28,90 milliards FCFA, un niveau modeste à l'échelle de la BRVM qui la place dans la catégorie des petites capitalisations, avec une liquidité limitée (volume moyen de 6 194 titres/jour). Le BPA ressort à -7 FCFA/action, ce qui signifie que chaque action détruit de la valeur comptable plutôt qu'elle n'en génère, et rend le PER inopérant (-299,3x) puisque la société est déficitaire — un ratio négatif qui traduit l'absence de bénéfices sur lesquels fonder une valorisation par les résultats. Le P/B de 81,00x est particulièrement alarmant : le marché valorise l'action à 81 fois sa valeur comptable, alors que le seuil d'alerte usuel est de 4x, ce qui révèle soit une anticipation spéculative d'un retournement majeur, soit une décorrélation totale entre le prix et les fondamentaux. En l'absence d'EBITDA positif (EBE de -650,13 M FCFA en 2025), le ratio EV/EBITDA n'est pas calculable, ce qui prive l'investisseur d'un repère de valorisation opérationnelle et confirme que la société ne dégage aucune capacité bénéficiaire exploitable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STAC a enregistré une variation totale de -19,17%, avec une chute brutale de -6,52% lors de la dernière séance (J-1), portant le cours actuel à 2 150 FCFA pour une capitalisation de 28,90 milliards FCFA. Le range de trading est très large, avec un plus haut à 3 640 FCFA et un plus bas à 2 085 FCFA, soit un écart de 1 555 FCFA (74,6% du cours actuel), ce qui témoigne d'une forte instabilité et d'une tendance baissière structurelle sur la période. Les statistiques descriptives révèlent une moyenne de 2 865 FCFA supérieure à la médiane de 2 808 FCFA, avec un mode à 3 500 FCFA : cet écart entre moyenne et médiane, bien que modéré, indique une légère asymétrie positive (skewness de 0,236, distribution quasi-symétrique) avec quelques pics haussiers qui tirent la moyenne vers le haut, mais le cours actuel (2 150 FCFA) est nettement inférieur à ces trois mesures centrales, confirmant la pression vendeuse récente. L'écart-type de 407 FCFA avec un coefficient de variation de 14,2% traduit une dispersion modérée autour de la moyenne, tandis que le kurtosis de -0,760 (mésokurtique) suggère une distribution proche de la normale, sans risque extrême de pics violents — mais la volatilité annualisée de 61,6% classe le titre dans la catégorie des valeurs à volatilité élevée (&gt;30%), ce qui implique un risque de perte en capital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(2 361,0 FCFA) et la MM50 (2 566,8 FCFA) sont toutes deux supérieures au cours actuel (2 150 FCFA), avec une MM20 en dessous de la MM50 — configuration baissière classique où le cours évolue sous ses moyennes. La décision technique est "Vente", confirmée par le fait que le cours est enfoncé sous les deux références mobiles, signalant une pression vendeuse persistante et l'absence de support technique proche.</w:t>
      </w:r>
    </w:p>
    <w:p>
      <w:pPr>
        <w:spacing w:after="120" w:line="276" w:lineRule="auto"/>
      </w:pPr>
      <w:r>
        <w:t>**Bandes de Bollinger** : Le cours (2 150 FCFA) se situe dans la partie basse du canal, entre la borne inférieure (1 993,224 FCFA) et la borne supérieure (2 728,776 FCFA), sans être en zone de survente extrême. La largeur du canal (735,55 FCFA) reflète la volatilité élevée du titre, et la décision "Neutre" suggère que le cours n'est ni en rupture baissière imminente ni en rebond technique confirmé, mais qu'il évolue dans un range baissier avec un support à 1 993 FCFA.</w:t>
      </w:r>
    </w:p>
    <w:p>
      <w:pPr>
        <w:spacing w:after="120" w:line="276" w:lineRule="auto"/>
      </w:pPr>
      <w:r>
        <w:t>**MACD** : La valeur du MACD (-121,19) est légèrement supérieure à son signal (-124,475), générant un croisement haussier marginal et une décision "Achat". Cependant, les deux lignes restent profondément en territoire négatif, ce qui signifie que le momentum baissier demeure dominant malgré ce timide signal d'achat — il s'agit davantage d'un ralentissement de la baisse que d'un véritable retournement.</w:t>
      </w:r>
    </w:p>
    <w:p>
      <w:pPr>
        <w:spacing w:after="120" w:line="276" w:lineRule="auto"/>
      </w:pPr>
      <w:r>
        <w:t>**RSI** : À 34,082, le RSI se situe dans la zone neutre basse (30-70), proche du seuil de survente (30) sans l'atteindre. La décision "Neutre" indique que le titre n'est pas encore techniquement survendu, mais la proximité du seuil de 30 suggère qu'une pression vendeuse supplémentaire pourrait déclencher un signal de survente et un rebond technique.</w:t>
      </w:r>
    </w:p>
    <w:p>
      <w:pPr>
        <w:spacing w:after="120" w:line="276" w:lineRule="auto"/>
      </w:pPr>
      <w:r>
        <w:t>**Stochastique** : Le %K (13,83) est très bas et nettement inférieur au %D (39,101), ce qui place le %K en zone de survente (&lt;20) et génère une décision "Achat" par anticipation d'un croisement haussier. Cependant, l'écart important entre %K et %D indique que la pression baissière est encore forte et qu'un retournement confirmé n'est pas encore matérialisé.</w:t>
      </w:r>
    </w:p>
    <w:p>
      <w:pPr>
        <w:spacing w:after="120" w:line="276" w:lineRule="auto"/>
      </w:pPr>
      <w:r>
        <w:t>**Conclusion technique** : Les indicateurs sont divergents — les moyennes mobiles et la tendance de fond sont baissières (Vente), tandis que le MACD et le stochastique génèrent des signaux d'achat précoces (survente), et le RSI/Bollinger restent neutres. Cette configuration suggère un possible rebond technique à court terme depuis la zone de survente (support à 1 993 FCFA), mais la tendance primaire reste baissière et aucun signal de retournement durable n'est confirmé. La prudence est de mise : un rebond technique ne signifie pas une inversion de tendance.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STAC a réalisé un chiffre d'affaires de 3,878 milliards FCFA, en croissance spectaculaire de +116,26% par rapport à 2024 (1,793 Md FCFA), portée par la reprise des travaux de l'aéroport d'Abidjan. Cependant, cette dynamique commerciale ne se traduit pas en rentabilité : le résultat net est déficitaire de -96,56 M FCFA (marge nette de -2,49%), l'EBE est négatif à -650,13 M FCFA, et le résultat d'exploitation s'établit à -771,95 M FCFA (marge opérationnelle de -19,90%). Le ROE est de -27,07% et le ROA de -1,77%, confirmant la destruction de valeur. La structure financière est très fragile : les capitaux propres ne représentent que 356,75 M FCFA pour un total bilan de 5,447 Mds FCFA, soit une autonomie financière de seulement 6,55% (seuil sain : &gt;30%), et le ratio d'endettement atteint 93,45%. Le BFR est négatif à -930,47 M FCFA (favorable pour une entreprise), mais le flux opérationnel est négatif à -2,212 Mds FCFA, ce qui signifie que l'activité consomme de la trésorerie malgré un BFR négatif — situation paradoxale qui s'explique par des décaissements importants liés aux chantiers. La trésorerie nette reste positive à 1,330 Md FCFA, constituant un coussin de sécurité, mais la capacité de remboursement est de 77,53 années de CAF (5,98 M FCFA), ce qui est extrêmement préoccupant.</w:t>
      </w:r>
    </w:p>
    <w:p>
      <w:pPr>
        <w:spacing w:after="120" w:line="276" w:lineRule="auto"/>
      </w:pPr>
      <w:r>
        <w:t>**Estimations basées sur les rapports trimestriels** : Le rapport du 3ème trimestre 2025 (daté du 30/09/2025) indique un CA cumulé de 3 456 M FCFA sur 9 mois (+176% en glissement annuel), avec une perte nette réduite de 22% à -477 M FCFA et une perte d'exploitation en baisse de 50% à -456 M FCFA. La direction maintient sa prévision de CA annuel 2025 à 4 milliards FCFA, ce qui implique un T4 très faible (environ 544 M FCFA). Le rapport du 1er semestre 2025 (daté du 30/06/2025) faisait état d'un CA de 2 271 M FCFA (+290%) mais d'une perte nette de -557 M FCFA en aggravation de 77%, avec un résultat financier effondré à 4 M FCFA (contre 271 M FCFA au S1 2024). On estime donc que l'exercice 2025 devrait se solder par une perte nette annuelle comprise entre -100 et -150 M FCFA, avec un retour à l'équilibre opérationnel encore lointain. Les rapports antérieurs (2024, 2021) montrent une dégradation continue depuis 2020 (CA de 15,9 Mds FCFA, résultat net de 2,32 Mds FCFA) : la chute de 2021 à 2024 (-80,6% de CA en 2024) puis le rebond technique de 2025 ne suffisent pas à restaurer la rentabilité.</w:t>
      </w:r>
    </w:p>
    <w:p>
      <w:pPr>
        <w:spacing w:after="120" w:line="276" w:lineRule="auto"/>
      </w:pPr>
      <w:r>
        <w:t>**Recommandation fondamentale** : La société présente une solidité financière très précaire (capitaux propres quasi-inexistants, endettement massif, flux opérationnels négatifs), malgré un rebond d'activité en 2025. Les risques sont élevés : dépendance à un seul projet (aéroport d'Abidjan), absence de dividendes depuis 2018, et menace sur la continuité d'exploitation si les pertes persistent. Les perspectives reposent sur la sécurisation de nouveaux contrats et un retour à la rentabilité opérationnelle, mais aucun signe tangible de redressement durable n'est visible à ce stade.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extrêmement tendue : un P/B de 81x pour une société déficitaire avec des capitaux propres de 356,75 M FCFA et un PER négatif (-299,3x) indique une surévaluation manifeste par rapport aux fondamentaux, le marché anticipant un retournement qui tarde à se matérialiser. Le comportement du cours (Partie 1) est préoccupant : tendance baissière de -19,17% sur 100 jours, volatilité annualisée de 61,6% (élevée), et cours actuel (2 150 FCFA) très en dessous de la moyenne (2 865 FCFA) et de la médiane (2 808 FCFA), avec une distribution quasi-symétrique (skewness 0,236) mais un kurtosis négatif (-0,760) qui n'écarte pas le risque de mouvements erratiques. Les signaux techniques (Partie 2) sont divergents : les moyennes mobiles confirment la tendance baissière (Vente), tandis que le MACD et le stochastique génèrent des signaux d'achat précoces en zone de survente — une configuration qui suggère un rebond technique possible mais fragile, sans inversion de tendance. Les fondamentaux (Partie 3) restent très dégradés : malgré un CA en hausse de +116% en 2025 (3,878 Mds FCFA), la perte nette de -96,56 M FCFA, le ROE de -27,07% et l'autonomie financière de 6,55% traduisent une situation financière critique, avec des flux opérationnels négatifs (-2,212 Mds FCFA) et une capacité de remboursement de 77,53 années. Les prédictions IA (J+1 à J+10) anticipent une poursuite de la baisse vers 2 090-2 111 FCFA, confirmant la pression baissière à court terme et contredisant les signaux d'achat techniques précoces. **En synthèse, la convergence est baissière** : valorisation surévaluée, tendance de fond négative, fondamentaux dégradés et prédictions IA à la baisse l'emportent sur les timides signaux de rebond technique. **Recommandation finale : VENTE** (ou VENTE FORTE pour les investisseurs averses au risque), avec un niveau de confiance **Moyen** (les signaux techniques divergents introduisent une incertitude sur le timing) et un risque global **Élevé** (volatilité de 61,6%, endettement massif, pertes récurrentes). L'horizon d'investissement recommandé est **court terme** (&lt;3 mois) pour les spéculateurs cherchant à profiter d'un éventuel rebond technique, mais la prudence commande d'éviter le titre pour tout horizon moyen ou long terme tant que la rentabilité opérationnelle n'est pas restaurée et que la structure financière n'est pas assainie.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394.47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3,650 titres</w:t>
            </w:r>
          </w:p>
        </w:tc>
        <w:tc>
          <w:tcPr>
            <w:tcW w:type="dxa" w:w="2268"/>
            <w:shd w:fill="FFF2CC" w:val="clear"/>
          </w:tcPr>
          <w:p>
            <w:r>
              <w:rPr>
                <w:b/>
                <w:color w:val="503200"/>
                <w:sz w:val="16"/>
              </w:rPr>
              <w:t xml:space="preserve">Cours actuel : </w:t>
            </w:r>
            <w:r>
              <w:rPr>
                <w:color w:val="000000"/>
                <w:sz w:val="17"/>
              </w:rPr>
              <w:t>21,970 FCFA</w:t>
            </w:r>
          </w:p>
          <w:p>
            <w:r>
              <w:rPr>
                <w:b/>
                <w:color w:val="503200"/>
                <w:sz w:val="16"/>
              </w:rPr>
              <w:t xml:space="preserve">Var. 100 jours : </w:t>
            </w:r>
            <w:r>
              <w:rPr>
                <w:b/>
                <w:color w:val="007800"/>
                <w:sz w:val="17"/>
              </w:rPr>
              <w:t>+2.19%</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5.03% (Moyenne) — μ=22,544 FCFA, σ=1,134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β=0.4515 (Défensif) — Cov=0.000031, Var(idx)=0.000068, ρ=0.160,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2026-10-05</w:t>
            </w:r>
          </w:p>
        </w:tc>
        <w:tc>
          <w:tcPr>
            <w:tcW w:type="dxa" w:w="1440"/>
            <w:shd w:fill="C6EFCE" w:val="clear"/>
          </w:tcPr>
          <w:p>
            <w:r>
              <w:rPr>
                <w:sz w:val="17"/>
              </w:rPr>
              <w:t>21,731</w:t>
            </w:r>
          </w:p>
        </w:tc>
        <w:tc>
          <w:tcPr>
            <w:tcW w:type="dxa" w:w="1440"/>
            <w:shd w:fill="C6EFCE" w:val="clear"/>
          </w:tcPr>
          <w:p>
            <w:r>
              <w:rPr>
                <w:b/>
                <w:sz w:val="17"/>
              </w:rPr>
              <w:t>23,067</w:t>
            </w:r>
          </w:p>
        </w:tc>
        <w:tc>
          <w:tcPr>
            <w:tcW w:type="dxa" w:w="1440"/>
            <w:shd w:fill="C6EFCE" w:val="clear"/>
          </w:tcPr>
          <w:p>
            <w:r>
              <w:rPr>
                <w:sz w:val="17"/>
              </w:rPr>
              <w:t>24,403</w:t>
            </w:r>
          </w:p>
        </w:tc>
        <w:tc>
          <w:tcPr>
            <w:tcW w:type="dxa" w:w="1440"/>
            <w:shd w:fill="C6EFCE" w:val="clear"/>
          </w:tcPr>
          <w:p>
            <w:r>
              <w:rPr>
                <w:b/>
                <w:color w:val="008000"/>
                <w:sz w:val="17"/>
              </w:rPr>
              <w:t>+5.0%</w:t>
            </w:r>
          </w:p>
        </w:tc>
      </w:tr>
      <w:tr>
        <w:tc>
          <w:tcPr>
            <w:tcW w:type="dxa" w:w="1440"/>
            <w:shd w:fill="C6EFCE" w:val="clear"/>
          </w:tcPr>
          <w:p>
            <w:r>
              <w:rPr>
                <w:sz w:val="17"/>
              </w:rPr>
              <w:t>J+2  ⭐</w:t>
            </w:r>
          </w:p>
        </w:tc>
        <w:tc>
          <w:tcPr>
            <w:tcW w:type="dxa" w:w="1440"/>
            <w:shd w:fill="C6EFCE" w:val="clear"/>
          </w:tcPr>
          <w:p>
            <w:r>
              <w:rPr>
                <w:sz w:val="17"/>
              </w:rPr>
              <w:t>2026-10-06</w:t>
            </w:r>
          </w:p>
        </w:tc>
        <w:tc>
          <w:tcPr>
            <w:tcW w:type="dxa" w:w="1440"/>
            <w:shd w:fill="C6EFCE" w:val="clear"/>
          </w:tcPr>
          <w:p>
            <w:r>
              <w:rPr>
                <w:sz w:val="17"/>
              </w:rPr>
              <w:t>21,711</w:t>
            </w:r>
          </w:p>
        </w:tc>
        <w:tc>
          <w:tcPr>
            <w:tcW w:type="dxa" w:w="1440"/>
            <w:shd w:fill="C6EFCE" w:val="clear"/>
          </w:tcPr>
          <w:p>
            <w:r>
              <w:rPr>
                <w:b/>
                <w:sz w:val="17"/>
              </w:rPr>
              <w:t>23,369</w:t>
            </w:r>
          </w:p>
        </w:tc>
        <w:tc>
          <w:tcPr>
            <w:tcW w:type="dxa" w:w="1440"/>
            <w:shd w:fill="C6EFCE" w:val="clear"/>
          </w:tcPr>
          <w:p>
            <w:r>
              <w:rPr>
                <w:sz w:val="17"/>
              </w:rPr>
              <w:t>25,027</w:t>
            </w:r>
          </w:p>
        </w:tc>
        <w:tc>
          <w:tcPr>
            <w:tcW w:type="dxa" w:w="1440"/>
            <w:shd w:fill="C6EFCE" w:val="clear"/>
          </w:tcPr>
          <w:p>
            <w:r>
              <w:rPr>
                <w:b/>
                <w:color w:val="008000"/>
                <w:sz w:val="17"/>
              </w:rPr>
              <w:t>+6.4%</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21,693</w:t>
            </w:r>
          </w:p>
        </w:tc>
        <w:tc>
          <w:tcPr>
            <w:tcW w:type="dxa" w:w="1440"/>
            <w:shd w:fill="C6EFCE" w:val="clear"/>
          </w:tcPr>
          <w:p>
            <w:r>
              <w:rPr>
                <w:b/>
                <w:sz w:val="17"/>
              </w:rPr>
              <w:t>23,628</w:t>
            </w:r>
          </w:p>
        </w:tc>
        <w:tc>
          <w:tcPr>
            <w:tcW w:type="dxa" w:w="1440"/>
            <w:shd w:fill="C6EFCE" w:val="clear"/>
          </w:tcPr>
          <w:p>
            <w:r>
              <w:rPr>
                <w:sz w:val="17"/>
              </w:rPr>
              <w:t>25,564</w:t>
            </w:r>
          </w:p>
        </w:tc>
        <w:tc>
          <w:tcPr>
            <w:tcW w:type="dxa" w:w="1440"/>
            <w:shd w:fill="C6EFCE" w:val="clear"/>
          </w:tcPr>
          <w:p>
            <w:r>
              <w:rPr>
                <w:b/>
                <w:color w:val="008000"/>
                <w:sz w:val="17"/>
              </w:rPr>
              <w:t>+7.5%</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21,629</w:t>
            </w:r>
          </w:p>
        </w:tc>
        <w:tc>
          <w:tcPr>
            <w:tcW w:type="dxa" w:w="1440"/>
            <w:shd w:fill="C6EFCE" w:val="clear"/>
          </w:tcPr>
          <w:p>
            <w:r>
              <w:rPr>
                <w:b/>
                <w:sz w:val="17"/>
              </w:rPr>
              <w:t>23,810</w:t>
            </w:r>
          </w:p>
        </w:tc>
        <w:tc>
          <w:tcPr>
            <w:tcW w:type="dxa" w:w="1440"/>
            <w:shd w:fill="C6EFCE" w:val="clear"/>
          </w:tcPr>
          <w:p>
            <w:r>
              <w:rPr>
                <w:sz w:val="17"/>
              </w:rPr>
              <w:t>25,991</w:t>
            </w:r>
          </w:p>
        </w:tc>
        <w:tc>
          <w:tcPr>
            <w:tcW w:type="dxa" w:w="1440"/>
            <w:shd w:fill="C6EFCE" w:val="clear"/>
          </w:tcPr>
          <w:p>
            <w:r>
              <w:rPr>
                <w:b/>
                <w:color w:val="008000"/>
                <w:sz w:val="17"/>
              </w:rPr>
              <w:t>+8.4%</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21,508</w:t>
            </w:r>
          </w:p>
        </w:tc>
        <w:tc>
          <w:tcPr>
            <w:tcW w:type="dxa" w:w="1440"/>
            <w:shd w:fill="C6EFCE" w:val="clear"/>
          </w:tcPr>
          <w:p>
            <w:r>
              <w:rPr>
                <w:b/>
                <w:sz w:val="17"/>
              </w:rPr>
              <w:t>23,907</w:t>
            </w:r>
          </w:p>
        </w:tc>
        <w:tc>
          <w:tcPr>
            <w:tcW w:type="dxa" w:w="1440"/>
            <w:shd w:fill="C6EFCE" w:val="clear"/>
          </w:tcPr>
          <w:p>
            <w:r>
              <w:rPr>
                <w:sz w:val="17"/>
              </w:rPr>
              <w:t>26,305</w:t>
            </w:r>
          </w:p>
        </w:tc>
        <w:tc>
          <w:tcPr>
            <w:tcW w:type="dxa" w:w="1440"/>
            <w:shd w:fill="C6EFCE" w:val="clear"/>
          </w:tcPr>
          <w:p>
            <w:r>
              <w:rPr>
                <w:b/>
                <w:color w:val="008000"/>
                <w:sz w:val="17"/>
              </w:rPr>
              <w:t>+8.8%</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21,437</w:t>
            </w:r>
          </w:p>
        </w:tc>
        <w:tc>
          <w:tcPr>
            <w:tcW w:type="dxa" w:w="1440"/>
            <w:shd w:fill="C6EFCE" w:val="clear"/>
          </w:tcPr>
          <w:p>
            <w:r>
              <w:rPr>
                <w:b/>
                <w:sz w:val="17"/>
              </w:rPr>
              <w:t>24,042</w:t>
            </w:r>
          </w:p>
        </w:tc>
        <w:tc>
          <w:tcPr>
            <w:tcW w:type="dxa" w:w="1440"/>
            <w:shd w:fill="C6EFCE" w:val="clear"/>
          </w:tcPr>
          <w:p>
            <w:r>
              <w:rPr>
                <w:sz w:val="17"/>
              </w:rPr>
              <w:t>26,647</w:t>
            </w:r>
          </w:p>
        </w:tc>
        <w:tc>
          <w:tcPr>
            <w:tcW w:type="dxa" w:w="1440"/>
            <w:shd w:fill="C6EFCE" w:val="clear"/>
          </w:tcPr>
          <w:p>
            <w:r>
              <w:rPr>
                <w:b/>
                <w:color w:val="008000"/>
                <w:sz w:val="17"/>
              </w:rPr>
              <w:t>+9.4%</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21,449</w:t>
            </w:r>
          </w:p>
        </w:tc>
        <w:tc>
          <w:tcPr>
            <w:tcW w:type="dxa" w:w="1440"/>
            <w:shd w:fill="C6EFCE" w:val="clear"/>
          </w:tcPr>
          <w:p>
            <w:r>
              <w:rPr>
                <w:b/>
                <w:sz w:val="17"/>
              </w:rPr>
              <w:t>24,259</w:t>
            </w:r>
          </w:p>
        </w:tc>
        <w:tc>
          <w:tcPr>
            <w:tcW w:type="dxa" w:w="1440"/>
            <w:shd w:fill="C6EFCE" w:val="clear"/>
          </w:tcPr>
          <w:p>
            <w:r>
              <w:rPr>
                <w:sz w:val="17"/>
              </w:rPr>
              <w:t>27,070</w:t>
            </w:r>
          </w:p>
        </w:tc>
        <w:tc>
          <w:tcPr>
            <w:tcW w:type="dxa" w:w="1440"/>
            <w:shd w:fill="C6EFCE" w:val="clear"/>
          </w:tcPr>
          <w:p>
            <w:r>
              <w:rPr>
                <w:b/>
                <w:color w:val="008000"/>
                <w:sz w:val="17"/>
              </w:rPr>
              <w:t>+10.4%</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21,369</w:t>
            </w:r>
          </w:p>
        </w:tc>
        <w:tc>
          <w:tcPr>
            <w:tcW w:type="dxa" w:w="1440"/>
            <w:shd w:fill="C6EFCE" w:val="clear"/>
          </w:tcPr>
          <w:p>
            <w:r>
              <w:rPr>
                <w:b/>
                <w:sz w:val="17"/>
              </w:rPr>
              <w:t>24,363</w:t>
            </w:r>
          </w:p>
        </w:tc>
        <w:tc>
          <w:tcPr>
            <w:tcW w:type="dxa" w:w="1440"/>
            <w:shd w:fill="C6EFCE" w:val="clear"/>
          </w:tcPr>
          <w:p>
            <w:r>
              <w:rPr>
                <w:sz w:val="17"/>
              </w:rPr>
              <w:t>27,356</w:t>
            </w:r>
          </w:p>
        </w:tc>
        <w:tc>
          <w:tcPr>
            <w:tcW w:type="dxa" w:w="1440"/>
            <w:shd w:fill="C6EFCE" w:val="clear"/>
          </w:tcPr>
          <w:p>
            <w:r>
              <w:rPr>
                <w:b/>
                <w:color w:val="008000"/>
                <w:sz w:val="17"/>
              </w:rPr>
              <w:t>+10.9%</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21,296</w:t>
            </w:r>
          </w:p>
        </w:tc>
        <w:tc>
          <w:tcPr>
            <w:tcW w:type="dxa" w:w="1440"/>
            <w:shd w:fill="C6EFCE" w:val="clear"/>
          </w:tcPr>
          <w:p>
            <w:r>
              <w:rPr>
                <w:b/>
                <w:sz w:val="17"/>
              </w:rPr>
              <w:t>24,464</w:t>
            </w:r>
          </w:p>
        </w:tc>
        <w:tc>
          <w:tcPr>
            <w:tcW w:type="dxa" w:w="1440"/>
            <w:shd w:fill="C6EFCE" w:val="clear"/>
          </w:tcPr>
          <w:p>
            <w:r>
              <w:rPr>
                <w:sz w:val="17"/>
              </w:rPr>
              <w:t>27,633</w:t>
            </w:r>
          </w:p>
        </w:tc>
        <w:tc>
          <w:tcPr>
            <w:tcW w:type="dxa" w:w="1440"/>
            <w:shd w:fill="C6EFCE" w:val="clear"/>
          </w:tcPr>
          <w:p>
            <w:r>
              <w:rPr>
                <w:b/>
                <w:color w:val="008000"/>
                <w:sz w:val="17"/>
              </w:rPr>
              <w:t>+11.4%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Secteur : Entreprise non bancaire (Distribution de tabac)*</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394,47 milliards FCFA, STBC figure parmi les valeurs les plus capitalisées de la cote BRVM, ce qui en fait un pilier de l'indice composite et un titre de référence pour les investisseurs institutionnels de la zone UEMOA. Le BPA de 2 014 FCFA/action signifie que chaque titre génère un peu plus de 2 000 FCFA de bénéfice net, un niveau de rentabilité par action élevé qui traduit la forte profitabilité de la société. Le PER de 10,9x se situe dans la fourchette moyenne du marché BRVM (~8-12x), indiquant que les investisseurs ne paient pas de prime excessive pour les bénéfices, ce qui suggère une valorisation raisonnable voire légèrement attractive au regard de la qualité de l'émetteur. En revanche, le P/B de 8,70x est très supérieur au seuil de 4x généralement considéré comme exigeant : le marché valorise STBC à près de 9 fois sa valeur comptable, ce qui reflète la reconnaissance d'une rentabilité exceptionnelle (ROE de 79,75%) mais expose le titre à un risque de correction si cette rentabilité venait à s'éroder. Enfin, l'EV/EBITDA de 7,8x, dans la fourchette raisonnable de 5-10x, confirme que la valeur d'entreprise reste cohérente avec la capacité opérationnelle de génération de cash-flows, ce qui tempère le signal exigeant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STBC a progressé de +2,19% pour s'établir à 21 970 FCFA, avec une variation nulle sur la dernière séance (J-1 : +0,00%), signe d'une certaine inertie à court terme. Le range de trading est relativement resserré, entre un plus bas de 20 895 FCFA et un plus haut de 25 000 FCFA, soit une amplitude d'environ 20% qui traduit une tendance générale haussière mais avec des phases de consolidation marquées. La moyenne du cours sur la période (22 544 FCFA) est supérieure à la médiane (22 218 FCFA), tandis que le mode se situe à 22 000 FCFA : cet écart entre moyenne et médiane, combiné à un skewness positif de 0,538, indique une asymétrie à droite — le titre a passé plus de journées sous sa moyenne, avec quelques pics haussiers tirant la moyenne vers le haut. L'écart-type de 1 139 FCFA et le coefficient de variation de 5,1% révèlent une dispersion modérée du cours autour de sa tendance, ce qui est rassurant pour un titre de cette capitalisation. Le kurtosis de -0,754 (mésokurtique) suggère une distribution proche de la normale, sans risque majeur de pics extrêmes, ce qui est un facteur de stabilité. En revanche, la volatilité annualisée de 36,7% positionne STBC dans la catégorie des titres à volatilité élevée (&gt;30%), ce qui implique un risque de fluctuation significatif et justifie une approche d'investissement prudente avec un horizon adapté.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21 744,25 FCFA et la MM50 à 22 583,30 FCFA, tandis que le cours actuel (21 970 FCFA) se situe au-dessus de la MM20 mais en dessous de la MM50. Cette configuration — cours coincé entre les deux moyennes — traduit une tendance incertaine à court terme, avec une pression baissière de la MM50 qui agit comme résistance. La décision technique qui en résulte est « Vente », car le croisement potentiel de la MM20 sous la MM50 (death cross) reste un risque si le cours ne parvient pas à reconquérir la MM50.</w:t>
      </w:r>
    </w:p>
    <w:p>
      <w:pPr>
        <w:spacing w:after="120" w:line="276" w:lineRule="auto"/>
      </w:pPr>
      <w:r>
        <w:t>**Bandes de Bollinger** : La borne supérieure est à 22 502,39 FCFA et la borne inférieure à 20 986,11 FCFA, avec un cours actuel de 21 970 FCFA qui se situe légèrement au-dessus de la médiane des bandes. Le cours évolue donc dans la partie médiane-haute du canal, sans atteindre les extrêmes, ce qui indique une volatilité contenue et l'absence de signal de surachat ou de survente. La décision « Neutre » est cohérente avec cette position équilibrée dans les bandes.</w:t>
      </w:r>
    </w:p>
    <w:p>
      <w:pPr>
        <w:spacing w:after="120" w:line="276" w:lineRule="auto"/>
      </w:pPr>
      <w:r>
        <w:t>**MACD** : La valeur du MACD est de -233,666 contre un signal à -339,129, soit un MACD supérieur à son signal de 105,46 points. Cette divergence positive indique un momentum haussier en formation, le MACD ayant récemment croisé au-dessus de sa ligne de signal — un signal d'achat classique. La décision « Achat » est donc justifiée par cette dynamique positive, bien que la valeur absolue du MACD reste négative, ce qui tempère la portée du signal.</w:t>
      </w:r>
    </w:p>
    <w:p>
      <w:pPr>
        <w:spacing w:after="120" w:line="276" w:lineRule="auto"/>
      </w:pPr>
      <w:r>
        <w:t>**RSI** : Le RSI s'établit à 47,569, dans la zone neutre (30-70), sans signe de surachat (&gt;70) ni de survente (&lt;30). Cette valeur médiane indique un équilibre entre acheteurs et vendeurs, sans pression directionnelle dominante. La décision « Neutre » reflète cette absence de signal fort, le titre n'étant ni dans une zone d'achat opportuniste ni dans une zone de vente risquée.</w:t>
      </w:r>
    </w:p>
    <w:p>
      <w:pPr>
        <w:spacing w:after="120" w:line="276" w:lineRule="auto"/>
      </w:pPr>
      <w:r>
        <w:t>**Stochastique** : Le %K est à 99,537 et le %D à 88,224, avec un %K nettement supérieur au %D et proche de 100. Cette configuration signale un surachat marqué à court terme, le %K étant proche de son maximum historique. La décision « Vente » est justifiée par ce risque de correction imminente, le stochastique étant un indicateur avancé de retournement.</w:t>
      </w:r>
    </w:p>
    <w:p>
      <w:pPr>
        <w:spacing w:after="120" w:line="276" w:lineRule="auto"/>
      </w:pPr>
      <w:r>
        <w:t>**Conclusion technique** : Les indicateurs techniques présentent une divergence notable : le MACD génère un signal d'achat (momentum positif) tandis que les Moyennes Mobiles et le Stochastique recommandent la vente (surachat et pression baissière de la MM50). Le RSI et les Bandes de Bollinger restent neutres, reflétant l'absence de tendance claire. Cette divergence suggère un marché indécis, avec un potentiel haussier à court terme (MACD) mais un risque de correction après le surachat stochastique — une configuration qui plaide pour la prudence et un positionnement attentiste.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STBC (SITAB) a réalisé un chiffre d'affaires de 268,537 milliards FCFA, en croissance de 25,3% par rapport à 2024, portée par une hausse des volumes (+5,6%) et un effet prix favorable. Le résultat net s'établit à 36,158 milliards FCFA, en baisse de 17,5% sur un an, sous l'effet de la hausse des droits d'accise (de 49% à 70%) et d'un contrôle fiscal. La marge nette se contracte à 13,46% (contre 20,4% en 2024), tandis que le ROE reste exceptionnel à 79,75% et le ROA à 48,09%, confirmant la remarquable efficacité du modèle « pur trading » malgré la pression fiscale. Le BFR est négatif à -5,639 milliards FCFA (favorable), la trésorerie nette s'élève à 30,763 milliards FCFA (en baisse de 36% sur un an), et la société est quasi sans dette financière (1,4 million FCFA), avec une autonomie financière de 60,3% et une liquidité générale de 225%. Les délais clients (42,57 jours) et de stockage (5,73 jours) sont maîtrisés, mais le taux de distribution du dividende (105,3% en 2025 selon le rapport du 31/12/2025) apparaît non soutenable à long terme.</w:t>
      </w:r>
    </w:p>
    <w:p>
      <w:pPr>
        <w:spacing w:after="120" w:line="276" w:lineRule="auto"/>
      </w:pPr>
      <w:r>
        <w:t>**Estimations basées sur les rapports trimestriels** : Le rapport T1 2026 (publié en 2026) indique un chiffre d'affaires de 68,8 milliards FCFA (+12%) et des volumes en hausse de 10%, mais un résultat net stable à 9,3 milliards FCFA (-1%) sous l'effet de la hausse des charges. Le rapport T2 2026 (publié en 2026) confirme cette tendance avec un CA de 70,05 milliards FCFA (+1%) et un résultat net quasi stable à 8,64 milliards FCFA (-0,2%), démontrant une résilience de la rentabilité (marge nette de 12,3%). Sur la base de ces deux trimestres, on peut estimer que l'exercice 2026 devrait afficher une croissance modérée du chiffre d'affaires (autour de +5-8%) et une stabilisation du résultat net autour de 35-37 milliards FCFA, avec une marge nette maintenue entre 12% et 13,5%. Le rapport annuel 2025 (publié en 2026) confirme la solidité bilantielle (capitaux propres de 45,6 milliards FCFA) et la politique de dividende généreuse (1 940 FCFA/action, soit un rendement d'environ 8,8% au cours actuel de 21 970 FCFA).</w:t>
      </w:r>
    </w:p>
    <w:p>
      <w:pPr>
        <w:spacing w:after="120" w:line="276" w:lineRule="auto"/>
      </w:pPr>
      <w:r>
        <w:t>**Recommandation fondamentale** : STBC présente une solidité financière remarquable (zéro dette, trésorerie abondante, ROE exceptionnel) et une dynamique commerciale robuste, mais fait face à une dégradation structurelle de ses marges sous l'effet de la fiscalité et de la hausse des coûts. La politique de dividende, bien qu'attractive, n'est pas soutenable à long terme (taux de distribution &gt;100%). La recommandation fondamentale est **CONSERVER**, avec une surveillance attentive de l'évolution des marges et de la capacité de la société à maîtriser ses charges en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STBC apparaît raisonnable sur la base du PER (10,9x) et de l'EV/EBITDA (7,8x), mais exigeante sur le P/B (8,70x), ce qui reflète la reconnaissance d'une rentabilité exceptionnelle tout en exposant le titre à un risque de correction si cette rentabilité s'érode. Le comportement du cours sur 100 jours (+2,19%) est stable mais peu dynamique, avec une volatilité élevée (36,7%) et une asymétrie positive (skewness de 0,538) qui suggère quelques pics haussiers sans tendance de fond claire. Les signaux techniques sont divergents : le MACD est haussier (achat) tandis que les Moyennes Mobiles et le Stochastique sont baissiers (vente), le RSI et les Bandes de Bollinger restant neutres — une configuration qui plaide pour l'attentisme. Les fondamentaux sont solides (croissance du CA de 25,3% en 2025, ROE de 79,75%, trésorerie de 30,8 milliards FCFA) mais entachés par la baisse du résultat net (-17,5%) et la pression fiscale, avec des estimations 2026 modérées (croissance de 5-8% du CA, résultat net stable). Les prédictions IA pour les 10 prochains jours ouvrables (de 23 067 FCFA le 05/10/2026 à 23 907 FCFA le 09/10/2026) tablent sur une hausse d'environ 8,8% à court terme, ce qui contredit les signaux baissiers des Moyennes Mobiles et du Stochastique mais confirme le momentum haussier du MACD. Sur la base de cette synthèse, la recommandation finale est **CONSERVER**, avec un niveau de confiance **Moyen** et un risque global **Moyen**. L'horizon d'investissement optimal est le **moyen terme (3-12 mois)**, en attendant les résultats du second semestre 2026 pour vérifier si la maîtrise des charges s'améliore et si la politique de dividende devient plus soutenable. Un achat n'est pas conseillé tant que la tendance baissière du résultat net n'est pas inversée, mais la solidité bilantielle et le rendement attractif justifient de conserver la ligne pour les investisseurs déjà positionnés.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189.51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7,039 titres</w:t>
            </w:r>
          </w:p>
        </w:tc>
        <w:tc>
          <w:tcPr>
            <w:tcW w:type="dxa" w:w="2268"/>
            <w:shd w:fill="FFF2CC" w:val="clear"/>
          </w:tcPr>
          <w:p>
            <w:r>
              <w:rPr>
                <w:b/>
                <w:color w:val="503200"/>
                <w:sz w:val="16"/>
              </w:rPr>
              <w:t xml:space="preserve">Cours actuel : </w:t>
            </w:r>
            <w:r>
              <w:rPr>
                <w:color w:val="000000"/>
                <w:sz w:val="17"/>
              </w:rPr>
              <w:t>3,010 FCFA</w:t>
            </w:r>
          </w:p>
          <w:p>
            <w:r>
              <w:rPr>
                <w:b/>
                <w:color w:val="503200"/>
                <w:sz w:val="16"/>
              </w:rPr>
              <w:t xml:space="preserve">Var. 100 jours : </w:t>
            </w:r>
            <w:r>
              <w:rPr>
                <w:b/>
                <w:color w:val="007800"/>
                <w:sz w:val="17"/>
              </w:rPr>
              <w:t>+9.45%</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2,750 FCFA</w:t>
            </w:r>
          </w:p>
          <w:p>
            <w:r>
              <w:rPr>
                <w:b/>
                <w:color w:val="503200"/>
                <w:sz w:val="16"/>
              </w:rPr>
              <w:t xml:space="preserve">Volatilité ann. : </w:t>
            </w:r>
            <w:r>
              <w:rPr>
                <w:color w:val="000000"/>
                <w:sz w:val="17"/>
              </w:rPr>
              <w:t>42.9%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6.39% (Moyenne) — μ=3,020 FCFA, σ=193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β=0.1081 (Défensif) — Cov=0.000007, Var(idx)=0.000068, ρ=0.033,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7,039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σ_j=2.70%/j (Stable) — Vol. annualisée≈42.9%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2,830</w:t>
            </w:r>
          </w:p>
        </w:tc>
        <w:tc>
          <w:tcPr>
            <w:tcW w:type="dxa" w:w="1440"/>
            <w:shd w:fill="FAFAFA" w:val="clear"/>
          </w:tcPr>
          <w:p>
            <w:r>
              <w:rPr>
                <w:b/>
                <w:sz w:val="17"/>
              </w:rPr>
              <w:t>3,005</w:t>
            </w:r>
          </w:p>
        </w:tc>
        <w:tc>
          <w:tcPr>
            <w:tcW w:type="dxa" w:w="1440"/>
            <w:shd w:fill="FAFAFA" w:val="clear"/>
          </w:tcPr>
          <w:p>
            <w:r>
              <w:rPr>
                <w:sz w:val="17"/>
              </w:rPr>
              <w:t>3,180</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2,790</w:t>
            </w:r>
          </w:p>
        </w:tc>
        <w:tc>
          <w:tcPr>
            <w:tcW w:type="dxa" w:w="1440"/>
            <w:shd w:fill="FAFAFA" w:val="clear"/>
          </w:tcPr>
          <w:p>
            <w:r>
              <w:rPr>
                <w:b/>
                <w:sz w:val="17"/>
              </w:rPr>
              <w:t>3,004</w:t>
            </w:r>
          </w:p>
        </w:tc>
        <w:tc>
          <w:tcPr>
            <w:tcW w:type="dxa" w:w="1440"/>
            <w:shd w:fill="FAFAFA" w:val="clear"/>
          </w:tcPr>
          <w:p>
            <w:r>
              <w:rPr>
                <w:sz w:val="17"/>
              </w:rPr>
              <w:t>3,219</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2,754</w:t>
            </w:r>
          </w:p>
        </w:tc>
        <w:tc>
          <w:tcPr>
            <w:tcW w:type="dxa" w:w="1440"/>
            <w:shd w:fill="FAFAFA" w:val="clear"/>
          </w:tcPr>
          <w:p>
            <w:r>
              <w:rPr>
                <w:b/>
                <w:sz w:val="17"/>
              </w:rPr>
              <w:t>3,001</w:t>
            </w:r>
          </w:p>
        </w:tc>
        <w:tc>
          <w:tcPr>
            <w:tcW w:type="dxa" w:w="1440"/>
            <w:shd w:fill="FAFAFA" w:val="clear"/>
          </w:tcPr>
          <w:p>
            <w:r>
              <w:rPr>
                <w:sz w:val="17"/>
              </w:rPr>
              <w:t>3,249</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2,721</w:t>
            </w:r>
          </w:p>
        </w:tc>
        <w:tc>
          <w:tcPr>
            <w:tcW w:type="dxa" w:w="1440"/>
            <w:shd w:fill="FAFAFA" w:val="clear"/>
          </w:tcPr>
          <w:p>
            <w:r>
              <w:rPr>
                <w:b/>
                <w:sz w:val="17"/>
              </w:rPr>
              <w:t>2,997</w:t>
            </w:r>
          </w:p>
        </w:tc>
        <w:tc>
          <w:tcPr>
            <w:tcW w:type="dxa" w:w="1440"/>
            <w:shd w:fill="FAFAFA" w:val="clear"/>
          </w:tcPr>
          <w:p>
            <w:r>
              <w:rPr>
                <w:sz w:val="17"/>
              </w:rPr>
              <w:t>3,273</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2,690</w:t>
            </w:r>
          </w:p>
        </w:tc>
        <w:tc>
          <w:tcPr>
            <w:tcW w:type="dxa" w:w="1440"/>
            <w:shd w:fill="FAFAFA" w:val="clear"/>
          </w:tcPr>
          <w:p>
            <w:r>
              <w:rPr>
                <w:b/>
                <w:sz w:val="17"/>
              </w:rPr>
              <w:t>2,992</w:t>
            </w:r>
          </w:p>
        </w:tc>
        <w:tc>
          <w:tcPr>
            <w:tcW w:type="dxa" w:w="1440"/>
            <w:shd w:fill="FAFAFA" w:val="clear"/>
          </w:tcPr>
          <w:p>
            <w:r>
              <w:rPr>
                <w:sz w:val="17"/>
              </w:rPr>
              <w:t>3,294</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2,662</w:t>
            </w:r>
          </w:p>
        </w:tc>
        <w:tc>
          <w:tcPr>
            <w:tcW w:type="dxa" w:w="1440"/>
            <w:shd w:fill="FAFAFA" w:val="clear"/>
          </w:tcPr>
          <w:p>
            <w:r>
              <w:rPr>
                <w:b/>
                <w:sz w:val="17"/>
              </w:rPr>
              <w:t>2,987</w:t>
            </w:r>
          </w:p>
        </w:tc>
        <w:tc>
          <w:tcPr>
            <w:tcW w:type="dxa" w:w="1440"/>
            <w:shd w:fill="FAFAFA" w:val="clear"/>
          </w:tcPr>
          <w:p>
            <w:r>
              <w:rPr>
                <w:sz w:val="17"/>
              </w:rPr>
              <w:t>3,312</w:t>
            </w:r>
          </w:p>
        </w:tc>
        <w:tc>
          <w:tcPr>
            <w:tcW w:type="dxa" w:w="1440"/>
            <w:shd w:fill="FAFAFA" w:val="clear"/>
          </w:tcPr>
          <w:p>
            <w:r>
              <w:rPr>
                <w:b/>
                <w:color w:val="C00000"/>
                <w:sz w:val="17"/>
              </w:rPr>
              <w:t>-0.8%</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2,635</w:t>
            </w:r>
          </w:p>
        </w:tc>
        <w:tc>
          <w:tcPr>
            <w:tcW w:type="dxa" w:w="1440"/>
            <w:shd w:fill="FAFAFA" w:val="clear"/>
          </w:tcPr>
          <w:p>
            <w:r>
              <w:rPr>
                <w:b/>
                <w:sz w:val="17"/>
              </w:rPr>
              <w:t>2,982</w:t>
            </w:r>
          </w:p>
        </w:tc>
        <w:tc>
          <w:tcPr>
            <w:tcW w:type="dxa" w:w="1440"/>
            <w:shd w:fill="FAFAFA" w:val="clear"/>
          </w:tcPr>
          <w:p>
            <w:r>
              <w:rPr>
                <w:sz w:val="17"/>
              </w:rPr>
              <w:t>3,329</w:t>
            </w:r>
          </w:p>
        </w:tc>
        <w:tc>
          <w:tcPr>
            <w:tcW w:type="dxa" w:w="1440"/>
            <w:shd w:fill="FAFAFA" w:val="clear"/>
          </w:tcPr>
          <w:p>
            <w:r>
              <w:rPr>
                <w:b/>
                <w:color w:val="C00000"/>
                <w:sz w:val="17"/>
              </w:rPr>
              <w:t>-0.9%</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2,609</w:t>
            </w:r>
          </w:p>
        </w:tc>
        <w:tc>
          <w:tcPr>
            <w:tcW w:type="dxa" w:w="1440"/>
            <w:shd w:fill="FAFAFA" w:val="clear"/>
          </w:tcPr>
          <w:p>
            <w:r>
              <w:rPr>
                <w:b/>
                <w:sz w:val="17"/>
              </w:rPr>
              <w:t>2,977</w:t>
            </w:r>
          </w:p>
        </w:tc>
        <w:tc>
          <w:tcPr>
            <w:tcW w:type="dxa" w:w="1440"/>
            <w:shd w:fill="FAFAFA" w:val="clear"/>
          </w:tcPr>
          <w:p>
            <w:r>
              <w:rPr>
                <w:sz w:val="17"/>
              </w:rPr>
              <w:t>3,345</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2,585</w:t>
            </w:r>
          </w:p>
        </w:tc>
        <w:tc>
          <w:tcPr>
            <w:tcW w:type="dxa" w:w="1440"/>
            <w:shd w:fill="FAFAFA" w:val="clear"/>
          </w:tcPr>
          <w:p>
            <w:r>
              <w:rPr>
                <w:b/>
                <w:sz w:val="17"/>
              </w:rPr>
              <w:t>2,972</w:t>
            </w:r>
          </w:p>
        </w:tc>
        <w:tc>
          <w:tcPr>
            <w:tcW w:type="dxa" w:w="1440"/>
            <w:shd w:fill="FAFAFA" w:val="clear"/>
          </w:tcPr>
          <w:p>
            <w:r>
              <w:rPr>
                <w:sz w:val="17"/>
              </w:rPr>
              <w:t>3,359</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TTLC (TotalEnergies Marketing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189,51 milliards FCFA, TTLC figure parmi les valeurs les plus capitalisées de la BRVM, ce qui témoigne de son statut de leader du secteur énergétique ivoirien et de sa liquidité relative sur le marché régional. Le BPA de 144 FCFA/action signifie que chaque titre génère 144 FCFA de bénéfice net, un niveau appréciable pour une entreprise de distribution à faibles marges. Le PER de 20,9x se situe nettement au-dessus de la moyenne BRVM (estimée entre 8 et 12x), ce qui indique que les investisseurs paient une prime significative pour les bénéfices de la société — soit en anticipation d'une croissance future, soit en raison d'une surévaluation. Le P/B de 5,23x confirme cette prime : le marché valorise TTLC à plus de cinq fois sa valeur comptable, un niveau exigeant qui suppose une forte rentabilité des fonds propres (ROE de 25,1% en 2025, ce qui le justifie partiellement). Enfin, l'EV/EBITDA de 10,9x, dans la fourchette haute (10-15x), traduit une valorisation tendue par rapport à la capacité opérationnelle de génération de cash, ce qui invite à la prudence malgré la qualité de l'actif.</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TTLC affiche une variation totale positive de +9,45%, mais la dernière séance (J-1) a enregistré un net repli de -5,94%, signalant une correction brutale après une phase de progression. Le cours actuel de 3 010 FCFA se situe dans la partie médiane du range de trading, entre un plus bas de 2 750 FCFA et un plus haut de 3 595 FCFA, ce qui traduit une tendance globalement haussière mais avec une volatilité intra-période marquée. Les statistiques descriptives révèlent une moyenne de 3 020 FCFA légèrement supérieure à la médiane de 2 950 FCFA, avec un mode à 2 900 FCFA : cet écart indique une distribution asymétrique positivement (skewness de 0,882), confirmant que davantage de journées se sont situées sous la moyenne, avec quelques pics haussiers tirant la moyenne vers le haut. L'écart-type de 194 FCFA (CV de 6,4%) traduit une dispersion modérée du cours autour de sa moyenne, tandis que le kurtosis de -0,313 (mésokurtique) suggère une distribution proche de la normale, sans risque excessif de pics extrêmes. La volatilité annualisée de 42,9% classe le titre dans la catégorie des valeurs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(3 187 FCFA) et la MM50 (3 158,7 FCFA) se situent toutes deux au-dessus du cours actuel (3 010 FCFA), ce qui place le titre en position baissière à court terme par rapport à ses moyennes. Cependant, la décision technique affichée est "Achat", probablement en raison du croisement haussier potentiel ou du retour du cours vers des niveaux de support historiques. La configuration suggère une pression vendeuse récente, mais un potentiel de rebond technique si le cours parvient à se stabiliser.</w:t>
      </w:r>
    </w:p>
    <w:p>
      <w:pPr>
        <w:spacing w:after="120" w:line="276" w:lineRule="auto"/>
      </w:pPr>
      <w:r>
        <w:t>**Bandes de Bollinger** : Le cours actuel (3 010 FCFA) se situe juste au-dessus de la borne inférieure (2 968,65 FCFA) et loin de la borne supérieure (3 405,35 FCFA), indiquant une position proche du bas du canal de volatilité. La décision "Neutre" reflète l'absence de signal clair : le titre n'est ni en surachat ni en survente extrême, mais la proximité de la borne inférieure pourrait attirer des acheteurs à la recherche de points d'entrée.</w:t>
      </w:r>
    </w:p>
    <w:p>
      <w:pPr>
        <w:spacing w:after="120" w:line="276" w:lineRule="auto"/>
      </w:pPr>
      <w:r>
        <w:t>**MACD** : La valeur du MACD (-33,046) est inférieure à son signal (-15,991), confirmant une dynamique baissière avec un momentum négatif. La décision "Vente" est cohérente avec cette configuration : la divergence négative indique que la pression vendeuse l'emporte sur la pression acheteuse à court terme, et un croisement haussier n'est pas encore visible.</w:t>
      </w:r>
    </w:p>
    <w:p>
      <w:pPr>
        <w:spacing w:after="120" w:line="276" w:lineRule="auto"/>
      </w:pPr>
      <w:r>
        <w:t>**RSI** : À 32,692, le RSI se situe dans la zone neutre basse (30-70), proche du seuil de survente (30). La décision "Neutre" suggère que le titre n'est pas encore techniquement en survente, mais la proximité de ce seuil pourrait annoncer un rebond imminent si la pression vendeuse s'atténue.</w:t>
      </w:r>
    </w:p>
    <w:p>
      <w:pPr>
        <w:spacing w:after="120" w:line="276" w:lineRule="auto"/>
      </w:pPr>
      <w:r>
        <w:t>**Stochastique** : Le %K (8,333) est très inférieur au %D (47,778), ce qui indique une position de survente marquée sur cet indicateur. La décision "Achat" est justifiée par cette configuration : le %K en zone basse suggère que le titre pourrait être survendu à très court terme, et un croisement haussier du %K au-dessus du %D serait un signal d'achat.</w:t>
      </w:r>
    </w:p>
    <w:p>
      <w:pPr>
        <w:spacing w:after="120" w:line="276" w:lineRule="auto"/>
      </w:pPr>
      <w:r>
        <w:t>**Conclusion technique** : Les indicateurs techniques présentent un tableau mitigé. Les moyennes mobiles et le MACD sont baissiers, tandis que le stochastique et la proximité de la borne inférieure de Bollinger suggèrent un potentiel de rebond. Le RSI neutre et les bandes de Bollinger neutres confirment l'absence de signal directionnel fort. Dans l'ensemble, le titre se trouve dans une phase de consolidation baissière à court terme, avec des signaux d'achat émergents sur les indicateurs de survente (stochastique), mais une confirmation haussière manquante.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TotalEnergies Marketing Côte d'Ivoire a réalisé un chiffre d'affaires de 588,709 milliards FCFA, en repli de 5,2% par rapport à 2024 (621,042 milliards FCFA), reflétant un ralentissement des volumes et un effet de base défavorable. Le résultat net s'établit à 9,087 milliards FCFA, en légère baisse de 3% par rapport à 2024 (9,374 milliards), mais la marge nette s'améliore marginalement à 1,54% (contre 1,51% en 2024). Le ROE de 25,1% demeure excellent (&gt;15%), témoignant d'une forte rentabilité des fonds propres (36,202 milliards FCFA), tandis que le ROA de 4,82% reste modéré, typique d'une activité de distribution à forte rotation d'actifs (312,36%). La valeur ajoutée progresse de 7% à 29,553 milliards FCFA et l'EBE de 12% à 22,347 milliards FCFA, signe d'une meilleure maîtrise des coûts d'approvisionnement et d'un mix produit plus favorable. Le BFR est négatif (-9,662 milliards FCFA), ce qui est favorable pour la trésorerie, mais la trésorerie nette est négative (-21,926 milliards FCFA), traduisant une dépendance aux crédits bancaires court terme. Le ratio d'endettement de 90,23% (dettes totales/capitaux propres) et l'autonomie financière de 19,21% (inférieure au seuil sain de 30%) constituent des points de vigilance. Les délais fournisseurs (49,72 jours) et la durée de stockage (13,80 jours) sont bien maîtrisés, mais la liquidité générale (78,77%) est inférieure à 1, signalant une pression sur la trésorerie à court terme.</w:t>
      </w:r>
    </w:p>
    <w:p>
      <w:pPr>
        <w:spacing w:after="120" w:line="276" w:lineRule="auto"/>
      </w:pPr>
      <w:r>
        <w:t>**Estimations basées sur les rapports trimestriels** : Le rapport T1 2026 (publié en 2026) indique un chiffre d'affaires de 154,392 milliards FCFA, en hausse de 4,3% par rapport au T1 2025, et un résultat net de 2,329 milliards FCFA (+5,5%), confirmant un retour à la croissance. Le rapport annuel 2025 (publié en 2026) confirme le dividende brut de 10 milliards FCFA, soit un taux de distribution supérieur à 100% du résultat net, ce qui implique un prélèvement sur les réserves et pose la question de la soutenabilité de cette politique. Le rapport du T3 2025 (daté du 30 septembre 2025) faisait état d'un résultat net cumulé de 6,52 milliards FCFA (-30,2% sur un an), mais le T4 a permis de redresser la barre pour atteindre 9,087 milliards sur l'année. Sur la base du T1 2026 (+4,3% de CA et +5,5% de résultat net), on peut estimer que l'exercice 2026 devrait renouer avec une croissance modérée, avec un chiffre d'affaires projeté autour de 610-620 milliards FCFA et un résultat net de l'ordre de 9,5-10 milliards FCFA, sous réserve de la stabilité des prix pétroliers et de l'absence de chocs macroéconomiques.</w:t>
      </w:r>
    </w:p>
    <w:p>
      <w:pPr>
        <w:spacing w:after="120" w:line="276" w:lineRule="auto"/>
      </w:pPr>
      <w:r>
        <w:t>**Recommandation fondamentale** : TTLC présente une solidité opérationnelle indéniable (ROE élevé, EBE en hausse, leader du marché), mais des fragilités financières (trésorerie nette négative, endettement élevé, payout &gt;100%) qui nécessitent une surveillance accrue. La reprise du T1 2026 est encourageante, mais la valorisation exigeante (PER 20,9x) limite le potentiel de hausse à court terme. Recommandation : **CONSERVER** avec un biais positif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TTLC apparaît tendue : le PER de 20,9x et le P/B de 5,23x indiquent une prime significative par rapport au marché BRVM, justifiée en partie par le ROE élevé (25,1%) mais exposée à un risque de correction si la croissance ne se matérialise pas. Le comportement du cours sur 100 jours est globalement haussier (+9,45%), mais la correction de -5,94% en J-1 et la volatilité élevée (42,9%) suggèrent une fragilité à court terme, avec une distribution asymétrique positivement (skewness 0,882) qui reflète une pression vendeuse sous la moyenne. Les signaux techniques sont mitigés : les moyennes mobiles et le MACD sont baissiers, tandis que le stochastique (%K=8,33) et la proximité de la borne inférieure de Bollinger indiquent un potentiel de rebond, mais sans confirmation claire. Les fondamentaux sont solides mais perfectibles : la croissance du T1 2026 (+4,3% de CA, +5,5% de résultat net) est encourageante, mais la trésorerie nette négative (-21,9 milliards FCFA) et le payout &gt;100% constituent des risques. Les prédictions IA (J+1 à J+10) anticipent une légère baisse du cours de 3 005 FCFA à 2 992 FCFA, ce qui contredit les signaux d'achat techniques à court terme et confirme la prudence. **Recommandation finale : CONSERVER**, avec un niveau de confiance **Moyen** et un risque global **Élevé**. L'horizon d'investissement optimal est le **moyen terme (3-12 mois)**, en attendant la confirmation d'une reprise durable de la croissance et une amélioration de la structure financière (réduction de l'endettement, assainissement de la trésorerie). Un passage à l'achat serait justifié si le cours se stabilise au-dessus de 3 100 FCFA avec une confirmation des volumes et une amélioration des marges au T2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120.21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2,643 titres</w:t>
            </w:r>
          </w:p>
        </w:tc>
        <w:tc>
          <w:tcPr>
            <w:tcW w:type="dxa" w:w="2268"/>
            <w:shd w:fill="FFF2CC" w:val="clear"/>
          </w:tcPr>
          <w:p>
            <w:r>
              <w:rPr>
                <w:b/>
                <w:color w:val="503200"/>
                <w:sz w:val="16"/>
              </w:rPr>
              <w:t xml:space="preserve">Cours actuel : </w:t>
            </w:r>
            <w:r>
              <w:rPr>
                <w:color w:val="000000"/>
                <w:sz w:val="17"/>
              </w:rPr>
              <w:t>3,690 FCFA</w:t>
            </w:r>
          </w:p>
          <w:p>
            <w:r>
              <w:rPr>
                <w:b/>
                <w:color w:val="503200"/>
                <w:sz w:val="16"/>
              </w:rPr>
              <w:t xml:space="preserve">Var. 100 jours : </w:t>
            </w:r>
            <w:r>
              <w:rPr>
                <w:b/>
                <w:color w:val="007800"/>
                <w:sz w:val="17"/>
              </w:rPr>
              <w:t>+25.08%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9.00% (Moyenne) — μ=3,661 FCFA, σ=329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β=0.4711 (Défensif) — Cov=0.000032, Var(idx)=0.000068, ρ=0.143,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σ_j=2.71%/j (Stable) — Vol. annualisée≈43.0%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3,462</w:t>
            </w:r>
          </w:p>
        </w:tc>
        <w:tc>
          <w:tcPr>
            <w:tcW w:type="dxa" w:w="1440"/>
            <w:shd w:fill="FAFAFA" w:val="clear"/>
          </w:tcPr>
          <w:p>
            <w:r>
              <w:rPr>
                <w:b/>
                <w:sz w:val="17"/>
              </w:rPr>
              <w:t>3,654</w:t>
            </w:r>
          </w:p>
        </w:tc>
        <w:tc>
          <w:tcPr>
            <w:tcW w:type="dxa" w:w="1440"/>
            <w:shd w:fill="FAFAFA" w:val="clear"/>
          </w:tcPr>
          <w:p>
            <w:r>
              <w:rPr>
                <w:sz w:val="17"/>
              </w:rPr>
              <w:t>3,845</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3,410</w:t>
            </w:r>
          </w:p>
        </w:tc>
        <w:tc>
          <w:tcPr>
            <w:tcW w:type="dxa" w:w="1440"/>
            <w:shd w:fill="FAFAFA" w:val="clear"/>
          </w:tcPr>
          <w:p>
            <w:r>
              <w:rPr>
                <w:b/>
                <w:sz w:val="17"/>
              </w:rPr>
              <w:t>3,645</w:t>
            </w:r>
          </w:p>
        </w:tc>
        <w:tc>
          <w:tcPr>
            <w:tcW w:type="dxa" w:w="1440"/>
            <w:shd w:fill="FAFAFA" w:val="clear"/>
          </w:tcPr>
          <w:p>
            <w:r>
              <w:rPr>
                <w:sz w:val="17"/>
              </w:rPr>
              <w:t>3,879</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3,366</w:t>
            </w:r>
          </w:p>
        </w:tc>
        <w:tc>
          <w:tcPr>
            <w:tcW w:type="dxa" w:w="1440"/>
            <w:shd w:fill="FAFAFA" w:val="clear"/>
          </w:tcPr>
          <w:p>
            <w:r>
              <w:rPr>
                <w:b/>
                <w:sz w:val="17"/>
              </w:rPr>
              <w:t>3,636</w:t>
            </w:r>
          </w:p>
        </w:tc>
        <w:tc>
          <w:tcPr>
            <w:tcW w:type="dxa" w:w="1440"/>
            <w:shd w:fill="FAFAFA" w:val="clear"/>
          </w:tcPr>
          <w:p>
            <w:r>
              <w:rPr>
                <w:sz w:val="17"/>
              </w:rPr>
              <w:t>3,906</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3,328</w:t>
            </w:r>
          </w:p>
        </w:tc>
        <w:tc>
          <w:tcPr>
            <w:tcW w:type="dxa" w:w="1440"/>
            <w:shd w:fill="FAFAFA" w:val="clear"/>
          </w:tcPr>
          <w:p>
            <w:r>
              <w:rPr>
                <w:b/>
                <w:sz w:val="17"/>
              </w:rPr>
              <w:t>3,629</w:t>
            </w:r>
          </w:p>
        </w:tc>
        <w:tc>
          <w:tcPr>
            <w:tcW w:type="dxa" w:w="1440"/>
            <w:shd w:fill="FAFAFA" w:val="clear"/>
          </w:tcPr>
          <w:p>
            <w:r>
              <w:rPr>
                <w:sz w:val="17"/>
              </w:rPr>
              <w:t>3,930</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3,292</w:t>
            </w:r>
          </w:p>
        </w:tc>
        <w:tc>
          <w:tcPr>
            <w:tcW w:type="dxa" w:w="1440"/>
            <w:shd w:fill="FAFAFA" w:val="clear"/>
          </w:tcPr>
          <w:p>
            <w:r>
              <w:rPr>
                <w:b/>
                <w:sz w:val="17"/>
              </w:rPr>
              <w:t>3,621</w:t>
            </w:r>
          </w:p>
        </w:tc>
        <w:tc>
          <w:tcPr>
            <w:tcW w:type="dxa" w:w="1440"/>
            <w:shd w:fill="FAFAFA" w:val="clear"/>
          </w:tcPr>
          <w:p>
            <w:r>
              <w:rPr>
                <w:sz w:val="17"/>
              </w:rPr>
              <w:t>3,951</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3,260</w:t>
            </w:r>
          </w:p>
        </w:tc>
        <w:tc>
          <w:tcPr>
            <w:tcW w:type="dxa" w:w="1440"/>
            <w:shd w:fill="FFDCE0" w:val="clear"/>
          </w:tcPr>
          <w:p>
            <w:r>
              <w:rPr>
                <w:b/>
                <w:sz w:val="17"/>
              </w:rPr>
              <w:t>3,614</w:t>
            </w:r>
          </w:p>
        </w:tc>
        <w:tc>
          <w:tcPr>
            <w:tcW w:type="dxa" w:w="1440"/>
            <w:shd w:fill="FFDCE0" w:val="clear"/>
          </w:tcPr>
          <w:p>
            <w:r>
              <w:rPr>
                <w:sz w:val="17"/>
              </w:rPr>
              <w:t>3,969</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3,229</w:t>
            </w:r>
          </w:p>
        </w:tc>
        <w:tc>
          <w:tcPr>
            <w:tcW w:type="dxa" w:w="1440"/>
            <w:shd w:fill="FFDCE0" w:val="clear"/>
          </w:tcPr>
          <w:p>
            <w:r>
              <w:rPr>
                <w:b/>
                <w:sz w:val="17"/>
              </w:rPr>
              <w:t>3,608</w:t>
            </w:r>
          </w:p>
        </w:tc>
        <w:tc>
          <w:tcPr>
            <w:tcW w:type="dxa" w:w="1440"/>
            <w:shd w:fill="FFDCE0" w:val="clear"/>
          </w:tcPr>
          <w:p>
            <w:r>
              <w:rPr>
                <w:sz w:val="17"/>
              </w:rPr>
              <w:t>3,986</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3,200</w:t>
            </w:r>
          </w:p>
        </w:tc>
        <w:tc>
          <w:tcPr>
            <w:tcW w:type="dxa" w:w="1440"/>
            <w:shd w:fill="FFDCE0" w:val="clear"/>
          </w:tcPr>
          <w:p>
            <w:r>
              <w:rPr>
                <w:b/>
                <w:sz w:val="17"/>
              </w:rPr>
              <w:t>3,601</w:t>
            </w:r>
          </w:p>
        </w:tc>
        <w:tc>
          <w:tcPr>
            <w:tcW w:type="dxa" w:w="1440"/>
            <w:shd w:fill="FFDCE0" w:val="clear"/>
          </w:tcPr>
          <w:p>
            <w:r>
              <w:rPr>
                <w:sz w:val="17"/>
              </w:rPr>
              <w:t>4,002</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3,173</w:t>
            </w:r>
          </w:p>
        </w:tc>
        <w:tc>
          <w:tcPr>
            <w:tcW w:type="dxa" w:w="1440"/>
            <w:shd w:fill="FFDCE0" w:val="clear"/>
          </w:tcPr>
          <w:p>
            <w:r>
              <w:rPr>
                <w:b/>
                <w:sz w:val="17"/>
              </w:rPr>
              <w:t>3,595</w:t>
            </w:r>
          </w:p>
        </w:tc>
        <w:tc>
          <w:tcPr>
            <w:tcW w:type="dxa" w:w="1440"/>
            <w:shd w:fill="FFDCE0" w:val="clear"/>
          </w:tcPr>
          <w:p>
            <w:r>
              <w:rPr>
                <w:sz w:val="17"/>
              </w:rPr>
              <w:t>4,017</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Secteur : Distribution pétrolière*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120,21 milliards FCFA, TTLS figure parmi les valeurs moyennes les plus liquides et les plus capitalisées de la cote BRVM, ce qui lui confère une place de choix dans les portefeuilles institutionnels régionaux. Le BPA de 208 FCFA/action signifie que chaque titre génère environ 208 FCFA de bénéfice net, ce qui, rapporté au cours actuel de 3 690 FCFA, donne un PER de 17,7x — nettement supérieur à la moyenne du marché BRVM (8-12x), traduisant une prime de qualité liée au statut de leader et à l'actionnariat TotalEnergies (69,1%). Le P/B de 4,26x confirme cette valorisation exigeante : le marché paie plus de quatre fois la valeur comptable des fonds propres, ce qui n'est justifiable que par la régularité des dividendes et la solidité du cash-flow. En revanche, l'EV/EBITDA de 7,5x apparaît raisonnable (fourchette 5-10x), suggérant que la valeur d'entreprise reste cohérente avec la capacité opérationnelle de génération de résultat brut. L'investisseur doit donc arbitrer entre une prime de PER/P/B assumée et un multiple d'EBITDA attractif.</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TTLS affiche une progression totale de +25,08%, avec une dernière séance en hausse de +1,37%, confirmant un momentum haussier de moyen terme. Le cours actuel de 3 690 FCFA se situe dans un range de trading large de 1 655 FCFA, entre un plus bas de 2 845 FCFA et un plus haut de 4 500 FCFA, ce qui témoigne d'une forte amplitude de négociation. La moyenne (3 661 FCFA) et la médiane (3 688 FCFA) sont quasi confondues, signe d'une distribution équilibrée sans biais directionnel marqué ; le mode à 3 800 FCFA indique que le prix le plus fréquemment traité se situe au-dessus du cours actuel, suggérant une légère pression baissière récente. L'écart-type de 331 FCFA (CV = 9,0%) traduit une dispersion modérée du cours autour de sa moyenne, tandis que le kurtosis de 0,236 (mésokurtique) et le skewness de -0,158 (distribution symétrique) indiquent l'absence de risque de pics extrêmes ou d'asymétrie marquée — un profil rassurant pour la gestion du risque. Enfin, la volatilité annualisée de 43,0% classe TTLS dans la catégorie des titres à volatilité élevée (&gt;30%), ce qui implique une prime de risque exigée plus forte et un horizon d'investissement plutôt moyen à long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(3 816 FCFA) et la MM50 (3 753,5 FCFA) se situent toutes deux au-dessus du cours actuel (3 690 FCFA), ce qui place le titre en position de faiblesse relative à court terme. Toutefois, la MM20 reste supérieure à la MM50, configuration haussière de fond, et la décision fournie est « Achat » — signal que le repli actuel pourrait constituer un point d'entrée dans une tendance de fond positive.</w:t>
      </w:r>
    </w:p>
    <w:p>
      <w:pPr>
        <w:spacing w:after="120" w:line="276" w:lineRule="auto"/>
      </w:pPr>
      <w:r>
        <w:t>**Bandes de Bollinger** : Le cours (3 690 FCFA) évolue dans la partie basse du canal, entre la borne inférieure (3 592,6 FCFA) et la borne supérieure (4 039,4 FCFA), sans franchissement des extrêmes. Cette position médiane-basse, couplée à une décision « Neutre », indique une absence de signal directionnel fort et une volatilité en cours de normalisation après le rallye des 100 derniers jours.</w:t>
      </w:r>
    </w:p>
    <w:p>
      <w:pPr>
        <w:spacing w:after="120" w:line="276" w:lineRule="auto"/>
      </w:pPr>
      <w:r>
        <w:t>**MACD** : La valeur du MACD (-36,689) est nettement inférieure à sa ligne de signal (-7,726), configuration baissière classique avec un histogramme négatif. La décision « Vente » reflète un momentum court terme négatif, bien que l'ampleur de l'écart reste modérée et puisse se résorber rapidement en cas de rebond.</w:t>
      </w:r>
    </w:p>
    <w:p>
      <w:pPr>
        <w:spacing w:after="120" w:line="276" w:lineRule="auto"/>
      </w:pPr>
      <w:r>
        <w:t>**RSI** : À 38,506, le RSI se situe dans la zone neutre basse (30-70), sans atteindre la zone de survente (&lt;30). La décision « Neutre » suggère que le titre n'est ni survendu ni suracheté, laissant la porte ouverte à une reprise comme à une poursuite de la consolidation.</w:t>
      </w:r>
    </w:p>
    <w:p>
      <w:pPr>
        <w:spacing w:after="120" w:line="276" w:lineRule="auto"/>
      </w:pPr>
      <w:r>
        <w:t>**Stochastique** : Le %K (19,481) est supérieur au %D (8,658), avec les deux indicateurs en zone de survente (&lt;20). Cette configuration, souvent annonciatrice d'un croisement haussier imminent, justifie la décision « Achat » et suggère qu'un rebond technique pourrait se matérialiser à court terme.</w:t>
      </w:r>
    </w:p>
    <w:p>
      <w:pPr>
        <w:spacing w:after="120" w:line="276" w:lineRule="auto"/>
      </w:pPr>
      <w:r>
        <w:t>**Conclusion technique** : Les indicateurs sont divergents — le MACD est baissier tandis que le stochastique et les moyennes mobiles plaident pour un achat. Le RSI neutre et les Bollinger sans signal confirment une phase d'indécision. La convergence du stochastique en survente et du support des MM laisse présager un rebond technique, mais la prudence reste de mise tant que le MACD n'aura pas croisé sa ligne de signal à la hausse.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TTLS affiche un chiffre d'affaires de 455,209 milliards FCFA, en repli de 6,13% sur un an, conséquence directe de l'arrêt stratégique de la commercialisation du fuel lourd (39,5 milliards FCFA de CA en 2024). Le résultat net s'établit à 6,779 milliards FCFA (marge nette de 1,49%), en baisse de 5,1% par rapport aux 7,140 milliards de 2024, tandis que le ROE ressort à un niveau excellent de 24,01% et le ROA à 3,95% — confirmant la forte rentabilité des fonds propres malgré la faiblesse structurelle des marges dans la distribution pétrolière. La structure financière reste solide : capitaux propres de 28,239 milliards FCFA, trésorerie nette positive de 13,941 milliards FCFA, BFR négatif de -36,899 milliards FCFA (favorable, signe d'un financement par les fournisseurs), et capacité de remboursement de seulement 0,94 année de CAF. Les délais clients (47,43 jours) et fournisseurs (97,76 jours) traduisent un bon équilibre de trésorerie, bien que le délai client élevé constitue un point de vigilance, notamment vis-à-vis des créances sur l'État. Sur la base du rapport T1 2026 (publié le 31 mars 2026), le chiffre d'affaires recule de 10% à 99,9 milliards FCFA sous l'effet de la baisse réglementaire des prix à la pompe, mais le résultat d'exploitation progresse de 28% à 2,623 milliards FCFA et le résultat net de 5% à 1,585 milliards FCFA — démontrant une résilience opérationnelle remarquable portée par les marges sur les lubrifiants. On estime donc que l'exercice 2026 devrait confirmer cette tendance : contraction du CA nominal mais amélioration de la qualité des bénéfices, avec un résultat net annuel projeté autour de 6,5-7,0 milliards FCFA. Les rapports antérieurs (S1 2025, T3 2025, exercice 2024) confirment cette transition stratégique engagée depuis fin 2024, avec une marge opérationnelle passée de 1,35% à 1,70% au S1 2025 puis 1,9% sur l'année. La recommandation fondamentale est de **CONSERVER** : la solidité du bilan, le leadership sur 140 stations-service et la politique de dividende généreuse (7,691 milliards FCFA versés en 2025) compensent la faiblesse de la croissance, mais l'absence de visibilité sur les volumes et la dépendance réglementaire limitent le potentiel d'appréciation.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TTLS apparaît exigeante (PER 17,7x vs moyenne BRVM 8-12x ; P/B 4,26x), mais tempérée par un EV/EBITDA raisonnable de 7,5x et un ROE excellent de 24% — le marché paie donc une prime de qualité et de rendement, non une surévaluation spéculative. Le comportement du cours sur 100 jours est haussier (+25,08%) avec une distribution symétrique et sans risque de pics extrêmes (kurtosis 0,236, skewness -0,158), mais la volatilité annualisée de 43% impose un horizon long terme. Les signaux techniques sont divergents : le MACD est baissier tandis que le stochastique en survente et les MM plaident pour un rebond, le RSI neutre et les Bollinger sans signal confirmant une phase d'indécision — la convergence n'est donc que partielle. Les fondamentaux demeurent solides (ROE 24%, trésorerie nette positive, BFR négatif, capacité de remboursement &lt;1 an) et le T1 2026 (publié le 31 mars 2026) confirme la résilience opérationnelle avec un résultat d'exploitation en hausse de 28% malgré un CA en repli de 10%. Les prédictions IA (J+1 à J+10) anticipent une légère dérive baissière de 3 654 à 3 621 FCFA, ce qui contredit le signal d'achat du stochastique mais confirme la prudence du MACD et la position basse du cours dans les Bollinger. **Recommandation finale : CONSERVER**, avec un niveau de confiance **Moyen** et un risque global **Moyen** — la convergence entre valorisation exigeante, technique indécise et fondamentaux résilients ne justifie ni un achat agressif (manque de catalyseurs court terme, dividende non communiqué) ni une vente (solidité du bilan et rendement défensif). L'horizon d'investissement optimal est le **moyen à long terme (6-18 mois)**, en attendant la clarification de la politique de dividende et la confirmation de la reprise des volumes sur les segments cibles (GPL, lubrifiants, export).</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468.35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51,000 FCFA</w:t>
            </w:r>
          </w:p>
          <w:p>
            <w:r>
              <w:rPr>
                <w:b/>
                <w:color w:val="503200"/>
                <w:sz w:val="16"/>
              </w:rPr>
              <w:t xml:space="preserve">Var. 100 jours : </w:t>
            </w:r>
            <w:r>
              <w:rPr>
                <w:b/>
                <w:color w:val="B40000"/>
                <w:sz w:val="17"/>
              </w:rPr>
              <w:t>-15.70%</w:t>
            </w:r>
          </w:p>
          <w:p>
            <w:r>
              <w:rPr>
                <w:b/>
                <w:color w:val="503200"/>
                <w:sz w:val="16"/>
              </w:rPr>
              <w:t xml:space="preserve">Plus haut 100j : </w:t>
            </w:r>
            <w:r>
              <w:rPr>
                <w:color w:val="000000"/>
                <w:sz w:val="17"/>
              </w:rPr>
              <w:t>60,500 FCFA</w:t>
            </w:r>
          </w:p>
          <w:p>
            <w:r>
              <w:rPr>
                <w:b/>
                <w:color w:val="503200"/>
                <w:sz w:val="16"/>
              </w:rPr>
              <w:t xml:space="preserve">Plus bas 100j : </w:t>
            </w:r>
            <w:r>
              <w:rPr>
                <w:color w:val="000000"/>
                <w:sz w:val="17"/>
              </w:rPr>
              <w:t>47,215 FCFA</w:t>
            </w:r>
          </w:p>
          <w:p>
            <w:r>
              <w:rPr>
                <w:b/>
                <w:color w:val="503200"/>
                <w:sz w:val="16"/>
              </w:rPr>
              <w:t xml:space="preserve">Volatilité ann. : </w:t>
            </w:r>
            <w:r>
              <w:rPr>
                <w:color w:val="000000"/>
                <w:sz w:val="17"/>
              </w:rPr>
              <w:t>59.1%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23.0/100 → Moyen</w:t>
      </w:r>
    </w:p>
    <w:p>
      <w:pPr>
        <w:spacing w:before="40" w:after="80"/>
      </w:pPr>
      <w:r>
        <w:rPr>
          <w:rFonts w:ascii="Courier New" w:hAnsi="Courier New"/>
          <w:color w:val="825A00"/>
          <w:sz w:val="18"/>
        </w:rPr>
        <w:t>████░░░░░░░░░░░░░░░░  23.0/100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5.50% (Moyenne) — μ=54,676 FCFA, σ=3,007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β=0.5091 (Défensif) — Cov=0.000035, Var(idx)=0.000069, ρ=0.113,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σ_j=3.73%/j (Modérée) — Vol. annualisée≈59.1%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2026-10-05</w:t>
            </w:r>
          </w:p>
        </w:tc>
        <w:tc>
          <w:tcPr>
            <w:tcW w:type="dxa" w:w="1440"/>
            <w:shd w:fill="FFDCE0" w:val="clear"/>
          </w:tcPr>
          <w:p>
            <w:r>
              <w:rPr>
                <w:sz w:val="17"/>
              </w:rPr>
              <w:t>44,606</w:t>
            </w:r>
          </w:p>
        </w:tc>
        <w:tc>
          <w:tcPr>
            <w:tcW w:type="dxa" w:w="1440"/>
            <w:shd w:fill="FFDCE0" w:val="clear"/>
          </w:tcPr>
          <w:p>
            <w:r>
              <w:rPr>
                <w:b/>
                <w:sz w:val="17"/>
              </w:rPr>
              <w:t>49,195</w:t>
            </w:r>
          </w:p>
        </w:tc>
        <w:tc>
          <w:tcPr>
            <w:tcW w:type="dxa" w:w="1440"/>
            <w:shd w:fill="FFDCE0" w:val="clear"/>
          </w:tcPr>
          <w:p>
            <w:r>
              <w:rPr>
                <w:sz w:val="17"/>
              </w:rPr>
              <w:t>53,785</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43,579</w:t>
            </w:r>
          </w:p>
        </w:tc>
        <w:tc>
          <w:tcPr>
            <w:tcW w:type="dxa" w:w="1440"/>
            <w:shd w:fill="FFDCE0" w:val="clear"/>
          </w:tcPr>
          <w:p>
            <w:r>
              <w:rPr>
                <w:b/>
                <w:sz w:val="17"/>
              </w:rPr>
              <w:t>49,201</w:t>
            </w:r>
          </w:p>
        </w:tc>
        <w:tc>
          <w:tcPr>
            <w:tcW w:type="dxa" w:w="1440"/>
            <w:shd w:fill="FFDCE0" w:val="clear"/>
          </w:tcPr>
          <w:p>
            <w:r>
              <w:rPr>
                <w:sz w:val="17"/>
              </w:rPr>
              <w:t>54,823</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42,694</w:t>
            </w:r>
          </w:p>
        </w:tc>
        <w:tc>
          <w:tcPr>
            <w:tcW w:type="dxa" w:w="1440"/>
            <w:shd w:fill="FFDCE0" w:val="clear"/>
          </w:tcPr>
          <w:p>
            <w:r>
              <w:rPr>
                <w:b/>
                <w:sz w:val="17"/>
              </w:rPr>
              <w:t>49,183</w:t>
            </w:r>
          </w:p>
        </w:tc>
        <w:tc>
          <w:tcPr>
            <w:tcW w:type="dxa" w:w="1440"/>
            <w:shd w:fill="FFDCE0" w:val="clear"/>
          </w:tcPr>
          <w:p>
            <w:r>
              <w:rPr>
                <w:sz w:val="17"/>
              </w:rPr>
              <w:t>55,672</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41,908</w:t>
            </w:r>
          </w:p>
        </w:tc>
        <w:tc>
          <w:tcPr>
            <w:tcW w:type="dxa" w:w="1440"/>
            <w:shd w:fill="FFDCE0" w:val="clear"/>
          </w:tcPr>
          <w:p>
            <w:r>
              <w:rPr>
                <w:b/>
                <w:sz w:val="17"/>
              </w:rPr>
              <w:t>49,160</w:t>
            </w:r>
          </w:p>
        </w:tc>
        <w:tc>
          <w:tcPr>
            <w:tcW w:type="dxa" w:w="1440"/>
            <w:shd w:fill="FFDCE0" w:val="clear"/>
          </w:tcPr>
          <w:p>
            <w:r>
              <w:rPr>
                <w:sz w:val="17"/>
              </w:rPr>
              <w:t>56,411</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41,196</w:t>
            </w:r>
          </w:p>
        </w:tc>
        <w:tc>
          <w:tcPr>
            <w:tcW w:type="dxa" w:w="1440"/>
            <w:shd w:fill="FFDCE0" w:val="clear"/>
          </w:tcPr>
          <w:p>
            <w:r>
              <w:rPr>
                <w:b/>
                <w:sz w:val="17"/>
              </w:rPr>
              <w:t>49,135</w:t>
            </w:r>
          </w:p>
        </w:tc>
        <w:tc>
          <w:tcPr>
            <w:tcW w:type="dxa" w:w="1440"/>
            <w:shd w:fill="FFDCE0" w:val="clear"/>
          </w:tcPr>
          <w:p>
            <w:r>
              <w:rPr>
                <w:sz w:val="17"/>
              </w:rPr>
              <w:t>57,075</w:t>
            </w:r>
          </w:p>
        </w:tc>
        <w:tc>
          <w:tcPr>
            <w:tcW w:type="dxa" w:w="1440"/>
            <w:shd w:fill="FFDCE0" w:val="clear"/>
          </w:tcPr>
          <w:p>
            <w:r>
              <w:rPr>
                <w:b/>
                <w:color w:val="C00000"/>
                <w:sz w:val="17"/>
              </w:rPr>
              <w:t>-3.7%</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40,540</w:t>
            </w:r>
          </w:p>
        </w:tc>
        <w:tc>
          <w:tcPr>
            <w:tcW w:type="dxa" w:w="1440"/>
            <w:shd w:fill="FFDCE0" w:val="clear"/>
          </w:tcPr>
          <w:p>
            <w:r>
              <w:rPr>
                <w:b/>
                <w:sz w:val="17"/>
              </w:rPr>
              <w:t>49,111</w:t>
            </w:r>
          </w:p>
        </w:tc>
        <w:tc>
          <w:tcPr>
            <w:tcW w:type="dxa" w:w="1440"/>
            <w:shd w:fill="FFDCE0" w:val="clear"/>
          </w:tcPr>
          <w:p>
            <w:r>
              <w:rPr>
                <w:sz w:val="17"/>
              </w:rPr>
              <w:t>57,683</w:t>
            </w:r>
          </w:p>
        </w:tc>
        <w:tc>
          <w:tcPr>
            <w:tcW w:type="dxa" w:w="1440"/>
            <w:shd w:fill="FFDCE0" w:val="clear"/>
          </w:tcPr>
          <w:p>
            <w:r>
              <w:rPr>
                <w:b/>
                <w:color w:val="C00000"/>
                <w:sz w:val="17"/>
              </w:rPr>
              <w:t>-3.7%</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39,928</w:t>
            </w:r>
          </w:p>
        </w:tc>
        <w:tc>
          <w:tcPr>
            <w:tcW w:type="dxa" w:w="1440"/>
            <w:shd w:fill="FFDCE0" w:val="clear"/>
          </w:tcPr>
          <w:p>
            <w:r>
              <w:rPr>
                <w:b/>
                <w:sz w:val="17"/>
              </w:rPr>
              <w:t>49,087</w:t>
            </w:r>
          </w:p>
        </w:tc>
        <w:tc>
          <w:tcPr>
            <w:tcW w:type="dxa" w:w="1440"/>
            <w:shd w:fill="FFDCE0" w:val="clear"/>
          </w:tcPr>
          <w:p>
            <w:r>
              <w:rPr>
                <w:sz w:val="17"/>
              </w:rPr>
              <w:t>58,246</w:t>
            </w:r>
          </w:p>
        </w:tc>
        <w:tc>
          <w:tcPr>
            <w:tcW w:type="dxa" w:w="1440"/>
            <w:shd w:fill="FFDCE0" w:val="clear"/>
          </w:tcPr>
          <w:p>
            <w:r>
              <w:rPr>
                <w:b/>
                <w:color w:val="C00000"/>
                <w:sz w:val="17"/>
              </w:rPr>
              <w:t>-3.8%</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39,354</w:t>
            </w:r>
          </w:p>
        </w:tc>
        <w:tc>
          <w:tcPr>
            <w:tcW w:type="dxa" w:w="1440"/>
            <w:shd w:fill="FFDCE0" w:val="clear"/>
          </w:tcPr>
          <w:p>
            <w:r>
              <w:rPr>
                <w:b/>
                <w:sz w:val="17"/>
              </w:rPr>
              <w:t>49,064</w:t>
            </w:r>
          </w:p>
        </w:tc>
        <w:tc>
          <w:tcPr>
            <w:tcW w:type="dxa" w:w="1440"/>
            <w:shd w:fill="FFDCE0" w:val="clear"/>
          </w:tcPr>
          <w:p>
            <w:r>
              <w:rPr>
                <w:sz w:val="17"/>
              </w:rPr>
              <w:t>58,774</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38,811</w:t>
            </w:r>
          </w:p>
        </w:tc>
        <w:tc>
          <w:tcPr>
            <w:tcW w:type="dxa" w:w="1440"/>
            <w:shd w:fill="FFDCE0" w:val="clear"/>
          </w:tcPr>
          <w:p>
            <w:r>
              <w:rPr>
                <w:b/>
                <w:sz w:val="17"/>
              </w:rPr>
              <w:t>49,041</w:t>
            </w:r>
          </w:p>
        </w:tc>
        <w:tc>
          <w:tcPr>
            <w:tcW w:type="dxa" w:w="1440"/>
            <w:shd w:fill="FFDCE0" w:val="clear"/>
          </w:tcPr>
          <w:p>
            <w:r>
              <w:rPr>
                <w:sz w:val="17"/>
              </w:rPr>
              <w:t>59,271</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CÔTE D'IVOIRE (UNLC)**</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s'élève à 468,35 milliards FCFA pour un cours de 51 000 FCFA, ce qui la positionne parmi les valeurs les plus capitalisées de la BRVM, bien que cette capitalisation soit à relativiser au regard de la faiblesse des volumes échangés (21 titres/jour en moyenne). Les ratios de valorisation boursière (BPA, PER, P/B, EV/EBITDA) ne sont pas calculables en l'absence de données financières structurées actualisées et fiables dans la base de données, ce qui limite considérablement l'appréciation de la cherté relative du titre. À titre indicatif, avec un résultat net 2023 de 640,3 millions FCFA et environ 9,18 millions d'actions en circulation, le BPA ressortirait à environ 70 FCFA, impliquant un PER théorique de l'ordre de 730x — un niveau aberrant qui traduit une décorrélation totale entre le prix de marché et la rentabilité effective de l'entreprise. Cette situation s'explique par la faiblesse structurelle des bénéfices et par la nature peu liquide du titre, dont le cours est davantage guidé par des anticipations spéculatives ou des mouvements techniques que par des fondamentaux solides. L'investisseur doit donc considérer que la valorisation boursière actuelle n'offre aucune marge de sécurité fondée sur les bénéfices ou la valeur comptable (capitaux propres négatifs de -10 658 millions FCFA en 2023).</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d'UNLC a enregistré une variation totale de -15,70%, passant d'un plus haut de 60 500 FCFA à un plus bas de 47 215 FCFA, avant de clôturer à 51 000 FCFA, soit un rebond spectaculaire de +7,37% lors de la dernière séance (J-1). Ce range de trading de plus de 13 000 FCFA (environ 22% d'amplitude) témoigne d'une tendance générale baissière sur la période, entrecoupée de rebonds techniques violents mais non confirmés. Les statistiques descriptives révèlent une moyenne de 54 676 FCFA très proche de la médiane de 54 595 FCFA, avec un mode à 58 000 FCFA, ce qui indique une distribution globalement symétrique et l'absence de biais directionnel marqué sur la période. L'écart-type de 3 022 FCFA et le coefficient de variation de 5,5% traduisent une dispersion modérée du cours autour de sa moyenne, tandis que le kurtosis de -0,579 (mésokurtique) suggère une distribution proche de la normale, sans risque excessif de pics extrêmes. Le skewness de -0,088 confirme cette symétrie, avec une très légère asymétrie négative. En revanche, la volatilité annualisée de 59,1% classe ce titre dans la catégorie des valeurs à volatilité élevée (&gt;30%), ce qui est cohérent avec la faible liquidité du marché et les mouvements erratiques observés.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51 528 FCFA et la MM50 à 52 856,5 FCFA, toutes deux supérieures au cours actuel de 51 000 FCFA, ce qui place le titre en position de faiblesse relative. La configuration baissière (MM20 &lt; MM50) et le positionnement du cours sous les deux moyennes justifient pleinement la décision technique de **Vente**, le titre n'ayant pas encore réussi à reconquérir ses niveaux moyens.</w:t>
      </w:r>
    </w:p>
    <w:p>
      <w:pPr>
        <w:spacing w:after="120" w:line="276" w:lineRule="auto"/>
      </w:pPr>
      <w:r>
        <w:t>**Bandes de Bollinger** : Le cours actuel (51 000 FCFA) se situe à l'intérieur des bandes, entre la borne inférieure (47 327,8 FCFA) et la borne supérieure (55 728,2 FCFA), légèrement en dessous de la moyenne mobile centrale. Cette position médiane, sans contact avec les extrêmes, traduit une absence de signal directionnel fort et justifie la décision **Neutre**, la volatilité restant contenue dans les bandes.</w:t>
      </w:r>
    </w:p>
    <w:p>
      <w:pPr>
        <w:spacing w:after="120" w:line="276" w:lineRule="auto"/>
      </w:pPr>
      <w:r>
        <w:t>**MACD** : La valeur du MACD (-1 134,7) est inférieure à sa ligne de signal (-897,6), confirmant un momentum baissier persistant. Le croisement négatif et l'écart creusé entre les deux lignes justifient la décision de **Vente**, aucune divergence haussière n'étant détectée pour l'instant.</w:t>
      </w:r>
    </w:p>
    <w:p>
      <w:pPr>
        <w:spacing w:after="120" w:line="276" w:lineRule="auto"/>
      </w:pPr>
      <w:r>
        <w:t>**RSI** : À 43,157, le RSI se situe dans la zone neutre (30-70), sans atteindre la zone de survente (&lt;30) ni de surachat (&gt;70). Cette position médiane indique un équilibre relatif entre acheteurs et vendeurs, justifiant la décision **Neutre**, bien que la légère tendance baissière du RSI depuis ses sommets récents mérite surveillance.</w:t>
      </w:r>
    </w:p>
    <w:p>
      <w:pPr>
        <w:spacing w:after="120" w:line="276" w:lineRule="auto"/>
      </w:pPr>
      <w:r>
        <w:t>**Stochastique** : Le %K (55,785) est nettement supérieur au %D (19,995), ce qui suggère un croisement haussier en formation et un potentiel rebond à court terme. Cependant, la décision reste **Neutre** car le signal n'est pas encore confirmé par une remontée durable au-dessus de la zone de survente, et le contexte général reste baissier.</w:t>
      </w:r>
    </w:p>
    <w:p>
      <w:pPr>
        <w:spacing w:after="120" w:line="276" w:lineRule="auto"/>
      </w:pPr>
      <w:r>
        <w:t>**Conclusion technique** : La convergence des indicateurs (MM baissières, MACD négatif, cours sous les moyennes) plaide pour une tendance baissière de fond, tempérée par un RSI neutre et un stochastique en début de rebond. Le signal de Vente domine sur les moyennes mobiles et le MACD, tandis que les Bandes de Bollinger, le RSI et le Stochastique restent neutres. Dans l'ensemble, la configuration technique est défavorable à court terme, avec un risque de rechute vers la borne inférieure des bandes (47 327 FCFA) si le rebond de J-1 ne se confirme pas.</w:t>
      </w:r>
    </w:p>
    <w:p>
      <w:pPr>
        <w:spacing w:after="120" w:line="276" w:lineRule="auto"/>
      </w:pPr>
      <w:r>
        <w:t>---</w:t>
      </w:r>
    </w:p>
    <w:p>
      <w:pPr>
        <w:spacing w:after="120" w:line="276" w:lineRule="auto"/>
      </w:pPr>
      <w:r>
        <w:t>## PARTIE 3 : ANALYSE FONDAMENTALE</w:t>
      </w:r>
    </w:p>
    <w:p>
      <w:pPr>
        <w:spacing w:after="120" w:line="276" w:lineRule="auto"/>
      </w:pPr>
      <w:r>
        <w:t>L'analyse fondamentale d'UNLC s'appuie sur les rapports financiers officiels disponibles, dont les plus récents datent du **31 décembre 2023** (publiés et analysés en mars 2026), complétés par les exercices 2021 et 2022. **En 2023**, le chiffre d'affaires s'est établi à **24 336 millions FCFA**, stable par rapport à 2022, tandis que le résultat net est redevenu positif à **640,3 millions FCFA** après une perte abyssale de **-6 908,4 millions FCFA en 2022** (et une perte de -6 382,6 millions FCFA selon un autre rapport). Cette amélioration spectaculaire du résultat net, bien que modeste en valeur absolue, résulte d'un retour à un résultat d'exploitation positif de **+3 340 millions FCFA** (contre -6 258 millions FCFA en 2022), grâce à une réduction des charges et à une meilleure gestion des stocks. La marge nette reste toutefois très faible à **2,63%**, très en dessous de la moyenne sectorielle des FMCG en Afrique de l'Ouest (5-10%). Le ROE et le ROA ne sont pas calculables en raison de capitaux propres négatifs (**-10 658 millions FCFA en 2023**), ce qui constitue un signal d'alerte majeur sur la solidité financière de l'entreprise. La structure bilancielle demeure préoccupante avec un report à nouveau négatif de **-35 635 millions FCFA** et une absence totale de dividende en 2023, comme en 2022 et 2021. **En 2021**, la société avait pourtant affiché un bénéfice net de **+6 090,8 millions FCFA** (marge nette de 25,0%) et un EBE positif de **+2 391,4 millions FCFA**, avant de basculer dans le rouge en 2022 sous l'effet de la cession de l'activité "Thé" (Lipton) et de la hausse des coûts logistiques. L'endettement financier reste élevé à **4 379 millions FCFA en 2023** (contre 3 827 millions en 2022), avec une trésorerie passive de 14 874 millions FCFA qui masque un risque de liquidité. **En synthèse**, la situation fondamentale d'UNLC demeure fragile : le redressement de 2023 est réel mais insuffisant pour restaurer la confiance, les capitaux propres négatifs limitent toute distribution de dividende, et la dépendance au marché ivoirien expose l'entreprise aux aléas macroéconomiques. La recommandation fondamentale reste **CONSERVER avec vigilance**, en attendant une confirmation durable de la rentabilité et une reconstitution des fonds propres.</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de **VENTE** sur le titre UNLC, avec un niveau de confiance **Moyen** et un risque global **Élevé**. En effet, la valorisation boursière (Partie 0) apparaît totalement décorrélée des fondamentaux, avec un PER théorique aberrant d'environ 730x et des capitaux propres négatifs qui rendent toute évaluation par le P/B impossible. Le comportement du cours (Partie 1) est baissier sur 100 jours (-15,70%), malgré un rebond technique de +7,37% en J-1, et la volatilité annualisée de 59,1% classe le titre parmi les valeurs les plus risquées de la BRVM, même si la distribution symétrique (skewness -0,088) et mésokurtique (kurtosis -0,579) n'indique pas de risque de krach extrême. Les signaux techniques (Partie 2) sont majoritairement baissiers (MM20 &lt; MM50, MACD négatif, cours sous les moyennes), avec seulement un stochastique en début de rebond qui ne suffit pas à inverser la tendance. Les fondamentaux (Partie 3) restent préoccupants : si le retour à un bénéfice net de 640,3 millions FCFA en 2023 constitue une amélioration, la marge nette de 2,63%, les capitaux propres négatifs et l'absence de dividende depuis plusieurs années ne justifient pas le niveau de cours actuel. Les prédictions IA (J+1 à J+10) anticipent une stagnation autour de 49 200 FCFA, soit une baisse d'environ 3,5% par rapport au cours actuel de 51 000 FCFA, ce qui confirme la pression baissière et contredit l'hypothèse d'un rebond durable. **En conséquence, la convergence des signaux baissiers (valorisation, technique, fondamental, prédictions) justifie une recommandation de VENTE**, avec un horizon d'investissement court terme (&lt;3 mois) pour les investisseurs déjà positionnés, et une abstention pour les nouveaux entrants. Une révision à la hausse ne serait envisageable qu'en cas de publication de résultats 2024/2025 nettement supérieurs aux attentes, de reconstitution des capitaux propres ou d'annonce d'un plan de restructuration crédible.</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48.97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13,702 titres</w:t>
            </w:r>
          </w:p>
        </w:tc>
        <w:tc>
          <w:tcPr>
            <w:tcW w:type="dxa" w:w="2268"/>
            <w:shd w:fill="FFF2CC" w:val="clear"/>
          </w:tcPr>
          <w:p>
            <w:r>
              <w:rPr>
                <w:b/>
                <w:color w:val="503200"/>
                <w:sz w:val="16"/>
              </w:rPr>
              <w:t xml:space="preserve">Cours actuel : </w:t>
            </w:r>
            <w:r>
              <w:rPr>
                <w:color w:val="000000"/>
                <w:sz w:val="17"/>
              </w:rPr>
              <w:t>2,360 FCFA</w:t>
            </w:r>
          </w:p>
          <w:p>
            <w:r>
              <w:rPr>
                <w:b/>
                <w:color w:val="503200"/>
                <w:sz w:val="16"/>
              </w:rPr>
              <w:t xml:space="preserve">Var. 100 jours : </w:t>
            </w:r>
            <w:r>
              <w:rPr>
                <w:b/>
                <w:color w:val="007800"/>
                <w:sz w:val="17"/>
              </w:rPr>
              <w:t>+30.75%</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15.11% (Élevée) — μ=2,000 FCFA, σ=302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β=0.5173 (Défensif) — Cov=0.000035, Var(idx)=0.000068, ρ=0.136,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13,702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σ_j=3.12%/j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2,215</w:t>
            </w:r>
          </w:p>
        </w:tc>
        <w:tc>
          <w:tcPr>
            <w:tcW w:type="dxa" w:w="1440"/>
            <w:shd w:fill="FAFAFA" w:val="clear"/>
          </w:tcPr>
          <w:p>
            <w:r>
              <w:rPr>
                <w:b/>
                <w:sz w:val="17"/>
              </w:rPr>
              <w:t>2,329</w:t>
            </w:r>
          </w:p>
        </w:tc>
        <w:tc>
          <w:tcPr>
            <w:tcW w:type="dxa" w:w="1440"/>
            <w:shd w:fill="FAFAFA" w:val="clear"/>
          </w:tcPr>
          <w:p>
            <w:r>
              <w:rPr>
                <w:sz w:val="17"/>
              </w:rPr>
              <w:t>2,443</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2,171</w:t>
            </w:r>
          </w:p>
        </w:tc>
        <w:tc>
          <w:tcPr>
            <w:tcW w:type="dxa" w:w="1440"/>
            <w:shd w:fill="FFDCE0" w:val="clear"/>
          </w:tcPr>
          <w:p>
            <w:r>
              <w:rPr>
                <w:b/>
                <w:sz w:val="17"/>
              </w:rPr>
              <w:t>2,309</w:t>
            </w:r>
          </w:p>
        </w:tc>
        <w:tc>
          <w:tcPr>
            <w:tcW w:type="dxa" w:w="1440"/>
            <w:shd w:fill="FFDCE0" w:val="clear"/>
          </w:tcPr>
          <w:p>
            <w:r>
              <w:rPr>
                <w:sz w:val="17"/>
              </w:rPr>
              <w:t>2,448</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2,132</w:t>
            </w:r>
          </w:p>
        </w:tc>
        <w:tc>
          <w:tcPr>
            <w:tcW w:type="dxa" w:w="1440"/>
            <w:shd w:fill="FFDCE0" w:val="clear"/>
          </w:tcPr>
          <w:p>
            <w:r>
              <w:rPr>
                <w:b/>
                <w:sz w:val="17"/>
              </w:rPr>
              <w:t>2,291</w:t>
            </w:r>
          </w:p>
        </w:tc>
        <w:tc>
          <w:tcPr>
            <w:tcW w:type="dxa" w:w="1440"/>
            <w:shd w:fill="FFDCE0" w:val="clear"/>
          </w:tcPr>
          <w:p>
            <w:r>
              <w:rPr>
                <w:sz w:val="17"/>
              </w:rPr>
              <w:t>2,450</w:t>
            </w:r>
          </w:p>
        </w:tc>
        <w:tc>
          <w:tcPr>
            <w:tcW w:type="dxa" w:w="1440"/>
            <w:shd w:fill="FFDCE0" w:val="clear"/>
          </w:tcPr>
          <w:p>
            <w:r>
              <w:rPr>
                <w:b/>
                <w:color w:val="C00000"/>
                <w:sz w:val="17"/>
              </w:rPr>
              <w:t>-2.9%</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2,097</w:t>
            </w:r>
          </w:p>
        </w:tc>
        <w:tc>
          <w:tcPr>
            <w:tcW w:type="dxa" w:w="1440"/>
            <w:shd w:fill="FFDCE0" w:val="clear"/>
          </w:tcPr>
          <w:p>
            <w:r>
              <w:rPr>
                <w:b/>
                <w:sz w:val="17"/>
              </w:rPr>
              <w:t>2,274</w:t>
            </w:r>
          </w:p>
        </w:tc>
        <w:tc>
          <w:tcPr>
            <w:tcW w:type="dxa" w:w="1440"/>
            <w:shd w:fill="FFDCE0" w:val="clear"/>
          </w:tcPr>
          <w:p>
            <w:r>
              <w:rPr>
                <w:sz w:val="17"/>
              </w:rPr>
              <w:t>2,450</w:t>
            </w:r>
          </w:p>
        </w:tc>
        <w:tc>
          <w:tcPr>
            <w:tcW w:type="dxa" w:w="1440"/>
            <w:shd w:fill="FFDCE0" w:val="clear"/>
          </w:tcPr>
          <w:p>
            <w:r>
              <w:rPr>
                <w:b/>
                <w:color w:val="C00000"/>
                <w:sz w:val="17"/>
              </w:rPr>
              <w:t>-3.7%</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2,065</w:t>
            </w:r>
          </w:p>
        </w:tc>
        <w:tc>
          <w:tcPr>
            <w:tcW w:type="dxa" w:w="1440"/>
            <w:shd w:fill="FFDCE0" w:val="clear"/>
          </w:tcPr>
          <w:p>
            <w:r>
              <w:rPr>
                <w:b/>
                <w:sz w:val="17"/>
              </w:rPr>
              <w:t>2,257</w:t>
            </w:r>
          </w:p>
        </w:tc>
        <w:tc>
          <w:tcPr>
            <w:tcW w:type="dxa" w:w="1440"/>
            <w:shd w:fill="FFDCE0" w:val="clear"/>
          </w:tcPr>
          <w:p>
            <w:r>
              <w:rPr>
                <w:sz w:val="17"/>
              </w:rPr>
              <w:t>2,448</w:t>
            </w:r>
          </w:p>
        </w:tc>
        <w:tc>
          <w:tcPr>
            <w:tcW w:type="dxa" w:w="1440"/>
            <w:shd w:fill="FFDCE0" w:val="clear"/>
          </w:tcPr>
          <w:p>
            <w:r>
              <w:rPr>
                <w:b/>
                <w:color w:val="C00000"/>
                <w:sz w:val="17"/>
              </w:rPr>
              <w:t>-4.4%</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2,035</w:t>
            </w:r>
          </w:p>
        </w:tc>
        <w:tc>
          <w:tcPr>
            <w:tcW w:type="dxa" w:w="1440"/>
            <w:shd w:fill="FFDCE0" w:val="clear"/>
          </w:tcPr>
          <w:p>
            <w:r>
              <w:rPr>
                <w:b/>
                <w:sz w:val="17"/>
              </w:rPr>
              <w:t>2,240</w:t>
            </w:r>
          </w:p>
        </w:tc>
        <w:tc>
          <w:tcPr>
            <w:tcW w:type="dxa" w:w="1440"/>
            <w:shd w:fill="FFDCE0" w:val="clear"/>
          </w:tcPr>
          <w:p>
            <w:r>
              <w:rPr>
                <w:sz w:val="17"/>
              </w:rPr>
              <w:t>2,446</w:t>
            </w:r>
          </w:p>
        </w:tc>
        <w:tc>
          <w:tcPr>
            <w:tcW w:type="dxa" w:w="1440"/>
            <w:shd w:fill="FFDCE0" w:val="clear"/>
          </w:tcPr>
          <w:p>
            <w:r>
              <w:rPr>
                <w:b/>
                <w:color w:val="C00000"/>
                <w:sz w:val="17"/>
              </w:rPr>
              <w:t>-5.1%</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2,006</w:t>
            </w:r>
          </w:p>
        </w:tc>
        <w:tc>
          <w:tcPr>
            <w:tcW w:type="dxa" w:w="1440"/>
            <w:shd w:fill="FFDCE0" w:val="clear"/>
          </w:tcPr>
          <w:p>
            <w:r>
              <w:rPr>
                <w:b/>
                <w:sz w:val="17"/>
              </w:rPr>
              <w:t>2,224</w:t>
            </w:r>
          </w:p>
        </w:tc>
        <w:tc>
          <w:tcPr>
            <w:tcW w:type="dxa" w:w="1440"/>
            <w:shd w:fill="FFDCE0" w:val="clear"/>
          </w:tcPr>
          <w:p>
            <w:r>
              <w:rPr>
                <w:sz w:val="17"/>
              </w:rPr>
              <w:t>2,443</w:t>
            </w:r>
          </w:p>
        </w:tc>
        <w:tc>
          <w:tcPr>
            <w:tcW w:type="dxa" w:w="1440"/>
            <w:shd w:fill="FFDCE0" w:val="clear"/>
          </w:tcPr>
          <w:p>
            <w:r>
              <w:rPr>
                <w:b/>
                <w:color w:val="C00000"/>
                <w:sz w:val="17"/>
              </w:rPr>
              <w:t>-5.7%</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1,979</w:t>
            </w:r>
          </w:p>
        </w:tc>
        <w:tc>
          <w:tcPr>
            <w:tcW w:type="dxa" w:w="1440"/>
            <w:shd w:fill="FFDCE0" w:val="clear"/>
          </w:tcPr>
          <w:p>
            <w:r>
              <w:rPr>
                <w:b/>
                <w:sz w:val="17"/>
              </w:rPr>
              <w:t>2,209</w:t>
            </w:r>
          </w:p>
        </w:tc>
        <w:tc>
          <w:tcPr>
            <w:tcW w:type="dxa" w:w="1440"/>
            <w:shd w:fill="FFDCE0" w:val="clear"/>
          </w:tcPr>
          <w:p>
            <w:r>
              <w:rPr>
                <w:sz w:val="17"/>
              </w:rPr>
              <w:t>2,439</w:t>
            </w:r>
          </w:p>
        </w:tc>
        <w:tc>
          <w:tcPr>
            <w:tcW w:type="dxa" w:w="1440"/>
            <w:shd w:fill="FFDCE0" w:val="clear"/>
          </w:tcPr>
          <w:p>
            <w:r>
              <w:rPr>
                <w:b/>
                <w:color w:val="C00000"/>
                <w:sz w:val="17"/>
              </w:rPr>
              <w:t>-6.4%</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1,954</w:t>
            </w:r>
          </w:p>
        </w:tc>
        <w:tc>
          <w:tcPr>
            <w:tcW w:type="dxa" w:w="1440"/>
            <w:shd w:fill="FFDCE0" w:val="clear"/>
          </w:tcPr>
          <w:p>
            <w:r>
              <w:rPr>
                <w:b/>
                <w:sz w:val="17"/>
              </w:rPr>
              <w:t>2,194</w:t>
            </w:r>
          </w:p>
        </w:tc>
        <w:tc>
          <w:tcPr>
            <w:tcW w:type="dxa" w:w="1440"/>
            <w:shd w:fill="FFDCE0" w:val="clear"/>
          </w:tcPr>
          <w:p>
            <w:r>
              <w:rPr>
                <w:sz w:val="17"/>
              </w:rPr>
              <w:t>2,435</w:t>
            </w:r>
          </w:p>
        </w:tc>
        <w:tc>
          <w:tcPr>
            <w:tcW w:type="dxa" w:w="1440"/>
            <w:shd w:fill="FFDCE0" w:val="clear"/>
          </w:tcPr>
          <w:p>
            <w:r>
              <w:rPr>
                <w:b/>
                <w:color w:val="C00000"/>
                <w:sz w:val="17"/>
              </w:rPr>
              <w:t>-7.0%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 — BRVM**</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48,97 milliards FCFA, UNIWAX se positionne comme une valeur de taille intermédiaire sur le compartiment textile de la BRVM, représentant un poids modeste dans la capitalisation totale du marché régional. Le BPA ressort à -105 FCFA/action sur l'exercice 2024, traduisant une perte nette par titre, ce qui rend le PER non significatif (-22,4x) — un ratio négatif qui signale simplement que la société était déficitaire et non qu'elle se négocie à un multiple déraisonnable. Le P/B de 3,14x indique que le marché valorise l'action à plus de trois fois sa valeur comptable, une prime de croissance notable qui contraste avec la rentabilité encore fragile de l'émetteur. Le ratio EV/EBITDA n'est pas exploitable en l'état, l'EBITDA 2024 étant négatif (-352 millions FCFA), ce qui prive l'investisseur d'une lecture pertinente de la valeur d'entreprise rapportée à la capacité opérationnelle. En synthèse, la valorisation actuelle repose davantage sur les perspectives de redressement que sur les résultats historiques.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UNXC affiche une progression spectaculaire de +30,75%, portée par un fort intérêt acheteur, malgré un repli de -2,68% lors de la dernière séance (J-1), signe d'une prise de profit ponctuelle. Le cours actuel s'établit à 2 360 FCFA, après avoir évolué dans un range très large entre un plus bas de 1 250 FCFA et un plus haut de 2 495 FCFA, soit un écart de près de 100% qui témoigne d'une forte amplitude de trading. La tendance générale est clairement haussière, le titre ayant plus que doublé depuis son point bas, soutenu par un volume moyen quotidien de 13 702 titres, indiquant une liquidité correcte pour le marché BRVM. Les statistiques descriptives révèlent une moyenne de 2 000 FCFA contre une médiane de 1 940 FCFA, un léger écart qui suggère une asymétrie très modérée vers le haut, confirmée par un skewness de -0,075 (distribution quasi-symétrique). L'écart-type de 304 FCFA avec un coefficient de variation de 15,2% traduit une dispersion modérée du cours autour de sa moyenne, tandis que le kurtosis de -0,521 (mésokurtique) indique une distribution proche de la normale, sans risque excessif de pics extrêmes. La volatilité annualisée de 49,6% classe le titre dans la catégorie des valeurs à volatilité élevée (&gt;30%), ce qui implique un risque de marché significatif et justifie une gestion prudente de la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(2 351,5 FCFA) et la MM50 (2 216,2 FCFA) se situent toutes deux sous le cours actuel (2 360 FCFA), avec une MM20 supérieure à la MM50, configuration classique de tendance haussière. Le cours évoluant au-dessus de ses deux moyennes, la décision technique est à l'**Achat**, confirmant la dynamique positive de court et moyen terme.</w:t>
      </w:r>
    </w:p>
    <w:p>
      <w:pPr>
        <w:spacing w:after="120" w:line="276" w:lineRule="auto"/>
      </w:pPr>
      <w:r>
        <w:t>**Bandes de Bollinger** : Le cours (2 360 FCFA) se situe à l'intérieur des bandes, entre la borne inférieure (2 224,38 FCFA) et la borne supérieure (2 478,62 FCFA), sans contact avec les extrêmes. Cette position médiane, couplée à une largeur de bande reflétant la volatilité élevée, justifie une décision **Neutre** : ni suracheté, ni survendu, le titre est en zone d'équilibre.</w:t>
      </w:r>
    </w:p>
    <w:p>
      <w:pPr>
        <w:spacing w:after="120" w:line="276" w:lineRule="auto"/>
      </w:pPr>
      <w:r>
        <w:t>**MACD** : La valeur du MACD (35,225) est inférieure à sa ligne de signal (40,54), générant un croisement baissier et une décision de **Vente**. Ce signal suggère un essoufflement du momentum haussier à court terme, bien que la valeur reste positive, indiquant que la tendance de fond demeure haussière mais perd de sa vigueur.</w:t>
      </w:r>
    </w:p>
    <w:p>
      <w:pPr>
        <w:spacing w:after="120" w:line="276" w:lineRule="auto"/>
      </w:pPr>
      <w:r>
        <w:t>**RSI** : À 46,364, le RSI se situe en zone neutre (entre 30 et 70), sans signal de surachat ni de survente. La décision est **Neutre**, le titre disposant d'une marge de progression avant d'atteindre des niveaux de surachat, mais sans impulsion acheteuse immédiate.</w:t>
      </w:r>
    </w:p>
    <w:p>
      <w:pPr>
        <w:spacing w:after="120" w:line="276" w:lineRule="auto"/>
      </w:pPr>
      <w:r>
        <w:t>**Stochastique** : Le %K (65,306) est inférieur au %D (85,714), avec un croisement baissier en zone haute, signalant un ralentissement de la dynamique haussière. La décision est **Neutre**, le stochastique n'étant pas encore en zone de surachat extrême (&gt;80 pour %K), mais le croisement incite à la prudence.</w:t>
      </w:r>
    </w:p>
    <w:p>
      <w:pPr>
        <w:spacing w:after="120" w:line="276" w:lineRule="auto"/>
      </w:pPr>
      <w:r>
        <w:t>**Conclusion technique** : Les indicateurs présentent une configuration mitigée. Les moyennes mobiles valident la tendance haussière de fond, mais le MACD baissier, le stochastique en croisement descendant et le RSI neutre suggèrent une consolidation à court terme. Le titre se trouve dans une phase de respiration après sa forte progression, avec un support dynamique à surveiller autour de la MM20 (2 351 FCFA). La convergence des signaux ne plaide ni pour un achat agressif, ni pour une vente, mais pour une posture d'attente.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brossent le portrait d'une entreprise en difficulté opérationnelle mais en cours de restructuration financière. En 2024, UNIWAX a réalisé un chiffre d'affaires de 27,333 milliards FCFA, en recul de -7,93% par rapport à 2023, avec un résultat net négatif de -2,189 milliards FCFA, soit une marge nette de -8,01%. Le ROE ressort à -14,04% et le ROA à -6,39%, confirmant la destruction de valeur sur l'exercice. L'EBE est négatif à -352,22 millions FCFA, et le résultat d'exploitation plonge à -2,136 milliards FCFA, traduisant une structure de coûts inadaptée (coefficient d'exploitation de 106,99%). En revanche, la structure financière reste solide : l'autonomie financière atteint 45,53%, la solvabilité générale est de 183,60%, et la trésorerie nette s'élève à 2,495 milliards FCFA. Le BFR est négatif à -2,149 milliards FCFA (favorable), porté par des délais fournisseurs très longs (267,82 jours) compensant un délai client de 51,03 jours et une durée de stockage élevée de 254,72 jours — ce dernier point constituant un risque d'immobilisation de capital.</w:t>
      </w:r>
    </w:p>
    <w:p>
      <w:pPr>
        <w:spacing w:after="120" w:line="276" w:lineRule="auto"/>
      </w:pPr>
      <w:r>
        <w:t>Les rapports narratifs ultérieurs confirment une nette amélioration. Le rapport du **S1 2026** (publié en 2026) indique un chiffre d'affaires de 15,752 milliards FCFA (+0,3% sur un an) et surtout un **résultat d'exploitation redevenu positif à 771 millions FCFA**, contre une perte de 314 millions au S1 2025 — soit une amélioration de 345,4%. Le résultat net du S1 2026 s'établit à 771 millions FCFA, contre 8,216 milliards au S1 2025, ce dernier ayant été artificiellement gonflé par une plus-value de cession exceptionnelle de près de 10 milliards FCFA. Le rapport annuel **2025** (publié en 2025) fait état d'un CA de 29,03 milliards FCFA (+6,2%), d'un EBE redevenu positif à 1,13 milliard FCFA, et d'une perte nette réduite de 71% à -624 millions FCFA. Le désendettement fournisseurs (de 14,9 à 5,0 milliards) a été financé par des cessions d'immobilisations (+10,5 milliards), une opération non récurrente. Sur la base du rapport S1 2026, on estime que l'exercice 2026 pourrait dégager un résultat d'exploitation positif pour la première fois depuis plusieurs années, avec un résultat net potentiellement à l'équilibre, hors éléments exceptionnels. La recommandation fondamentale est donc **CONSERVER avec un biais positif** : la solidité du bilan et le retour à une rentabilité opérationnelle sont encourageants, mais la dépendance aux cessions d'actifs et la faiblesse de la croissance du CA (+0,3% au S1 2026) appellent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atypique : le PER négatif et le BPA négatif reflètent les pertes passées, mais le P/B de 3,14x traduit une anticipation de redressement par le marché, ce qui suggère une possible surévaluation si les résultats ne confirment pas les attentes. Le comportement du cours (Partie 1) est nettement haussier (+30,75% sur 100 jours) avec une volatilité élevée (49,6%) et une distribution quasi-normale (kurtosis -0,521, skewness -0,075), indiquant un risque de marché significatif mais sans biais directionnel marqué. Les signaux techniques (Partie 2) sont mitigés : les moyennes mobiles valident la tendance haussière, mais le MACD baissier et le stochastique en croisement descendant suggèrent une consolidation imminente, ce qui plaide pour une posture d'attente. Les fondamentaux (Partie 3) montrent une amélioration réelle mais fragile : le retour à un résultat d'exploitation positif au S1 2026 (771 millions FCFA) est un signal fort, mais la croissance du CA est quasi-nulle (+0,3%) et la rentabilité reste dépendante d'éléments non récurrents. Les prédictions IA (J+1 à J+10) anticipent une baisse progressive de 2 329 à 2 257 FCFA, soit un repli de -4,4% sur 10 jours, ce qui contredit la tendance haussière récente et confirme les signaux techniques baissiers à court terme. **Recommandation finale : CONSERVER**, avec un niveau de confiance **Moyen** et un risque global **Élevé**. La convergence entre la prédiction IA baissière, le MACD négatif et la valorisation tendue (P/B 3,14x) incite à la prudence à court terme, tandis que l'amélioration opérationnelle et la solidité du bilan justifient une position de long terme. L'horizon d'investissement optimal est le **moyen terme (3-12 mois)**, en attendant la confirmation d'une rentabilité opérationnelle durable et d'une reprise de la croissance du chiffre d'affaires.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