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12/10/2026 à 12:01</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48 ACHAT  |  0 NEUTRE  |  0 VENTE  (sur 48 sociétés)</w:t>
      </w:r>
    </w:p>
    <w:p>
      <w:pPr>
        <w:spacing w:before="20" w:after="20"/>
        <w:ind w:left="360" w:right="360"/>
        <w:shd w:val="clear" w:color="auto" w:fill="EBF5FB"/>
      </w:pPr>
      <w:r>
        <w:rPr>
          <w:b/>
          <w:sz w:val="19"/>
        </w:rPr>
        <w:t xml:space="preserve">Top opportunité :  </w:t>
      </w:r>
      <w:r>
        <w:rPr>
          <w:color w:val="008000"/>
          <w:sz w:val="19"/>
        </w:rPr>
        <w:t>ABJC  (score 79/100)</w:t>
      </w:r>
    </w:p>
    <w:p>
      <w:pPr>
        <w:spacing w:before="20" w:after="20"/>
        <w:ind w:left="360" w:right="360"/>
        <w:shd w:val="clear" w:color="auto" w:fill="EBF5FB"/>
      </w:pPr>
      <w:r>
        <w:rPr>
          <w:b/>
          <w:sz w:val="19"/>
        </w:rPr>
        <w:t xml:space="preserve">Secteur surperformant :  </w:t>
      </w:r>
      <w:r>
        <w:rPr>
          <w:color w:val="008000"/>
          <w:sz w:val="19"/>
        </w:rPr>
        <w:t>SERVICES PUBLICS  (+55.6%)</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13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546.86 points </w:t>
      </w:r>
      <w:r>
        <w:rPr>
          <w:color w:val="C00000"/>
        </w:rPr>
        <w:t>(-0.28%)</w:t>
      </w:r>
      <w:r>
        <w:t xml:space="preserve"> sur la séance. </w:t>
      </w:r>
      <w:r>
        <w:t>La capitalisation globale du marché atteint 21 444,973 milliards FCFA.</w:t>
      </w:r>
    </w:p>
    <w:p/>
    <w:p>
      <w:pPr>
        <w:pStyle w:val="Heading3"/>
      </w:pPr>
      <w:r>
        <w:t>📊 Évolution de l'indice BRVM Composite (100 derniers jours)</w:t>
      </w:r>
    </w:p>
    <w:p>
      <w:r>
        <w:rPr>
          <w:b/>
        </w:rPr>
        <w:t xml:space="preserve">BRVM Composite — </w:t>
      </w:r>
      <w:r>
        <w:t xml:space="preserve">Sur les 100 derniers jours de cotation (2026-05-18 au 2026-10-09), l'indice BRVM Composite a évolué de </w:t>
      </w:r>
      <w:r>
        <w:rPr>
          <w:b/>
          <w:color w:val="008000"/>
        </w:rPr>
        <w:t>+31.96%</w:t>
      </w:r>
      <w:r>
        <w:t>, passant de 414.40 pts à 546.86 pts. Le plus haut atteint est 555.90 pts et le plus bas 414.40 pts. Sur l'ensemble de la période, la moyenne de l'indice s'établit à 488.50 pts, la médiane à 482.46 pts et le mode à 414.40 pts</w:t>
      </w:r>
      <w:r>
        <w:t xml:space="preserve"> (distribution symétrique). </w:t>
      </w:r>
      <w:r>
        <w:t xml:space="preserve">L'écart-type de 45.34 pts (CV=9.3%) traduit une modérée dispersion des cotations. Le kurtosis de -1.37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+34.25%</w:t>
      </w:r>
      <w:r>
        <w:t xml:space="preserve"> sur la période, passant de 15 974,437 Mds FCFA à 21 444,973 Mds FCFA. Le pic de capitalisation observé est de 21 529,927 Mds FCFA et le plancher de 15 974,437 Mds FCFA. La moyenne de la capitalisation sur la période s'établit à 18 867,843 Mds FCFA, la médiane à 18 586,196 Mds FCFA et le mode à 15 974,437 Mds FCFA</w:t>
      </w:r>
      <w:r>
        <w:t xml:space="preserve"> (distribution symétrique). </w:t>
      </w:r>
      <w:r>
        <w:t>L'écart-type de 1 805,074 Mds FCFA (CV=9.6%) reflète une modérée variabilité de la valorisation du marché. Le kurtosis de -1.37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BNBC - BNBC - BERNABE CI</w:t>
      </w:r>
      <w:r>
        <w:t xml:space="preserve"> | Prix: 1800 FCFA | </w:t>
      </w:r>
      <w:r>
        <w:rPr>
          <w:b/>
          <w:color w:val="008000"/>
        </w:rPr>
        <w:t>ACHAT FORT</w:t>
      </w:r>
      <w:r>
        <w:t xml:space="preserve"> | Confiance: Faible | Risque: Faible</w:t>
      </w:r>
    </w:p>
    <w:p>
      <w:pPr>
        <w:pStyle w:val="ListNumber"/>
      </w:pPr>
      <w:r>
        <w:rPr>
          <w:b/>
        </w:rPr>
        <w:t>SICC - SICC - SICOR COTE D'IVOIRE</w:t>
      </w:r>
      <w:r>
        <w:t xml:space="preserve"> | Prix: 8400 FCFA | </w:t>
      </w:r>
      <w:r>
        <w:rPr>
          <w:b/>
          <w:color w:val="008000"/>
        </w:rPr>
        <w:t>ACHAT FORT</w:t>
      </w:r>
      <w:r>
        <w:t xml:space="preserve"> | Confiance: Faible | Risque: Moyen</w:t>
      </w:r>
    </w:p>
    <w:p>
      <w:pPr>
        <w:pStyle w:val="ListNumber"/>
      </w:pPr>
      <w:r>
        <w:rPr>
          <w:b/>
        </w:rPr>
        <w:t>ABJC - ABJC - SERVAIR ABIDJAN CI</w:t>
      </w:r>
      <w:r>
        <w:t xml:space="preserve"> | Prix: 3190 FCFA | </w:t>
      </w:r>
      <w:r>
        <w:rPr>
          <w:b/>
          <w:color w:val="008000"/>
        </w:rPr>
        <w:t>ACHAT</w:t>
      </w:r>
      <w:r>
        <w:t xml:space="preserve"> | Confiance: Élevée | Risque: Faible</w:t>
      </w:r>
    </w:p>
    <w:p>
      <w:pPr>
        <w:pStyle w:val="ListNumber"/>
      </w:pPr>
      <w:r>
        <w:rPr>
          <w:b/>
        </w:rPr>
        <w:t>BBGC - BRIDGE BANK GROUP COTE D'IVOIRE</w:t>
      </w:r>
      <w:r>
        <w:t xml:space="preserve"> | Prix: 10400 FCFA | </w:t>
      </w:r>
      <w:r>
        <w:rPr>
          <w:b/>
          <w:color w:val="008000"/>
        </w:rPr>
        <w:t>ACHAT</w:t>
      </w:r>
      <w:r>
        <w:t xml:space="preserve"> | Confiance: Moyen | Risque: Faible</w:t>
      </w:r>
    </w:p>
    <w:p>
      <w:pPr>
        <w:pStyle w:val="ListNumber"/>
      </w:pPr>
      <w:r>
        <w:rPr>
          <w:b/>
        </w:rPr>
        <w:t>BICB - BIIC BN - Banque internationale pour le commerce du benin</w:t>
      </w:r>
      <w:r>
        <w:t xml:space="preserve"> | Prix: 8440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32945 FCFA | </w:t>
      </w:r>
      <w:r>
        <w:rPr>
          <w:b/>
          <w:color w:val="008000"/>
        </w:rPr>
        <w:t>ACHAT</w:t>
      </w:r>
      <w:r>
        <w:t xml:space="preserve"> | Confiance: Moyen | Risque: Moyen</w:t>
      </w:r>
    </w:p>
    <w:p>
      <w:pPr>
        <w:pStyle w:val="ListNumber"/>
      </w:pPr>
      <w:r>
        <w:rPr>
          <w:b/>
        </w:rPr>
        <w:t>BOAB - BANK OF AFRICA BENIN</w:t>
      </w:r>
      <w:r>
        <w:t xml:space="preserve"> | Prix: 9400 FCFA | </w:t>
      </w:r>
      <w:r>
        <w:rPr>
          <w:b/>
          <w:color w:val="008000"/>
        </w:rPr>
        <w:t>ACHAT</w:t>
      </w:r>
      <w:r>
        <w:t xml:space="preserve"> | Confiance: Moyen | Risque: Faible</w:t>
      </w:r>
    </w:p>
    <w:p>
      <w:pPr>
        <w:pStyle w:val="ListNumber"/>
      </w:pPr>
      <w:r>
        <w:rPr>
          <w:b/>
        </w:rPr>
        <w:t>BOABF - BANK OF AFRICA BURKINA FASO</w:t>
      </w:r>
      <w:r>
        <w:t xml:space="preserve"> | Prix: 8005 FCFA | </w:t>
      </w:r>
      <w:r>
        <w:rPr>
          <w:b/>
          <w:color w:val="008000"/>
        </w:rPr>
        <w:t>ACHAT</w:t>
      </w:r>
      <w:r>
        <w:t xml:space="preserve"> | Confiance: Moyen | Risque: Moyen</w:t>
      </w:r>
    </w:p>
    <w:p>
      <w:pPr>
        <w:pStyle w:val="ListNumber"/>
      </w:pPr>
      <w:r>
        <w:rPr>
          <w:b/>
        </w:rPr>
        <w:t>BOAC - BANK OF AFRICA COTE D'IVOIRE</w:t>
      </w:r>
      <w:r>
        <w:t xml:space="preserve"> | Prix: 11295 FCFA | </w:t>
      </w:r>
      <w:r>
        <w:rPr>
          <w:b/>
          <w:color w:val="008000"/>
        </w:rPr>
        <w:t>ACHAT</w:t>
      </w:r>
      <w:r>
        <w:t xml:space="preserve"> | Confiance: Faible | Risque: Faible</w:t>
      </w:r>
    </w:p>
    <w:p>
      <w:pPr>
        <w:pStyle w:val="ListNumber"/>
      </w:pPr>
      <w:r>
        <w:rPr>
          <w:b/>
        </w:rPr>
        <w:t>BOAM - BANK OF AFRICA MALI</w:t>
      </w:r>
      <w:r>
        <w:t xml:space="preserve"> | Prix: 6100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48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55.64%</w:t>
      </w:r>
      <w:r>
        <w:t xml:space="preserve">  |  </w:t>
      </w:r>
      <w:r>
        <w:rPr>
          <w:b/>
        </w:rPr>
        <w:t xml:space="preserve">vs BRVM Composite: </w:t>
      </w:r>
      <w:r>
        <w:rPr>
          <w:b/>
          <w:color w:val="008000"/>
        </w:rPr>
        <w:t>+23.67%  🟢 Surperformance</w:t>
      </w:r>
      <w:r>
        <w:br/>
      </w:r>
      <w:r>
        <w:rPr>
          <w:b/>
        </w:rPr>
        <w:t xml:space="preserve">Sentiment général: </w:t>
      </w:r>
      <w:r>
        <w:t xml:space="preserve">ACHAT  |  </w:t>
      </w:r>
      <w:r>
        <w:rPr>
          <w:b/>
        </w:rPr>
        <w:t xml:space="preserve">Risque moyen: </w:t>
      </w:r>
      <w:r>
        <w:t xml:space="preserve">Moyen  |  </w:t>
      </w:r>
      <w:r>
        <w:rPr>
          <w:b/>
        </w:rPr>
        <w:t xml:space="preserve">Prix moyen: </w:t>
      </w:r>
      <w:r>
        <w:t>9645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43.35%</w:t>
      </w:r>
      <w:r>
        <w:t xml:space="preserve">  |  </w:t>
      </w:r>
      <w:r>
        <w:rPr>
          <w:b/>
        </w:rPr>
        <w:t xml:space="preserve">vs BRVM Composite: </w:t>
      </w:r>
      <w:r>
        <w:rPr>
          <w:b/>
          <w:color w:val="008000"/>
        </w:rPr>
        <w:t>+11.39%  🟢 Surperformance</w:t>
      </w:r>
      <w:r>
        <w:br/>
      </w:r>
      <w:r>
        <w:rPr>
          <w:b/>
        </w:rPr>
        <w:t xml:space="preserve">Sentiment général: </w:t>
      </w:r>
      <w:r>
        <w:t xml:space="preserve">ACHAT  |  </w:t>
      </w:r>
      <w:r>
        <w:rPr>
          <w:b/>
        </w:rPr>
        <w:t xml:space="preserve">Risque moyen: </w:t>
      </w:r>
      <w:r>
        <w:t xml:space="preserve">Faible  |  </w:t>
      </w:r>
      <w:r>
        <w:rPr>
          <w:b/>
        </w:rPr>
        <w:t xml:space="preserve">Prix moyen: </w:t>
      </w:r>
      <w:r>
        <w:t>10400 FCFA</w:t>
        <w:br/>
      </w:r>
      <w:r>
        <w:rPr>
          <w:b/>
        </w:rPr>
        <w:br/>
        <w:t xml:space="preserve">Sociétés: </w:t>
      </w:r>
      <w:r>
        <w:t>BBGC (BRIDGE BANK GROUP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34.83%</w:t>
      </w:r>
      <w:r>
        <w:t xml:space="preserve">  |  </w:t>
      </w:r>
      <w:r>
        <w:rPr>
          <w:b/>
        </w:rPr>
        <w:t xml:space="preserve">vs BRVM Composite: </w:t>
      </w:r>
      <w:r>
        <w:rPr>
          <w:b/>
          <w:color w:val="008000"/>
        </w:rPr>
        <w:t>+2.87%  🟢 Surperformance</w:t>
      </w:r>
      <w:r>
        <w:br/>
      </w:r>
      <w:r>
        <w:rPr>
          <w:b/>
        </w:rPr>
        <w:t xml:space="preserve">Sentiment général: </w:t>
      </w:r>
      <w:r>
        <w:t xml:space="preserve">ACHAT  |  </w:t>
      </w:r>
      <w:r>
        <w:rPr>
          <w:b/>
        </w:rPr>
        <w:t xml:space="preserve">Risque moyen: </w:t>
      </w:r>
      <w:r>
        <w:t xml:space="preserve">Moyen  |  </w:t>
      </w:r>
      <w:r>
        <w:rPr>
          <w:b/>
        </w:rPr>
        <w:t xml:space="preserve">Prix moyen: </w:t>
      </w:r>
      <w:r>
        <w:t>23327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33.22%</w:t>
      </w:r>
      <w:r>
        <w:t xml:space="preserve">  |  </w:t>
      </w:r>
      <w:r>
        <w:rPr>
          <w:b/>
        </w:rPr>
        <w:t xml:space="preserve">vs BRVM Composite: </w:t>
      </w:r>
      <w:r>
        <w:rPr>
          <w:b/>
          <w:color w:val="008000"/>
        </w:rPr>
        <w:t>+1.26%  🟢 Surperformance</w:t>
      </w:r>
      <w:r>
        <w:br/>
      </w:r>
      <w:r>
        <w:rPr>
          <w:b/>
        </w:rPr>
        <w:t xml:space="preserve">Sentiment général: </w:t>
      </w:r>
      <w:r>
        <w:t xml:space="preserve">ACHAT  |  </w:t>
      </w:r>
      <w:r>
        <w:rPr>
          <w:b/>
        </w:rPr>
        <w:t xml:space="preserve">Risque moyen: </w:t>
      </w:r>
      <w:r>
        <w:t xml:space="preserve">Moyen  |  </w:t>
      </w:r>
      <w:r>
        <w:rPr>
          <w:b/>
        </w:rPr>
        <w:t xml:space="preserve">Prix moyen: </w:t>
      </w:r>
      <w:r>
        <w:t>13249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15.76%</w:t>
      </w:r>
      <w:r>
        <w:t xml:space="preserve">  |  </w:t>
      </w:r>
      <w:r>
        <w:rPr>
          <w:b/>
        </w:rPr>
        <w:t xml:space="preserve">vs BRVM Composite: </w:t>
      </w:r>
      <w:r>
        <w:rPr>
          <w:b/>
          <w:color w:val="C00000"/>
        </w:rPr>
        <w:t>-16.20%  🔴 Sous-performance</w:t>
      </w:r>
      <w:r>
        <w:br/>
      </w:r>
      <w:r>
        <w:rPr>
          <w:b/>
        </w:rPr>
        <w:t xml:space="preserve">Sentiment général: </w:t>
      </w:r>
      <w:r>
        <w:t xml:space="preserve">ACHAT  |  </w:t>
      </w:r>
      <w:r>
        <w:rPr>
          <w:b/>
        </w:rPr>
        <w:t xml:space="preserve">Risque moyen: </w:t>
      </w:r>
      <w:r>
        <w:t xml:space="preserve">Faible  |  </w:t>
      </w:r>
      <w:r>
        <w:rPr>
          <w:b/>
        </w:rPr>
        <w:t xml:space="preserve">Prix moyen: </w:t>
      </w:r>
      <w:r>
        <w:t>17432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14.56%</w:t>
      </w:r>
      <w:r>
        <w:t xml:space="preserve">  |  </w:t>
      </w:r>
      <w:r>
        <w:rPr>
          <w:b/>
        </w:rPr>
        <w:t xml:space="preserve">vs BRVM Composite: </w:t>
      </w:r>
      <w:r>
        <w:rPr>
          <w:b/>
          <w:color w:val="C00000"/>
        </w:rPr>
        <w:t>-17.41%  🔴 Sous-performance</w:t>
      </w:r>
      <w:r>
        <w:br/>
      </w:r>
      <w:r>
        <w:rPr>
          <w:b/>
        </w:rPr>
        <w:t xml:space="preserve">Sentiment général: </w:t>
      </w:r>
      <w:r>
        <w:t xml:space="preserve">ACHAT  |  </w:t>
      </w:r>
      <w:r>
        <w:rPr>
          <w:b/>
        </w:rPr>
        <w:t xml:space="preserve">Risque moyen: </w:t>
      </w:r>
      <w:r>
        <w:t xml:space="preserve">Faible  |  </w:t>
      </w:r>
      <w:r>
        <w:rPr>
          <w:b/>
        </w:rPr>
        <w:t xml:space="preserve">Prix moyen: </w:t>
      </w:r>
      <w:r>
        <w:t>6142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11.16%</w:t>
      </w:r>
      <w:r>
        <w:t xml:space="preserve">  |  </w:t>
      </w:r>
      <w:r>
        <w:rPr>
          <w:b/>
        </w:rPr>
        <w:t xml:space="preserve">vs BRVM Composite: </w:t>
      </w:r>
      <w:r>
        <w:rPr>
          <w:b/>
          <w:color w:val="C00000"/>
        </w:rPr>
        <w:t>-20.80%  🔴 Sous-performance</w:t>
      </w:r>
      <w:r>
        <w:br/>
      </w:r>
      <w:r>
        <w:rPr>
          <w:b/>
        </w:rPr>
        <w:t xml:space="preserve">Sentiment général: </w:t>
      </w:r>
      <w:r>
        <w:t xml:space="preserve">ACHAT  |  </w:t>
      </w:r>
      <w:r>
        <w:rPr>
          <w:b/>
        </w:rPr>
        <w:t xml:space="preserve">Risque moyen: </w:t>
      </w:r>
      <w:r>
        <w:t xml:space="preserve">Faible  |  </w:t>
      </w:r>
      <w:r>
        <w:rPr>
          <w:b/>
        </w:rPr>
        <w:t xml:space="preserve">Prix moyen: </w:t>
      </w:r>
      <w:r>
        <w:t>2711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-4.95%</w:t>
      </w:r>
      <w:r>
        <w:t xml:space="preserve">  |  </w:t>
      </w:r>
      <w:r>
        <w:rPr>
          <w:b/>
        </w:rPr>
        <w:t xml:space="preserve">vs BRVM Composite: </w:t>
      </w:r>
      <w:r>
        <w:rPr>
          <w:b/>
          <w:color w:val="C00000"/>
        </w:rPr>
        <w:t>-36.92%  🔴 Sous-performance</w:t>
      </w:r>
      <w:r>
        <w:br/>
      </w:r>
      <w:r>
        <w:rPr>
          <w:b/>
        </w:rPr>
        <w:t xml:space="preserve">Sentiment général: </w:t>
      </w:r>
      <w:r>
        <w:t xml:space="preserve">ACHAT  |  </w:t>
      </w:r>
      <w:r>
        <w:rPr>
          <w:b/>
        </w:rPr>
        <w:t xml:space="preserve">Risque moyen: </w:t>
      </w:r>
      <w:r>
        <w:t xml:space="preserve">Faible  |  </w:t>
      </w:r>
      <w:r>
        <w:rPr>
          <w:b/>
        </w:rPr>
        <w:t xml:space="preserve">Prix moyen: </w:t>
      </w:r>
      <w:r>
        <w:t>2246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BOAS, ONTBF, PALC, SDCC, SGBC, SHEC, STAC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BICC, BOAB, BOABF, BOAM, CBIBF, CIEC, ECOC, ETIT, LNBB, NEIC, NSBC, NTLC, PRSC, SCRC, SDSC, SEMC, SNTS, STBC,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BNBC, BOAC, BOAN, CABC, CFAC, FTSC, ORAC, ORGT, SAFC, SIBC, SICC, SIVC, SLBC, SMBC, SOGC, SPHC, TTLC,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2027221</w:t>
            </w:r>
          </w:p>
        </w:tc>
        <w:tc>
          <w:tcPr>
            <w:tcW w:type="dxa" w:w="1728"/>
          </w:tcPr>
          <w:p>
            <w:r>
              <w:t>136218356 FCFA</w:t>
            </w:r>
          </w:p>
        </w:tc>
        <w:tc>
          <w:tcPr>
            <w:tcW w:type="dxa" w:w="1728"/>
          </w:tcPr>
          <w:p>
            <w:r>
              <w:t>123.33%</w:t>
            </w:r>
          </w:p>
        </w:tc>
        <w:tc>
          <w:tcPr>
            <w:tcW w:type="dxa" w:w="1728"/>
          </w:tcPr>
          <w:p>
            <w:r>
              <w:t>ACHAT</w:t>
            </w:r>
          </w:p>
        </w:tc>
      </w:tr>
      <w:tr>
        <w:tc>
          <w:tcPr>
            <w:tcW w:type="dxa" w:w="1728"/>
          </w:tcPr>
          <w:p>
            <w:r>
              <w:t>BBGC (BRIDGE BANK GROUP COTE D'IVOIRE)</w:t>
            </w:r>
          </w:p>
        </w:tc>
        <w:tc>
          <w:tcPr>
            <w:tcW w:type="dxa" w:w="1728"/>
          </w:tcPr>
          <w:p>
            <w:r>
              <w:t>35556</w:t>
            </w:r>
          </w:p>
        </w:tc>
        <w:tc>
          <w:tcPr>
            <w:tcW w:type="dxa" w:w="1728"/>
          </w:tcPr>
          <w:p>
            <w:r>
              <w:t>328971385 FCFA</w:t>
            </w:r>
          </w:p>
        </w:tc>
        <w:tc>
          <w:tcPr>
            <w:tcW w:type="dxa" w:w="1728"/>
          </w:tcPr>
          <w:p>
            <w:r>
              <w:t>43.35%</w:t>
            </w:r>
          </w:p>
        </w:tc>
        <w:tc>
          <w:tcPr>
            <w:tcW w:type="dxa" w:w="1728"/>
          </w:tcPr>
          <w:p>
            <w:r>
              <w:t>ACHAT</w:t>
            </w:r>
          </w:p>
        </w:tc>
      </w:tr>
      <w:tr>
        <w:tc>
          <w:tcPr>
            <w:tcW w:type="dxa" w:w="1728"/>
          </w:tcPr>
          <w:p>
            <w:r>
              <w:t>SNTS (SNTS - SONATEL SN)</w:t>
            </w:r>
          </w:p>
        </w:tc>
        <w:tc>
          <w:tcPr>
            <w:tcW w:type="dxa" w:w="1728"/>
          </w:tcPr>
          <w:p>
            <w:r>
              <w:t>28683</w:t>
            </w:r>
          </w:p>
        </w:tc>
        <w:tc>
          <w:tcPr>
            <w:tcW w:type="dxa" w:w="1728"/>
          </w:tcPr>
          <w:p>
            <w:r>
              <w:t>1221254979 FCFA</w:t>
            </w:r>
          </w:p>
        </w:tc>
        <w:tc>
          <w:tcPr>
            <w:tcW w:type="dxa" w:w="1728"/>
          </w:tcPr>
          <w:p>
            <w:r>
              <w:t>56.18%</w:t>
            </w:r>
          </w:p>
        </w:tc>
        <w:tc>
          <w:tcPr>
            <w:tcW w:type="dxa" w:w="1728"/>
          </w:tcPr>
          <w:p>
            <w:r>
              <w:t>ACHAT</w:t>
            </w:r>
          </w:p>
        </w:tc>
      </w:tr>
      <w:tr>
        <w:tc>
          <w:tcPr>
            <w:tcW w:type="dxa" w:w="1728"/>
          </w:tcPr>
          <w:p>
            <w:r>
              <w:t>BOAS (BANK OF AFRICA SENEGAL)</w:t>
            </w:r>
          </w:p>
        </w:tc>
        <w:tc>
          <w:tcPr>
            <w:tcW w:type="dxa" w:w="1728"/>
          </w:tcPr>
          <w:p>
            <w:r>
              <w:t>13440</w:t>
            </w:r>
          </w:p>
        </w:tc>
        <w:tc>
          <w:tcPr>
            <w:tcW w:type="dxa" w:w="1728"/>
          </w:tcPr>
          <w:p>
            <w:r>
              <w:t>108751721 FCFA</w:t>
            </w:r>
          </w:p>
        </w:tc>
        <w:tc>
          <w:tcPr>
            <w:tcW w:type="dxa" w:w="1728"/>
          </w:tcPr>
          <w:p>
            <w:r>
              <w:t>7.14%</w:t>
            </w:r>
          </w:p>
        </w:tc>
        <w:tc>
          <w:tcPr>
            <w:tcW w:type="dxa" w:w="1728"/>
          </w:tcPr>
          <w:p>
            <w:r>
              <w:t>ACHAT</w:t>
            </w:r>
          </w:p>
        </w:tc>
      </w:tr>
      <w:tr>
        <w:tc>
          <w:tcPr>
            <w:tcW w:type="dxa" w:w="1728"/>
          </w:tcPr>
          <w:p>
            <w:r>
              <w:t>SCRC (SCRC - SUCRIVOIRE)</w:t>
            </w:r>
          </w:p>
        </w:tc>
        <w:tc>
          <w:tcPr>
            <w:tcW w:type="dxa" w:w="1728"/>
          </w:tcPr>
          <w:p>
            <w:r>
              <w:t>13399</w:t>
            </w:r>
          </w:p>
        </w:tc>
        <w:tc>
          <w:tcPr>
            <w:tcW w:type="dxa" w:w="1728"/>
          </w:tcPr>
          <w:p>
            <w:r>
              <w:t>38417002 FCFA</w:t>
            </w:r>
          </w:p>
        </w:tc>
        <w:tc>
          <w:tcPr>
            <w:tcW w:type="dxa" w:w="1728"/>
          </w:tcPr>
          <w:p>
            <w:r>
              <w:t>8.41%</w:t>
            </w:r>
          </w:p>
        </w:tc>
        <w:tc>
          <w:tcPr>
            <w:tcW w:type="dxa" w:w="1728"/>
          </w:tcPr>
          <w:p>
            <w:r>
              <w:t>ACHAT</w:t>
            </w:r>
          </w:p>
        </w:tc>
      </w:tr>
      <w:tr>
        <w:tc>
          <w:tcPr>
            <w:tcW w:type="dxa" w:w="1728"/>
          </w:tcPr>
          <w:p>
            <w:r>
              <w:t>SIBC (SIBC - SOCIETE IVOIRIENNE DE BANQUE)</w:t>
            </w:r>
          </w:p>
        </w:tc>
        <w:tc>
          <w:tcPr>
            <w:tcW w:type="dxa" w:w="1728"/>
          </w:tcPr>
          <w:p>
            <w:r>
              <w:t>11711</w:t>
            </w:r>
          </w:p>
        </w:tc>
        <w:tc>
          <w:tcPr>
            <w:tcW w:type="dxa" w:w="1728"/>
          </w:tcPr>
          <w:p>
            <w:r>
              <w:t>105440938 FCFA</w:t>
            </w:r>
          </w:p>
        </w:tc>
        <w:tc>
          <w:tcPr>
            <w:tcW w:type="dxa" w:w="1728"/>
          </w:tcPr>
          <w:p>
            <w:r>
              <w:t>17.33%</w:t>
            </w:r>
          </w:p>
        </w:tc>
        <w:tc>
          <w:tcPr>
            <w:tcW w:type="dxa" w:w="1728"/>
          </w:tcPr>
          <w:p>
            <w:r>
              <w:t>ACHAT</w:t>
            </w:r>
          </w:p>
        </w:tc>
      </w:tr>
      <w:tr>
        <w:tc>
          <w:tcPr>
            <w:tcW w:type="dxa" w:w="1728"/>
          </w:tcPr>
          <w:p>
            <w:r>
              <w:t>SDSC (SDSC - AFRICA GLOBAL LOGISTICS CI)</w:t>
            </w:r>
          </w:p>
        </w:tc>
        <w:tc>
          <w:tcPr>
            <w:tcW w:type="dxa" w:w="1728"/>
          </w:tcPr>
          <w:p>
            <w:r>
              <w:t>11454</w:t>
            </w:r>
          </w:p>
        </w:tc>
        <w:tc>
          <w:tcPr>
            <w:tcW w:type="dxa" w:w="1728"/>
          </w:tcPr>
          <w:p>
            <w:r>
              <w:t>33274016 FCFA</w:t>
            </w:r>
          </w:p>
        </w:tc>
        <w:tc>
          <w:tcPr>
            <w:tcW w:type="dxa" w:w="1728"/>
          </w:tcPr>
          <w:p>
            <w:r>
              <w:t>68.73%</w:t>
            </w:r>
          </w:p>
        </w:tc>
        <w:tc>
          <w:tcPr>
            <w:tcW w:type="dxa" w:w="1728"/>
          </w:tcPr>
          <w:p>
            <w:r>
              <w:t>ACHAT</w:t>
            </w:r>
          </w:p>
        </w:tc>
      </w:tr>
      <w:tr>
        <w:tc>
          <w:tcPr>
            <w:tcW w:type="dxa" w:w="1728"/>
          </w:tcPr>
          <w:p>
            <w:r>
              <w:t>UNXC (UNXC - UNIWAX COTE D'IVOIRE)</w:t>
            </w:r>
          </w:p>
        </w:tc>
        <w:tc>
          <w:tcPr>
            <w:tcW w:type="dxa" w:w="1728"/>
          </w:tcPr>
          <w:p>
            <w:r>
              <w:t>10835</w:t>
            </w:r>
          </w:p>
        </w:tc>
        <w:tc>
          <w:tcPr>
            <w:tcW w:type="dxa" w:w="1728"/>
          </w:tcPr>
          <w:p>
            <w:r>
              <w:t>25118950 FCFA</w:t>
            </w:r>
          </w:p>
        </w:tc>
        <w:tc>
          <w:tcPr>
            <w:tcW w:type="dxa" w:w="1728"/>
          </w:tcPr>
          <w:p>
            <w:r>
              <w:t>24.86%</w:t>
            </w:r>
          </w:p>
        </w:tc>
        <w:tc>
          <w:tcPr>
            <w:tcW w:type="dxa" w:w="1728"/>
          </w:tcPr>
          <w:p>
            <w:r>
              <w:t>ACHAT</w:t>
            </w:r>
          </w:p>
        </w:tc>
      </w:tr>
      <w:tr>
        <w:tc>
          <w:tcPr>
            <w:tcW w:type="dxa" w:w="1728"/>
          </w:tcPr>
          <w:p>
            <w:r>
              <w:t>BOAC (BANK OF AFRICA COTE D'IVOIRE)</w:t>
            </w:r>
          </w:p>
        </w:tc>
        <w:tc>
          <w:tcPr>
            <w:tcW w:type="dxa" w:w="1728"/>
          </w:tcPr>
          <w:p>
            <w:r>
              <w:t>10733</w:t>
            </w:r>
          </w:p>
        </w:tc>
        <w:tc>
          <w:tcPr>
            <w:tcW w:type="dxa" w:w="1728"/>
          </w:tcPr>
          <w:p>
            <w:r>
              <w:t>122261862 FCFA</w:t>
            </w:r>
          </w:p>
        </w:tc>
        <w:tc>
          <w:tcPr>
            <w:tcW w:type="dxa" w:w="1728"/>
          </w:tcPr>
          <w:p>
            <w:r>
              <w:t>30.50%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SPHC (SPHC - Société Africaine de Plantation d'Hévéas de Côte d'Ivoire)</w:t>
            </w:r>
          </w:p>
        </w:tc>
        <w:tc>
          <w:tcPr>
            <w:tcW w:type="dxa" w:w="1728"/>
          </w:tcPr>
          <w:p>
            <w:r>
              <w:t>3467</w:t>
            </w:r>
          </w:p>
        </w:tc>
        <w:tc>
          <w:tcPr>
            <w:tcW w:type="dxa" w:w="1728"/>
          </w:tcPr>
          <w:p>
            <w:r>
              <w:t>27498751 FCFA</w:t>
            </w:r>
          </w:p>
        </w:tc>
        <w:tc>
          <w:tcPr>
            <w:tcW w:type="dxa" w:w="1728"/>
          </w:tcPr>
          <w:p>
            <w:r>
              <w:t>16.11%</w:t>
            </w:r>
          </w:p>
        </w:tc>
        <w:tc>
          <w:tcPr>
            <w:tcW w:type="dxa" w:w="1728"/>
          </w:tcPr>
          <w:p>
            <w:r>
              <w:t>ACHAT</w:t>
            </w:r>
          </w:p>
        </w:tc>
      </w:tr>
      <w:tr>
        <w:tc>
          <w:tcPr>
            <w:tcW w:type="dxa" w:w="1728"/>
          </w:tcPr>
          <w:p>
            <w:r>
              <w:t>ORGT (ORGT - ORAGROUP TOGO)</w:t>
            </w:r>
          </w:p>
        </w:tc>
        <w:tc>
          <w:tcPr>
            <w:tcW w:type="dxa" w:w="1728"/>
          </w:tcPr>
          <w:p>
            <w:r>
              <w:t>3168</w:t>
            </w:r>
          </w:p>
        </w:tc>
        <w:tc>
          <w:tcPr>
            <w:tcW w:type="dxa" w:w="1728"/>
          </w:tcPr>
          <w:p>
            <w:r>
              <w:t>9609706 FCFA</w:t>
            </w:r>
          </w:p>
        </w:tc>
        <w:tc>
          <w:tcPr>
            <w:tcW w:type="dxa" w:w="1728"/>
          </w:tcPr>
          <w:p>
            <w:r>
              <w:t>20.24%</w:t>
            </w:r>
          </w:p>
        </w:tc>
        <w:tc>
          <w:tcPr>
            <w:tcW w:type="dxa" w:w="1728"/>
          </w:tcPr>
          <w:p>
            <w:r>
              <w:t>ACHAT</w:t>
            </w:r>
          </w:p>
        </w:tc>
      </w:tr>
      <w:tr>
        <w:tc>
          <w:tcPr>
            <w:tcW w:type="dxa" w:w="1728"/>
          </w:tcPr>
          <w:p>
            <w:r>
              <w:t>SOGC (SOGC - Société des caoutchoucs de Grand-Béréby)</w:t>
            </w:r>
          </w:p>
        </w:tc>
        <w:tc>
          <w:tcPr>
            <w:tcW w:type="dxa" w:w="1728"/>
          </w:tcPr>
          <w:p>
            <w:r>
              <w:t>2968</w:t>
            </w:r>
          </w:p>
        </w:tc>
        <w:tc>
          <w:tcPr>
            <w:tcW w:type="dxa" w:w="1728"/>
          </w:tcPr>
          <w:p>
            <w:r>
              <w:t>23373790 FCFA</w:t>
            </w:r>
          </w:p>
        </w:tc>
        <w:tc>
          <w:tcPr>
            <w:tcW w:type="dxa" w:w="1728"/>
          </w:tcPr>
          <w:p>
            <w:r>
              <w:t>8.05%</w:t>
            </w:r>
          </w:p>
        </w:tc>
        <w:tc>
          <w:tcPr>
            <w:tcW w:type="dxa" w:w="1728"/>
          </w:tcPr>
          <w:p>
            <w:r>
              <w:t>ACHAT</w:t>
            </w:r>
          </w:p>
        </w:tc>
      </w:tr>
      <w:tr>
        <w:tc>
          <w:tcPr>
            <w:tcW w:type="dxa" w:w="1728"/>
          </w:tcPr>
          <w:p>
            <w:r>
              <w:t>CFAC (CFAC - CFAO MOTORS CI)</w:t>
            </w:r>
          </w:p>
        </w:tc>
        <w:tc>
          <w:tcPr>
            <w:tcW w:type="dxa" w:w="1728"/>
          </w:tcPr>
          <w:p>
            <w:r>
              <w:t>2876</w:t>
            </w:r>
          </w:p>
        </w:tc>
        <w:tc>
          <w:tcPr>
            <w:tcW w:type="dxa" w:w="1728"/>
          </w:tcPr>
          <w:p>
            <w:r>
              <w:t>4544208 FCFA</w:t>
            </w:r>
          </w:p>
        </w:tc>
        <w:tc>
          <w:tcPr>
            <w:tcW w:type="dxa" w:w="1728"/>
          </w:tcPr>
          <w:p>
            <w:r>
              <w:t>-2.00%</w:t>
            </w:r>
          </w:p>
        </w:tc>
        <w:tc>
          <w:tcPr>
            <w:tcW w:type="dxa" w:w="1728"/>
          </w:tcPr>
          <w:p>
            <w:r>
              <w:t>ACHAT</w:t>
            </w:r>
          </w:p>
        </w:tc>
      </w:tr>
      <w:tr>
        <w:tc>
          <w:tcPr>
            <w:tcW w:type="dxa" w:w="1728"/>
          </w:tcPr>
          <w:p>
            <w:r>
              <w:t>FTSC (FTSC - FILTISAC COTE D'IVOIRE)</w:t>
            </w:r>
          </w:p>
        </w:tc>
        <w:tc>
          <w:tcPr>
            <w:tcW w:type="dxa" w:w="1728"/>
          </w:tcPr>
          <w:p>
            <w:r>
              <w:t>2823</w:t>
            </w:r>
          </w:p>
        </w:tc>
        <w:tc>
          <w:tcPr>
            <w:tcW w:type="dxa" w:w="1728"/>
          </w:tcPr>
          <w:p>
            <w:r>
              <w:t>5604910 FCFA</w:t>
            </w:r>
          </w:p>
        </w:tc>
        <w:tc>
          <w:tcPr>
            <w:tcW w:type="dxa" w:w="1728"/>
          </w:tcPr>
          <w:p>
            <w:r>
              <w:t>-20.76%</w:t>
            </w:r>
          </w:p>
        </w:tc>
        <w:tc>
          <w:tcPr>
            <w:tcW w:type="dxa" w:w="1728"/>
          </w:tcPr>
          <w:p>
            <w:r>
              <w:t>ACHAT</w:t>
            </w:r>
          </w:p>
        </w:tc>
      </w:tr>
      <w:tr>
        <w:tc>
          <w:tcPr>
            <w:tcW w:type="dxa" w:w="1728"/>
          </w:tcPr>
          <w:p>
            <w:r>
              <w:t>ABJC (ABJC - SERVAIR ABIDJAN CI)</w:t>
            </w:r>
          </w:p>
        </w:tc>
        <w:tc>
          <w:tcPr>
            <w:tcW w:type="dxa" w:w="1728"/>
          </w:tcPr>
          <w:p>
            <w:r>
              <w:t>2732</w:t>
            </w:r>
          </w:p>
        </w:tc>
        <w:tc>
          <w:tcPr>
            <w:tcW w:type="dxa" w:w="1728"/>
          </w:tcPr>
          <w:p>
            <w:r>
              <w:t>10326929 FCFA</w:t>
            </w:r>
          </w:p>
        </w:tc>
        <w:tc>
          <w:tcPr>
            <w:tcW w:type="dxa" w:w="1728"/>
          </w:tcPr>
          <w:p>
            <w:r>
              <w:t>12.13%</w:t>
            </w:r>
          </w:p>
        </w:tc>
        <w:tc>
          <w:tcPr>
            <w:tcW w:type="dxa" w:w="1728"/>
          </w:tcPr>
          <w:p>
            <w:r>
              <w:t>ACHAT</w:t>
            </w:r>
          </w:p>
        </w:tc>
      </w:tr>
      <w:tr>
        <w:tc>
          <w:tcPr>
            <w:tcW w:type="dxa" w:w="1728"/>
          </w:tcPr>
          <w:p>
            <w:r>
              <w:t>STBC (STBC - SITAB COTE D'IVOIRE)</w:t>
            </w:r>
          </w:p>
        </w:tc>
        <w:tc>
          <w:tcPr>
            <w:tcW w:type="dxa" w:w="1728"/>
          </w:tcPr>
          <w:p>
            <w:r>
              <w:t>2697</w:t>
            </w:r>
          </w:p>
        </w:tc>
        <w:tc>
          <w:tcPr>
            <w:tcW w:type="dxa" w:w="1728"/>
          </w:tcPr>
          <w:p>
            <w:r>
              <w:t>58419053 FCFA</w:t>
            </w:r>
          </w:p>
        </w:tc>
        <w:tc>
          <w:tcPr>
            <w:tcW w:type="dxa" w:w="1728"/>
          </w:tcPr>
          <w:p>
            <w:r>
              <w:t>1.43%</w:t>
            </w:r>
          </w:p>
        </w:tc>
        <w:tc>
          <w:tcPr>
            <w:tcW w:type="dxa" w:w="1728"/>
          </w:tcPr>
          <w:p>
            <w:r>
              <w:t>ACHAT</w:t>
            </w:r>
          </w:p>
        </w:tc>
      </w:tr>
      <w:tr>
        <w:tc>
          <w:tcPr>
            <w:tcW w:type="dxa" w:w="1728"/>
          </w:tcPr>
          <w:p>
            <w:r>
              <w:t>ECOC (ECOC - ECOBANK COTE D'IVOIRE)</w:t>
            </w:r>
          </w:p>
        </w:tc>
        <w:tc>
          <w:tcPr>
            <w:tcW w:type="dxa" w:w="1728"/>
          </w:tcPr>
          <w:p>
            <w:r>
              <w:t>2577</w:t>
            </w:r>
          </w:p>
        </w:tc>
        <w:tc>
          <w:tcPr>
            <w:tcW w:type="dxa" w:w="1728"/>
          </w:tcPr>
          <w:p>
            <w:r>
              <w:t>43605402 FCFA</w:t>
            </w:r>
          </w:p>
        </w:tc>
        <w:tc>
          <w:tcPr>
            <w:tcW w:type="dxa" w:w="1728"/>
          </w:tcPr>
          <w:p>
            <w:r>
              <w:t>3.07%</w:t>
            </w:r>
          </w:p>
        </w:tc>
        <w:tc>
          <w:tcPr>
            <w:tcW w:type="dxa" w:w="1728"/>
          </w:tcPr>
          <w:p>
            <w:r>
              <w:t>ACHAT</w:t>
            </w:r>
          </w:p>
        </w:tc>
      </w:tr>
      <w:tr>
        <w:tc>
          <w:tcPr>
            <w:tcW w:type="dxa" w:w="1728"/>
          </w:tcPr>
          <w:p>
            <w:r>
              <w:t>NEIC (NEIC - NEI-CEDA CI)</w:t>
            </w:r>
          </w:p>
        </w:tc>
        <w:tc>
          <w:tcPr>
            <w:tcW w:type="dxa" w:w="1728"/>
          </w:tcPr>
          <w:p>
            <w:r>
              <w:t>2536</w:t>
            </w:r>
          </w:p>
        </w:tc>
        <w:tc>
          <w:tcPr>
            <w:tcW w:type="dxa" w:w="1728"/>
          </w:tcPr>
          <w:p>
            <w:r>
              <w:t>5903990 FCFA</w:t>
            </w:r>
          </w:p>
        </w:tc>
        <w:tc>
          <w:tcPr>
            <w:tcW w:type="dxa" w:w="1728"/>
          </w:tcPr>
          <w:p>
            <w:r>
              <w:t>10.82%</w:t>
            </w:r>
          </w:p>
        </w:tc>
        <w:tc>
          <w:tcPr>
            <w:tcW w:type="dxa" w:w="1728"/>
          </w:tcPr>
          <w:p>
            <w:r>
              <w:t>ACHAT</w:t>
            </w:r>
          </w:p>
        </w:tc>
      </w:tr>
      <w:tr>
        <w:tc>
          <w:tcPr>
            <w:tcW w:type="dxa" w:w="1728"/>
          </w:tcPr>
          <w:p>
            <w:r>
              <w:t>BNBC (BNBC - BERNABE CI)</w:t>
            </w:r>
          </w:p>
        </w:tc>
        <w:tc>
          <w:tcPr>
            <w:tcW w:type="dxa" w:w="1728"/>
          </w:tcPr>
          <w:p>
            <w:r>
              <w:t>2406</w:t>
            </w:r>
          </w:p>
        </w:tc>
        <w:tc>
          <w:tcPr>
            <w:tcW w:type="dxa" w:w="1728"/>
          </w:tcPr>
          <w:p>
            <w:r>
              <w:t>4698122 FCFA</w:t>
            </w:r>
          </w:p>
        </w:tc>
        <w:tc>
          <w:tcPr>
            <w:tcW w:type="dxa" w:w="1728"/>
          </w:tcPr>
          <w:p>
            <w:r>
              <w:t>16.50%</w:t>
            </w:r>
          </w:p>
        </w:tc>
        <w:tc>
          <w:tcPr>
            <w:tcW w:type="dxa" w:w="1728"/>
          </w:tcPr>
          <w:p>
            <w:r>
              <w:t>ACHAT FORT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2.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3. ORGT - ORGT - ORAGROUP TOGO</w:t>
      </w:r>
    </w:p>
    <w:p>
      <w:r>
        <w:rPr>
          <w:b/>
        </w:rPr>
        <w:t xml:space="preserve">Score de divergence: </w:t>
      </w:r>
      <w:r>
        <w:t>5/8</w:t>
        <w:br/>
      </w:r>
      <w:r>
        <w:rPr>
          <w:b/>
        </w:rPr>
        <w:t xml:space="preserve">Description: </w:t>
      </w:r>
      <w:r>
        <w:t>Signaux de vente: MM, MACD | Recommandation finale: ACHAT</w:t>
        <w:br/>
      </w:r>
    </w:p>
    <w:p/>
    <w:p>
      <w:pPr>
        <w:pStyle w:val="Heading3"/>
      </w:pPr>
      <w:r>
        <w:t>4. SIBC - SIBC - SOCIETE IVOIRIENNE DE BANQUE</w:t>
      </w:r>
    </w:p>
    <w:p>
      <w:r>
        <w:rPr>
          <w:b/>
        </w:rPr>
        <w:t xml:space="preserve">Score de divergence: </w:t>
      </w:r>
      <w:r>
        <w:t>5/8</w:t>
        <w:br/>
      </w:r>
      <w:r>
        <w:rPr>
          <w:b/>
        </w:rPr>
        <w:t xml:space="preserve">Description: </w:t>
      </w:r>
      <w:r>
        <w:t>Signaux de vente: MM, MACD | Recommandation finale: ACHAT</w:t>
        <w:br/>
      </w:r>
    </w:p>
    <w:p/>
    <w:p>
      <w:pPr>
        <w:pStyle w:val="Heading3"/>
      </w:pPr>
      <w:r>
        <w:t>5. SMBC - SMBC - Société Multinationale de Bitumes COTE D'IVOIRE</w:t>
      </w:r>
    </w:p>
    <w:p>
      <w:r>
        <w:rPr>
          <w:b/>
        </w:rPr>
        <w:t xml:space="preserve">Score de divergence: </w:t>
      </w:r>
      <w:r>
        <w:t>5/8</w:t>
        <w:br/>
      </w:r>
      <w:r>
        <w:rPr>
          <w:b/>
        </w:rPr>
        <w:t xml:space="preserve">Description: </w:t>
      </w:r>
      <w:r>
        <w:t>Signaux de vente: MM, MACD | Recommandation finale: ACHAT</w:t>
        <w:br/>
      </w:r>
    </w:p>
    <w:p/>
    <w:p>
      <w:pPr>
        <w:pStyle w:val="Heading3"/>
      </w:pPr>
      <w:r>
        <w:t>6. BNBC - BNBC - BERNABE CI</w:t>
      </w:r>
    </w:p>
    <w:p>
      <w:r>
        <w:rPr>
          <w:b/>
        </w:rPr>
        <w:t xml:space="preserve">Score de divergence: </w:t>
      </w:r>
      <w:r>
        <w:t>4/8</w:t>
        <w:br/>
      </w:r>
      <w:r>
        <w:rPr>
          <w:b/>
        </w:rPr>
        <w:t xml:space="preserve">Description: </w:t>
      </w:r>
      <w:r>
        <w:t>Signaux d'achat: Stochastique | Signaux de vente: MM, MACD | Recommandation finale: ACHAT FORT</w:t>
        <w:br/>
      </w:r>
    </w:p>
    <w:p/>
    <w:p>
      <w:pPr>
        <w:pStyle w:val="Heading3"/>
      </w:pPr>
      <w:r>
        <w:t>7.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CFAC - CFAC - CFAO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FTSC - FTSC - FILTISAC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ORAC - ORAC - ORANGE COTE D'IVOIRE</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28</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sz w:val="18"/>
        </w:rPr>
        <w:t>**BCE (12/10/2026)** : abstention de forward guidance sur les taux directeurs, signal d'incertitude prolongée sur le coût du crédit en zone euro.</w:t>
      </w:r>
    </w:p>
    <w:p>
      <w:pPr>
        <w:pStyle w:val="ListBullet"/>
        <w:spacing w:before="20" w:after="20"/>
        <w:ind w:left="360"/>
      </w:pPr>
      <w:r>
        <w:rPr>
          <w:color w:val="008000"/>
          <w:sz w:val="18"/>
        </w:rPr>
        <w:t>**Wall Street (08/10/2026)** : séance dispersée (Dow et S&amp;P 500 en repli, Nasdaq en légère hausse) dans un contexte de hausse des prix du pétrole.</w:t>
      </w:r>
    </w:p>
    <w:p>
      <w:pPr>
        <w:pStyle w:val="ListBullet"/>
        <w:spacing w:before="20" w:after="20"/>
        <w:ind w:left="360"/>
      </w:pPr>
      <w:r>
        <w:rPr>
          <w:sz w:val="18"/>
        </w:rPr>
        <w:t>**Pétrole brut** : pics internationaux observés, avec tension sur les matières premières connexes (diesel en tête des échanges).</w:t>
      </w:r>
    </w:p>
    <w:p>
      <w:pPr>
        <w:pStyle w:val="ListBullet"/>
        <w:spacing w:before="20" w:after="20"/>
        <w:ind w:left="360"/>
      </w:pPr>
      <w:r>
        <w:rPr>
          <w:sz w:val="18"/>
        </w:rPr>
        <w:t>**FMI/Banque mondiale** : assemblées annuelles dominées par les dossiers dette/inflation, y compris pour l'Afrique.</w:t>
      </w:r>
    </w:p>
    <w:p>
      <w:pPr>
        <w:pStyle w:val="Heading3"/>
      </w:pPr>
      <w:r>
        <w:rPr>
          <w:color w:val="500050"/>
        </w:rPr>
        <w:t>⚡ Impact estimé sur la BRVM</w:t>
      </w:r>
    </w:p>
    <w:p>
      <w:pPr>
        <w:spacing w:before="20" w:after="40"/>
        <w:ind w:left="280"/>
      </w:pPr>
      <w:r>
        <w:rPr>
          <w:i/>
          <w:sz w:val="18"/>
        </w:rPr>
        <w:t>La hausse du pétrole soutient **SHEC** (ENERGIE) via la valorisation du secteur, mais alourdit les coûts pour **SDCC** (SERVICES PUBLICS) et les industriels **STAC**. L'absence de guidance BCE maintient un climat d'aversion au risque défavorable aux flux vers les marchés frontières comme la BRVM.</w:t>
      </w:r>
    </w:p>
    <w:p>
      <w:pPr>
        <w:pStyle w:val="Heading2"/>
      </w:pPr>
      <w:r>
        <w:rPr>
          <w:color w:val="006E32"/>
        </w:rPr>
        <w:t>🌍 Plan Africain</w:t>
      </w:r>
    </w:p>
    <w:p>
      <w:pPr>
        <w:pStyle w:val="ListBullet"/>
        <w:spacing w:before="20" w:after="20"/>
        <w:ind w:left="360"/>
      </w:pPr>
      <w:r>
        <w:rPr>
          <w:color w:val="C00000"/>
          <w:sz w:val="18"/>
        </w:rPr>
        <w:t>**FMI/BM à Bangkok (11/10)** : focus sur la dette et l'inflation africaines, pressions budgétaires persistantes.</w:t>
      </w:r>
    </w:p>
    <w:p>
      <w:pPr>
        <w:pStyle w:val="ListBullet"/>
        <w:spacing w:before="20" w:after="20"/>
        <w:ind w:left="360"/>
      </w:pPr>
      <w:r>
        <w:rPr>
          <w:sz w:val="18"/>
        </w:rPr>
        <w:t>**Croissance Sénégal/Gabon** : dossiers de croissance examinés lors des assemblées annuelles.</w:t>
      </w:r>
    </w:p>
    <w:p>
      <w:pPr>
        <w:pStyle w:val="ListBullet"/>
        <w:spacing w:before="20" w:after="20"/>
        <w:ind w:left="360"/>
      </w:pPr>
      <w:r>
        <w:rPr>
          <w:color w:val="008000"/>
          <w:sz w:val="18"/>
        </w:rPr>
        <w:t>**CEDEAO-FMI/BM (06/10)** : renforcement du partenariat institutionnel (sentiment positif).</w:t>
      </w:r>
    </w:p>
    <w:p>
      <w:pPr>
        <w:pStyle w:val="Heading3"/>
      </w:pPr>
      <w:r>
        <w:rPr>
          <w:color w:val="500050"/>
        </w:rPr>
        <w:t>⚡ Impact estimé sur la BRVM</w:t>
      </w:r>
    </w:p>
    <w:p>
      <w:pPr>
        <w:spacing w:before="20" w:after="40"/>
        <w:ind w:left="280"/>
      </w:pPr>
      <w:r>
        <w:rPr>
          <w:i/>
          <w:sz w:val="18"/>
        </w:rPr>
        <w:t>Les discussions sur la dette souveraine pèsent sur les spreads régionaux et donc sur **BOAS, BICB, SGBC, NSBC, ECOC** (SERVICES FINANCIERS), exposées aux titres publics. Le partenariat CEDEAO-FMI est un signal favorable à moyen terme pour la confiance investisseurs.</w:t>
      </w:r>
    </w:p>
    <w:p>
      <w:pPr>
        <w:pStyle w:val="Heading2"/>
      </w:pPr>
      <w:r>
        <w:rPr>
          <w:color w:val="145A28"/>
        </w:rPr>
        <w:t>🌍 Plan Afrique de l'Ouest</w:t>
      </w:r>
    </w:p>
    <w:p>
      <w:pPr>
        <w:pStyle w:val="ListBullet"/>
        <w:spacing w:before="20" w:after="20"/>
        <w:ind w:left="360"/>
      </w:pPr>
      <w:r>
        <w:rPr>
          <w:color w:val="008000"/>
          <w:sz w:val="18"/>
        </w:rPr>
        <w:t>**Parlement CEDEAO (09/10)** : appel du Président Faye à renforcer l'intégration citoyenne (positif).</w:t>
      </w:r>
    </w:p>
    <w:p>
      <w:pPr>
        <w:pStyle w:val="ListBullet"/>
        <w:spacing w:before="20" w:after="20"/>
        <w:ind w:left="360"/>
      </w:pPr>
      <w:r>
        <w:rPr>
          <w:sz w:val="18"/>
        </w:rPr>
        <w:t>**Guinée-Bissau (09/10)** : tensions politiques, vote bloqué, appel au dialogue (négatif).</w:t>
      </w:r>
    </w:p>
    <w:p>
      <w:pPr>
        <w:pStyle w:val="ListBullet"/>
        <w:spacing w:before="20" w:after="20"/>
        <w:ind w:left="360"/>
      </w:pPr>
      <w:r>
        <w:rPr>
          <w:color w:val="008000"/>
          <w:sz w:val="18"/>
        </w:rPr>
        <w:t>**FEWACCI (09/10)** : élection de Mamadou Baldé comme 3ᵉ vice-président, dynamisation du commerce ouest-africain (positif).</w:t>
      </w:r>
    </w:p>
    <w:p>
      <w:pPr>
        <w:pStyle w:val="Heading3"/>
      </w:pPr>
      <w:r>
        <w:rPr>
          <w:color w:val="500050"/>
        </w:rPr>
        <w:t>⚡ Impact estimé sur la BRVM</w:t>
      </w:r>
    </w:p>
    <w:p>
      <w:pPr>
        <w:spacing w:before="20" w:after="40"/>
        <w:ind w:left="280"/>
      </w:pPr>
      <w:r>
        <w:rPr>
          <w:i/>
          <w:sz w:val="18"/>
        </w:rPr>
        <w:t>L'intégration CEDEAO et la dynamique FEWACCI soutiennent les perspectives de **SNTS, ONTBF** (TELECOMS) et des distributeurs **BNBC, ABJC, NEIC**. Les tensions bissau-guinéennes restent un risque périphérique limité pour la cote BRVM.</w:t>
      </w:r>
    </w:p>
    <w:p>
      <w:pPr>
        <w:pStyle w:val="Heading2"/>
      </w:pPr>
      <w:r>
        <w:rPr>
          <w:color w:val="8C4600"/>
        </w:rPr>
        <w:t>🏦 Plan UEMOA / Zone Franc</w:t>
      </w:r>
    </w:p>
    <w:p>
      <w:pPr>
        <w:pStyle w:val="ListBullet"/>
        <w:spacing w:before="20" w:after="20"/>
        <w:ind w:left="360"/>
      </w:pPr>
      <w:r>
        <w:rPr>
          <w:sz w:val="18"/>
        </w:rPr>
        <w:t>**Togo (12/10)** : tensions politiques internes (ANC vs pouvoir), climat social à surveiller.</w:t>
      </w:r>
    </w:p>
    <w:p>
      <w:pPr>
        <w:pStyle w:val="ListBullet"/>
        <w:spacing w:before="20" w:after="20"/>
        <w:ind w:left="360"/>
      </w:pPr>
      <w:r>
        <w:rPr>
          <w:sz w:val="18"/>
        </w:rPr>
        <w:t>**Sénégal** : controverse politique internationale (LFI/Pastef), sans impact économique direct identifié.</w:t>
      </w:r>
    </w:p>
    <w:p>
      <w:pPr>
        <w:pStyle w:val="ListBullet"/>
        <w:spacing w:before="20" w:after="20"/>
        <w:ind w:left="360"/>
      </w:pPr>
      <w:r>
        <w:rPr>
          <w:sz w:val="18"/>
        </w:rPr>
        <w:t>**Matières premières** : diesel en tête des échanges, produits verts dominants — signal mixte pour les coûts énergétiques régionaux.</w:t>
      </w:r>
    </w:p>
    <w:p>
      <w:pPr>
        <w:pStyle w:val="Heading3"/>
      </w:pPr>
      <w:r>
        <w:rPr>
          <w:color w:val="500050"/>
        </w:rPr>
        <w:t>⚡ Impact estimé sur la BRVM</w:t>
      </w:r>
    </w:p>
    <w:p>
      <w:pPr>
        <w:spacing w:before="20" w:after="40"/>
        <w:ind w:left="280"/>
      </w:pPr>
      <w:r>
        <w:rPr>
          <w:i/>
          <w:sz w:val="18"/>
        </w:rPr>
        <w:t>Les tensions togolaises n'affectent pas directement les sociétés cotées (aucune valeur togolaise majeure listée). La cherté du diesel pèse sur les marges de **SDCC** et des industriels **STAC**, tandis que les producteurs agricoles **PALC, SCRC** restent soutenus par la demande en matières premières.</w:t>
      </w:r>
    </w:p>
    <w:p>
      <w:pPr>
        <w:pStyle w:val="Heading2"/>
      </w:pPr>
      <w:r>
        <w:rPr>
          <w:color w:val="003366"/>
        </w:rPr>
        <w:t>📈 Plan BRVM</w:t>
      </w:r>
    </w:p>
    <w:p>
      <w:pPr>
        <w:pStyle w:val="ListBullet"/>
        <w:spacing w:before="20" w:after="20"/>
        <w:ind w:left="360"/>
      </w:pPr>
      <w:r>
        <w:rPr>
          <w:sz w:val="18"/>
        </w:rPr>
        <w:t>**Résultats ivoiriens encourageants (09/06)** : performance positive des sociétés cotées ivoiriennes selon La Tribune.</w:t>
      </w:r>
    </w:p>
    <w:p>
      <w:pPr>
        <w:pStyle w:val="ListBullet"/>
        <w:spacing w:before="20" w:after="20"/>
        <w:ind w:left="360"/>
      </w:pPr>
      <w:r>
        <w:rPr>
          <w:sz w:val="18"/>
        </w:rPr>
        <w:t>Indice BRVM Composite à **546.86**, en zone de consolidation.</w:t>
      </w:r>
    </w:p>
    <w:p>
      <w:pPr>
        <w:pStyle w:val="ListBullet"/>
        <w:spacing w:before="20" w:after="20"/>
        <w:ind w:left="360"/>
      </w:pPr>
      <w:r>
        <w:rPr>
          <w:sz w:val="18"/>
        </w:rPr>
        <w:t>Aucune IPO ni opération sur dividende signalée dans les flux collectés.</w:t>
      </w:r>
    </w:p>
    <w:p>
      <w:pPr>
        <w:pStyle w:val="Heading3"/>
      </w:pPr>
      <w:r>
        <w:rPr>
          <w:color w:val="500050"/>
        </w:rPr>
        <w:t>⚡ Impact estimé sur la BRVM</w:t>
      </w:r>
    </w:p>
    <w:p>
      <w:pPr>
        <w:spacing w:before="20" w:after="40"/>
        <w:ind w:left="280"/>
      </w:pPr>
      <w:r>
        <w:rPr>
          <w:i/>
          <w:sz w:val="18"/>
        </w:rPr>
        <w:t>Recommandations : **SGBC, BICB, BOAS** — conserver, résultats sectoriels solides ; **PALC, SCRC** — accumuler sur repli, soutien matières premières ; **ONTBF, SNTS** — conserver, défensif ; **SHEC** — surveiller, bénéficiaire de la hausse pétrole ; **STAC, SDCC** — prudence, pression sur les coûts.</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**BCE (12/10)** : communication prudente, pas de signal taux — incertitude monétaire prolongée.</w:t>
      </w:r>
    </w:p>
    <w:p>
      <w:pPr>
        <w:pStyle w:val="ListBullet"/>
        <w:spacing w:before="20" w:after="20"/>
        <w:ind w:left="360"/>
      </w:pPr>
      <w:r>
        <w:rPr>
          <w:color w:val="C00000"/>
          <w:sz w:val="18"/>
        </w:rPr>
        <w:t>**Wall Street/pétrole (08/10)** : tensions sur les prix énergétiques, risque inflationniste résiduel.</w:t>
      </w:r>
    </w:p>
    <w:p>
      <w:pPr>
        <w:pStyle w:val="ListBullet"/>
        <w:spacing w:before="20" w:after="20"/>
        <w:ind w:left="360"/>
      </w:pPr>
      <w:r>
        <w:rPr>
          <w:sz w:val="18"/>
        </w:rPr>
        <w:t>**Impact BCE sur ménages modestes (08/10)** : analyse des effets redistributifs des décisions monétaires.</w:t>
      </w:r>
    </w:p>
    <w:p>
      <w:pPr>
        <w:pStyle w:val="Heading3"/>
      </w:pPr>
      <w:r>
        <w:rPr>
          <w:color w:val="500050"/>
        </w:rPr>
        <w:t>⚡ Impact estimé sur la BRVM</w:t>
      </w:r>
    </w:p>
    <w:p>
      <w:pPr>
        <w:spacing w:before="20" w:after="40"/>
        <w:ind w:left="280"/>
      </w:pPr>
      <w:r>
        <w:rPr>
          <w:i/>
          <w:sz w:val="18"/>
        </w:rPr>
        <w:t>L'incertitude BCE pousse les investisseurs vers des actifs refuges, réduisant l'appétit pour les marchés frontières africains. Effet indirect négatif sur la liquidité BRVM et sur les valorisations des financières **BOAS, NSBC**.</w:t>
      </w:r>
    </w:p>
    <w:p>
      <w:pPr>
        <w:pStyle w:val="Heading2"/>
      </w:pPr>
      <w:r>
        <w:rPr>
          <w:color w:val="006E32"/>
        </w:rPr>
        <w:t>🌍 Plan Africain</w:t>
      </w:r>
    </w:p>
    <w:p>
      <w:pPr>
        <w:pStyle w:val="ListBullet"/>
        <w:spacing w:before="20" w:after="20"/>
        <w:ind w:left="360"/>
      </w:pPr>
      <w:r>
        <w:rPr>
          <w:sz w:val="18"/>
        </w:rPr>
        <w:t>**Togo (12/10)** : offensive politique de l'ANC contre le pouvoir, tensions internes.</w:t>
      </w:r>
    </w:p>
    <w:p>
      <w:pPr>
        <w:pStyle w:val="ListBullet"/>
        <w:spacing w:before="20" w:after="20"/>
        <w:ind w:left="360"/>
      </w:pPr>
      <w:r>
        <w:rPr>
          <w:color w:val="008000"/>
          <w:sz w:val="18"/>
        </w:rPr>
        <w:t>**CEDEAO (06/10)** : coopération institutionnelle renforcée avec FMI/BM (positif).</w:t>
      </w:r>
    </w:p>
    <w:p>
      <w:pPr>
        <w:pStyle w:val="ListBullet"/>
        <w:spacing w:before="20" w:after="20"/>
        <w:ind w:left="360"/>
      </w:pPr>
      <w:r>
        <w:rPr>
          <w:sz w:val="18"/>
        </w:rPr>
        <w:t>**Burkina Faso/ONU (11/10)** : soutien au plan d'autonomie marocain, diplomatie active.</w:t>
      </w:r>
    </w:p>
    <w:p>
      <w:pPr>
        <w:pStyle w:val="Heading3"/>
      </w:pPr>
      <w:r>
        <w:rPr>
          <w:color w:val="500050"/>
        </w:rPr>
        <w:t>⚡ Impact estimé sur la BRVM</w:t>
      </w:r>
    </w:p>
    <w:p>
      <w:pPr>
        <w:spacing w:before="20" w:after="40"/>
        <w:ind w:left="280"/>
      </w:pPr>
      <w:r>
        <w:rPr>
          <w:i/>
          <w:sz w:val="18"/>
        </w:rPr>
        <w:t>Les tensions togolaises et burkinabè alimentent une prime de risque régionale, freinant les flux de capitaux étrangers vers la BRVM. La coopération CEDEAO-FMI compense partiellement par un signal de stabilité institutionnelle.</w:t>
      </w:r>
    </w:p>
    <w:p>
      <w:pPr>
        <w:pStyle w:val="Heading2"/>
      </w:pPr>
      <w:r>
        <w:rPr>
          <w:color w:val="145A28"/>
        </w:rPr>
        <w:t>🌍 Plan Afrique de l'Ouest</w:t>
      </w:r>
    </w:p>
    <w:p>
      <w:pPr>
        <w:pStyle w:val="ListBullet"/>
        <w:spacing w:before="20" w:after="20"/>
        <w:ind w:left="360"/>
      </w:pPr>
      <w:r>
        <w:rPr>
          <w:sz w:val="18"/>
        </w:rPr>
        <w:t>**Guinée-Bissau (09/10)** : blocage parlementaire, appel CEDEAO au dialogue.</w:t>
      </w:r>
    </w:p>
    <w:p>
      <w:pPr>
        <w:pStyle w:val="ListBullet"/>
        <w:spacing w:before="20" w:after="20"/>
        <w:ind w:left="360"/>
      </w:pPr>
      <w:r>
        <w:rPr>
          <w:sz w:val="18"/>
        </w:rPr>
        <w:t>**Parlement CEDEAO (09/10)** : intégration citoyenne portée par Faye.</w:t>
      </w:r>
    </w:p>
    <w:p>
      <w:pPr>
        <w:pStyle w:val="ListBullet"/>
        <w:spacing w:before="20" w:after="20"/>
        <w:ind w:left="360"/>
      </w:pPr>
      <w:r>
        <w:rPr>
          <w:sz w:val="18"/>
        </w:rPr>
        <w:t>**FEWACCI (09/10)** : nouveau leadership, agenda commerce régional.</w:t>
      </w:r>
    </w:p>
    <w:p>
      <w:pPr>
        <w:pStyle w:val="Heading3"/>
      </w:pPr>
      <w:r>
        <w:rPr>
          <w:color w:val="500050"/>
        </w:rPr>
        <w:t>⚡ Impact estimé sur la BRVM</w:t>
      </w:r>
    </w:p>
    <w:p>
      <w:pPr>
        <w:spacing w:before="20" w:after="40"/>
        <w:ind w:left="280"/>
      </w:pPr>
      <w:r>
        <w:rPr>
          <w:i/>
          <w:sz w:val="18"/>
        </w:rPr>
        <w:t>Risque politique concentré sur la Guinée-Bissau, sans exposition directe des sociétés cotées. Les initiatives d'intégration soutiennent les perspectives de **SNTS, ONTBF** (télécoms panafricaines) et des banques régionales **ECOC, BOAS**.</w:t>
      </w:r>
    </w:p>
    <w:p>
      <w:pPr>
        <w:pStyle w:val="Heading2"/>
      </w:pPr>
      <w:r>
        <w:rPr>
          <w:color w:val="8C4600"/>
        </w:rPr>
        <w:t>🏦 Plan UEMOA / Zone Franc</w:t>
      </w:r>
    </w:p>
    <w:p>
      <w:pPr>
        <w:pStyle w:val="ListBullet"/>
        <w:spacing w:before="20" w:after="20"/>
        <w:ind w:left="360"/>
      </w:pPr>
      <w:r>
        <w:rPr>
          <w:sz w:val="18"/>
        </w:rPr>
        <w:t>**Togo (12/10)** : climat politique tendu, à surveiller pour l'ensemble de l'Union.</w:t>
      </w:r>
    </w:p>
    <w:p>
      <w:pPr>
        <w:pStyle w:val="ListBullet"/>
        <w:spacing w:before="20" w:after="20"/>
        <w:ind w:left="360"/>
      </w:pPr>
      <w:r>
        <w:rPr>
          <w:sz w:val="18"/>
        </w:rPr>
        <w:t>**Sénégal** : controverse internationale sans impact économique direct.</w:t>
      </w:r>
    </w:p>
    <w:p>
      <w:pPr>
        <w:pStyle w:val="ListBullet"/>
        <w:spacing w:before="20" w:after="20"/>
        <w:ind w:left="360"/>
      </w:pPr>
      <w:r>
        <w:rPr>
          <w:sz w:val="18"/>
        </w:rPr>
        <w:t>**Réformes institutionnelles** : aucune annonce majeure dans les flux collectés.</w:t>
      </w:r>
    </w:p>
    <w:p>
      <w:pPr>
        <w:pStyle w:val="Heading3"/>
      </w:pPr>
      <w:r>
        <w:rPr>
          <w:color w:val="500050"/>
        </w:rPr>
        <w:t>⚡ Impact estimé sur la BRVM</w:t>
      </w:r>
    </w:p>
    <w:p>
      <w:pPr>
        <w:spacing w:before="20" w:after="40"/>
        <w:ind w:left="280"/>
      </w:pPr>
      <w:r>
        <w:rPr>
          <w:i/>
          <w:sz w:val="18"/>
        </w:rPr>
        <w:t>Risque réglementaire et politique modéré. Les tensions togolaises n'affectent pas directement les émetteurs BRVM, mais entretiennent une perception de risque sous-régional pouvant peser sur les valorisations bancaires **SGBC, BICB, NSBC**.</w:t>
      </w:r>
    </w:p>
    <w:p>
      <w:pPr>
        <w:pStyle w:val="Heading2"/>
      </w:pPr>
      <w:r>
        <w:rPr>
          <w:color w:val="003366"/>
        </w:rPr>
        <w:t>📈 Plan BRVM</w:t>
      </w:r>
    </w:p>
    <w:p>
      <w:pPr>
        <w:pStyle w:val="ListBullet"/>
        <w:spacing w:before="20" w:after="20"/>
        <w:ind w:left="360"/>
      </w:pPr>
      <w:r>
        <w:rPr>
          <w:sz w:val="18"/>
        </w:rPr>
        <w:t>Aucune actualité réglementaire CREPMF, IPO ou gouvernance spécifique dans les flux collectés.</w:t>
      </w:r>
    </w:p>
    <w:p>
      <w:pPr>
        <w:pStyle w:val="ListBullet"/>
        <w:spacing w:before="20" w:after="20"/>
        <w:ind w:left="360"/>
      </w:pPr>
      <w:r>
        <w:rPr>
          <w:sz w:val="18"/>
        </w:rPr>
        <w:t>**Données insuffisantes** pour évaluer les évolutions réglementaires récentes.</w:t>
      </w:r>
    </w:p>
    <w:p>
      <w:pPr>
        <w:pStyle w:val="Heading3"/>
      </w:pPr>
      <w:r>
        <w:rPr>
          <w:color w:val="500050"/>
        </w:rPr>
        <w:t>⚡ Impact estimé sur la BRVM</w:t>
      </w:r>
    </w:p>
    <w:p>
      <w:pPr>
        <w:spacing w:before="20" w:after="40"/>
        <w:ind w:left="280"/>
      </w:pPr>
      <w:r>
        <w:rPr>
          <w:i/>
          <w:sz w:val="18"/>
        </w:rPr>
        <w:t>Absence de catalyseur réglementaire identifié. Le marché évolue sur ses fondamentaux, avec un biais haussier porté par les résultats ivoiriens encourageants.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**Wall Street (08/10)** : dispersion (Dow/S&amp;P 500 en repli, Nasdaq en hausse).</w:t>
      </w:r>
    </w:p>
    <w:p>
      <w:pPr>
        <w:pStyle w:val="ListBullet"/>
        <w:spacing w:before="20" w:after="20"/>
        <w:ind w:left="360"/>
      </w:pPr>
      <w:r>
        <w:rPr>
          <w:sz w:val="18"/>
        </w:rPr>
        <w:t>**BCE (12/10)** : pas de guidance, volatilité taux attendue.</w:t>
      </w:r>
    </w:p>
    <w:p>
      <w:pPr>
        <w:pStyle w:val="ListBullet"/>
        <w:spacing w:before="20" w:after="20"/>
        <w:ind w:left="360"/>
      </w:pPr>
      <w:r>
        <w:rPr>
          <w:color w:val="008000"/>
          <w:sz w:val="18"/>
        </w:rPr>
        <w:t>**Pétrole** : hausse des prix, rotation sectorielle vers l'énergie.</w:t>
      </w:r>
    </w:p>
    <w:p>
      <w:pPr>
        <w:pStyle w:val="Heading3"/>
      </w:pPr>
      <w:r>
        <w:rPr>
          <w:color w:val="500050"/>
        </w:rPr>
        <w:t>⚡ Impact estimé sur la BRVM</w:t>
      </w:r>
    </w:p>
    <w:p>
      <w:pPr>
        <w:spacing w:before="20" w:after="40"/>
        <w:ind w:left="280"/>
      </w:pPr>
      <w:r>
        <w:rPr>
          <w:i/>
          <w:sz w:val="18"/>
        </w:rPr>
        <w:t>Corrélation limitée mais réelle : la volatilité mondiale détourne les capitaux des marchés frontières. Les investisseurs BRVM privilégient les valeurs défensives **ONTBF, SNTS, PALC** face à l'incertitude globale.</w:t>
      </w:r>
    </w:p>
    <w:p>
      <w:pPr>
        <w:pStyle w:val="Heading2"/>
      </w:pPr>
      <w:r>
        <w:rPr>
          <w:color w:val="006E32"/>
        </w:rPr>
        <w:t>🌍 Plan Africain</w:t>
      </w:r>
    </w:p>
    <w:p>
      <w:pPr>
        <w:pStyle w:val="ListBullet"/>
        <w:spacing w:before="20" w:after="20"/>
        <w:ind w:left="360"/>
      </w:pPr>
      <w:r>
        <w:rPr>
          <w:color w:val="C00000"/>
          <w:sz w:val="18"/>
        </w:rPr>
        <w:t>**FMI/BM (11-12/10)** : focus dette/inflation, pression sur les eurobonds africains.</w:t>
      </w:r>
    </w:p>
    <w:p>
      <w:pPr>
        <w:pStyle w:val="ListBullet"/>
        <w:spacing w:before="20" w:after="20"/>
        <w:ind w:left="360"/>
      </w:pPr>
      <w:r>
        <w:rPr>
          <w:color w:val="008000"/>
          <w:sz w:val="18"/>
        </w:rPr>
        <w:t>**Croissance Sénégal/Gabon** : signaux positifs différenciés selon les pays.</w:t>
      </w:r>
    </w:p>
    <w:p>
      <w:pPr>
        <w:pStyle w:val="ListBullet"/>
        <w:spacing w:before="20" w:after="20"/>
        <w:ind w:left="360"/>
      </w:pPr>
      <w:r>
        <w:rPr>
          <w:sz w:val="18"/>
        </w:rPr>
        <w:t>**Données insuffisantes** sur les notations souveraines spécifiques.</w:t>
      </w:r>
    </w:p>
    <w:p>
      <w:pPr>
        <w:pStyle w:val="Heading3"/>
      </w:pPr>
      <w:r>
        <w:rPr>
          <w:color w:val="500050"/>
        </w:rPr>
        <w:t>⚡ Impact estimé sur la BRVM</w:t>
      </w:r>
    </w:p>
    <w:p>
      <w:pPr>
        <w:spacing w:before="20" w:after="40"/>
        <w:ind w:left="280"/>
      </w:pPr>
      <w:r>
        <w:rPr>
          <w:i/>
          <w:sz w:val="18"/>
        </w:rPr>
        <w:t>La concurrence des eurobonds souverains (rendements élevés) capte une partie des capitaux destinés aux actions BRVM. Les banques **BOAS, ECOC, NSBC** restent exposées à la qualité du crédit souverain régional.</w:t>
      </w:r>
    </w:p>
    <w:p>
      <w:pPr>
        <w:pStyle w:val="Heading2"/>
      </w:pPr>
      <w:r>
        <w:rPr>
          <w:color w:val="145A28"/>
        </w:rPr>
        <w:t>🌍 Plan Afrique de l'Ouest</w:t>
      </w:r>
    </w:p>
    <w:p>
      <w:pPr>
        <w:pStyle w:val="ListBullet"/>
        <w:spacing w:before="20" w:after="20"/>
        <w:ind w:left="360"/>
      </w:pPr>
      <w:r>
        <w:rPr>
          <w:sz w:val="18"/>
        </w:rPr>
        <w:t>**Données insuffisantes** sur les bourses concurrentes (Ghana, Nigeria) dans les flux collectés.</w:t>
      </w:r>
    </w:p>
    <w:p>
      <w:pPr>
        <w:pStyle w:val="ListBullet"/>
        <w:spacing w:before="20" w:after="20"/>
        <w:ind w:left="360"/>
      </w:pPr>
      <w:r>
        <w:rPr>
          <w:color w:val="008000"/>
          <w:sz w:val="18"/>
        </w:rPr>
        <w:t>**FEWACCI (09/10)** : dynamisation du commerce régional, signal positif pour les flux.</w:t>
      </w:r>
    </w:p>
    <w:p>
      <w:pPr>
        <w:pStyle w:val="Heading3"/>
      </w:pPr>
      <w:r>
        <w:rPr>
          <w:color w:val="500050"/>
        </w:rPr>
        <w:t>⚡ Impact estimé sur la BRVM</w:t>
      </w:r>
    </w:p>
    <w:p>
      <w:pPr>
        <w:spacing w:before="20" w:after="40"/>
        <w:ind w:left="280"/>
      </w:pPr>
      <w:r>
        <w:rPr>
          <w:i/>
          <w:sz w:val="18"/>
        </w:rPr>
        <w:t>La BRVM conserve son statut de place de référence UEMOA. Les initiatives FEWACCI soutiennent à terme les volumes et la liquidité, notamment sur **SNTS, ONTBF, SGBC**.</w:t>
      </w:r>
    </w:p>
    <w:p>
      <w:pPr>
        <w:pStyle w:val="Heading2"/>
      </w:pPr>
      <w:r>
        <w:rPr>
          <w:color w:val="8C4600"/>
        </w:rPr>
        <w:t>🏦 Plan UEMOA / Zone Franc</w:t>
      </w:r>
    </w:p>
    <w:p>
      <w:pPr>
        <w:pStyle w:val="ListBullet"/>
        <w:spacing w:before="20" w:after="20"/>
        <w:ind w:left="360"/>
      </w:pPr>
      <w:r>
        <w:rPr>
          <w:sz w:val="18"/>
        </w:rPr>
        <w:t>**Données insuffisantes** sur le marché des titres publics, le taux interbancaire et la liquidité BCEAO dans les flux collectés.</w:t>
      </w:r>
    </w:p>
    <w:p>
      <w:pPr>
        <w:pStyle w:val="ListBullet"/>
        <w:spacing w:before="20" w:after="20"/>
        <w:ind w:left="360"/>
      </w:pPr>
      <w:r>
        <w:rPr>
          <w:sz w:val="18"/>
        </w:rPr>
        <w:t>**Matières premières** : diesel en tête, produits verts dominants.</w:t>
      </w:r>
    </w:p>
    <w:p>
      <w:pPr>
        <w:pStyle w:val="Heading3"/>
      </w:pPr>
      <w:r>
        <w:rPr>
          <w:color w:val="500050"/>
        </w:rPr>
        <w:t>⚡ Impact estimé sur la BRVM</w:t>
      </w:r>
    </w:p>
    <w:p>
      <w:pPr>
        <w:spacing w:before="20" w:after="40"/>
        <w:ind w:left="280"/>
      </w:pPr>
      <w:r>
        <w:rPr>
          <w:i/>
          <w:sz w:val="18"/>
        </w:rPr>
        <w:t>Arbitrage titres publics/actions non documenté. La pression sur le diesel pèse sur **SDCC** et **STAC**, tandis que les producteurs agricoles **PALC, SCRC** bénéficient d'un environnement matières premières favorable.</w:t>
      </w:r>
    </w:p>
    <w:p>
      <w:pPr>
        <w:pStyle w:val="Heading2"/>
      </w:pPr>
      <w:r>
        <w:rPr>
          <w:color w:val="003366"/>
        </w:rPr>
        <w:t>📈 Plan BRVM</w:t>
      </w:r>
    </w:p>
    <w:p>
      <w:pPr>
        <w:pStyle w:val="ListBullet"/>
        <w:spacing w:before="20" w:after="20"/>
        <w:ind w:left="360"/>
      </w:pPr>
      <w:r>
        <w:rPr>
          <w:sz w:val="18"/>
        </w:rPr>
        <w:t>**Indice BRVM Composite : 546.86** — zone de consolidation.</w:t>
      </w:r>
    </w:p>
    <w:p>
      <w:pPr>
        <w:pStyle w:val="ListBullet"/>
        <w:spacing w:before="20" w:after="20"/>
        <w:ind w:left="360"/>
      </w:pPr>
      <w:r>
        <w:rPr>
          <w:sz w:val="18"/>
        </w:rPr>
        <w:t>**Résultats ivoiriens encourageants (09/06)** : soutien fondamental aux valorisations.</w:t>
      </w:r>
    </w:p>
    <w:p>
      <w:pPr>
        <w:pStyle w:val="ListBullet"/>
        <w:spacing w:before="20" w:after="20"/>
        <w:ind w:left="360"/>
      </w:pPr>
      <w:r>
        <w:rPr>
          <w:sz w:val="18"/>
        </w:rPr>
        <w:t>Aucun top/flop, volume ou dividende spécifique dans les flux collectés.</w:t>
      </w:r>
    </w:p>
    <w:p>
      <w:pPr>
        <w:pStyle w:val="Heading3"/>
      </w:pPr>
      <w:r>
        <w:rPr>
          <w:color w:val="500050"/>
        </w:rPr>
        <w:t>⚡ Impact estimé sur la BRVM</w:t>
      </w:r>
    </w:p>
    <w:p>
      <w:pPr>
        <w:pStyle w:val="ListBullet"/>
        <w:spacing w:before="20" w:after="20"/>
        <w:ind w:left="560"/>
      </w:pPr>
      <w:r>
        <w:rPr>
          <w:color w:val="500050"/>
          <w:sz w:val="18"/>
        </w:rPr>
        <w:t>**SGBC, BICB, BOAS** : conserver — résultats sectoriels solides, exposition titres publics.</w:t>
      </w:r>
    </w:p>
    <w:p>
      <w:pPr>
        <w:pStyle w:val="ListBullet"/>
        <w:spacing w:before="20" w:after="20"/>
        <w:ind w:left="560"/>
      </w:pPr>
      <w:r>
        <w:rPr>
          <w:color w:val="500050"/>
          <w:sz w:val="18"/>
        </w:rPr>
        <w:t>**PALC, SCRC** : accumuler — soutien matières premières.</w:t>
      </w:r>
    </w:p>
    <w:p>
      <w:pPr>
        <w:pStyle w:val="ListBullet"/>
        <w:spacing w:before="20" w:after="20"/>
        <w:ind w:left="560"/>
      </w:pPr>
      <w:r>
        <w:rPr>
          <w:color w:val="500050"/>
          <w:sz w:val="18"/>
        </w:rPr>
        <w:t>**ONTBF, SNTS** : conserver — défensif, télécoms stables.</w:t>
      </w:r>
    </w:p>
    <w:p>
      <w:pPr>
        <w:pStyle w:val="ListBullet"/>
        <w:spacing w:before="20" w:after="20"/>
        <w:ind w:left="560"/>
      </w:pPr>
      <w:r>
        <w:rPr>
          <w:color w:val="008000"/>
          <w:sz w:val="18"/>
        </w:rPr>
        <w:t>**SHEC** : surveiller — bénéficiaire de la hausse pétrole.</w:t>
      </w:r>
    </w:p>
    <w:p>
      <w:pPr>
        <w:pStyle w:val="ListBullet"/>
        <w:spacing w:before="20" w:after="20"/>
        <w:ind w:left="560"/>
      </w:pPr>
      <w:r>
        <w:rPr>
          <w:color w:val="C00000"/>
          <w:sz w:val="18"/>
        </w:rPr>
        <w:t>**STAC, SDCC** : prudence — pression sur les coûts énergétiques.</w:t>
      </w:r>
    </w:p>
    <w:p>
      <w:pPr>
        <w:pStyle w:val="ListBullet"/>
        <w:spacing w:before="20" w:after="20"/>
        <w:ind w:left="560"/>
      </w:pPr>
      <w:r>
        <w:rPr>
          <w:color w:val="500050"/>
          <w:sz w:val="18"/>
        </w:rPr>
        <w:t>**ECOC, NSBC** : conserver — exposition bancaire régionale diversifiée.</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macro reste incertain (BCE sans guidance, pétrole cher, dette africaine sous surveillance FMI), mais les fondamentaux de la BRVM sont soutenus par les résultats ivoiriens encourageants et un indice à 546.86 en consolidation. Les tensions politiques togolaises et bissau-guinéennes n'affectent pas directement les émetteurs cotés, mais entretiennent une prime de risque régionale. **Recommandation** : privilégier les valeurs défensives et bancaires solides (**SGBC, BICB, ONTBF, PALC**), accumuler sur repli, et surveiller **SHEC** comme play énergétique. Éviter l'exposition excessive aux industriels (**STAC, SDCC**) tant que les coûts énergétiques restent élevés.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Les pics internationaux du pétrole brut ; Analyse des tendances des ma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Quel est l’impact des décisions de la Banque centrale européenne sur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2026-10-05</w:t>
            </w:r>
          </w:p>
        </w:tc>
        <w:tc>
          <w:tcPr>
            <w:tcW w:type="dxa" w:w="1728"/>
          </w:tcPr>
          <w:p>
            <w:r>
              <w:rPr>
                <w:sz w:val="14"/>
              </w:rPr>
              <w:t xml:space="preserve">Les matières premières tokenisées dépassent l’or alors que le prêt et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Cedeao : Parlement, le Président Faye appelle à renforcer l'intégratio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Niger : le FMI valide un programme de 203 millions de dollars - Africt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La CEDEAO examine à Banjul les défis de la gestion des frontières en 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politique Homophobie d'État au Sénégal : le pas de deux de LFI avec le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2026-10-11</w:t>
            </w:r>
          </w:p>
        </w:tc>
        <w:tc>
          <w:tcPr>
            <w:tcW w:type="dxa" w:w="1728"/>
          </w:tcPr>
          <w:p>
            <w:r>
              <w:rPr>
                <w:sz w:val="14"/>
              </w:rPr>
              <w:t>ONU : Le Burkina Faso réaffirme son soutien au plan d’autonomie pour 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2026-10-11</w:t>
            </w:r>
          </w:p>
        </w:tc>
        <w:tc>
          <w:tcPr>
            <w:tcW w:type="dxa" w:w="1728"/>
          </w:tcPr>
          <w:p>
            <w:r>
              <w:rPr>
                <w:sz w:val="14"/>
              </w:rPr>
              <w:t xml:space="preserve">SÉNÉGAL : L’appel au « Grand Bloc Républicain » pour faire barrage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Côte d'Ivoire : Foncier rural, le Gouvernement change d'échelle avec 9</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politique Côte d</w:t>
            </w:r>
          </w:p>
        </w:tc>
      </w:tr>
      <w:tr>
        <w:tc>
          <w:tcPr>
            <w:tcW w:type="dxa" w:w="1728"/>
          </w:tcPr>
          <w:p>
            <w:r>
              <w:rPr>
                <w:sz w:val="14"/>
              </w:rPr>
              <w:t>2026-10-09</w:t>
            </w:r>
          </w:p>
        </w:tc>
        <w:tc>
          <w:tcPr>
            <w:tcW w:type="dxa" w:w="1728"/>
          </w:tcPr>
          <w:p>
            <w:r>
              <w:rPr>
                <w:sz w:val="14"/>
              </w:rPr>
              <w:t>Maroc - Sénégal : le TAS entretient le suspense Sports - Just-InfoDZ</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Les pics internationaux du pétrole brut ; Analyse des tendances des ma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Quel est l’impact des décisions de la Banque centrale européenne sur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2026-10-09</w:t>
            </w:r>
          </w:p>
        </w:tc>
        <w:tc>
          <w:tcPr>
            <w:tcW w:type="dxa" w:w="1728"/>
          </w:tcPr>
          <w:p>
            <w:r>
              <w:rPr>
                <w:sz w:val="14"/>
              </w:rPr>
              <w:t>Cedeao : Parlement, le Président Faye appelle à renforcer l'intégratio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Quel est l’impact des décisions de la Banque centrale européenne sur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Cedeao : Parlement, le Président Faye appelle à renforcer l'intégratio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politique Homophobie d'État au Sénégal : le pas de deux de LFI avec le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Quel est l’impact des décisions de la Banque centrale européenne sur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2026-10-09</w:t>
            </w:r>
          </w:p>
        </w:tc>
        <w:tc>
          <w:tcPr>
            <w:tcW w:type="dxa" w:w="1728"/>
          </w:tcPr>
          <w:p>
            <w:r>
              <w:rPr>
                <w:sz w:val="14"/>
              </w:rPr>
              <w:t>Cedeao : Parlement, le Président Faye appelle à renforcer l'intégratio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Quel est l’impact des décisions de la Banque centrale européenne sur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Cedeao : Parlement, le Président Faye appelle à renforcer l'intégratio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politique Homophobie d'État au Sénégal : le pas de deux de LFI avec le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Les pics internationaux du pétrole brut ; Analyse des tendances des ma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Quel est l’impact des décisions de la Banque centrale européenne sur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Quel est l’impact des décisions de la Banque centrale européenne sur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Quel est l’impact des décisions de la Banque centrale européenne sur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Quel est l’impact des décisions de la Banque centrale européenne sur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(10 alerte(s))</w:t>
      </w:r>
    </w:p>
    <w:p>
      <w:pPr>
        <w:spacing w:before="40" w:after="40"/>
        <w:ind w:left="360"/>
      </w:pPr>
      <w:r>
        <w:rPr>
          <w:color w:val="646464"/>
          <w:sz w:val="17"/>
        </w:rPr>
        <w:t xml:space="preserve">[12/10/2026] 🔴  </w:t>
      </w:r>
      <w:r>
        <w:rPr>
          <w:b/>
          <w:color w:val="C00000"/>
          <w:sz w:val="18"/>
        </w:rPr>
        <w:t>Togo : pour les 16 ans de l’ANC, Jean-Pierre Fabre charge le pouvoir et relance le combat pour l’alternance - 24heureinf</w:t>
      </w:r>
      <w:r>
        <w:rPr>
          <w:color w:val="787878"/>
          <w:sz w:val="15"/>
        </w:rPr>
        <w:t xml:space="preserve">  [politique]</w:t>
      </w:r>
      <w:r>
        <w:rPr>
          <w:color w:val="B47800"/>
          <w:sz w:val="16"/>
        </w:rPr>
        <w:t xml:space="preserve">  ★ 50/10</w:t>
      </w:r>
    </w:p>
    <w:p>
      <w:pPr>
        <w:spacing w:before="0" w:after="20"/>
        <w:ind w:left="600"/>
      </w:pPr>
      <w:r>
        <w:rPr>
          <w:color w:val="323232"/>
          <w:sz w:val="17"/>
        </w:rPr>
        <w:t>À l'occasion des 16 ans de l'Alliance Nationale pour le Changement (ANC), Jean-Pierre Fabre a vivement critiqué le pouvoir en place au Togo et a relancé son appel à l'alternance politique. Le leader de l'opposition dénonce la gouvernance actuelle et appelle les citoyens à se mobiliser pour un changement démocratique. Cette prise de parole intervien</w:t>
      </w:r>
    </w:p>
    <w:p>
      <w:pPr>
        <w:spacing w:before="0" w:after="40"/>
        <w:ind w:left="600"/>
      </w:pPr>
      <w:r>
        <w:rPr>
          <w:color w:val="00643C"/>
          <w:sz w:val="16"/>
        </w:rPr>
        <w:t>Points clés : Jean-Pierre Fabre critique le pouvoir togolais lors des 16 ans de l'ANC  •  Appel renouvelé à l'alternance politique au Togo  •  Contexte politique tendu et mobilisation de l'opposition</w:t>
      </w:r>
    </w:p>
    <w:p>
      <w:pPr>
        <w:spacing w:before="0" w:after="60"/>
        <w:ind w:left="600"/>
      </w:pPr>
      <w:r>
        <w:rPr>
          <w:color w:val="0064B4"/>
          <w:sz w:val="15"/>
        </w:rPr>
        <w:t>Source : https://news.google.com/rss/articles/CBMi0wFBVV95cUxQa0R1X3RrbDZyUE5Kd0c2cjhBUTJ</w:t>
      </w:r>
    </w:p>
    <w:p>
      <w:pPr>
        <w:spacing w:before="40" w:after="40"/>
        <w:ind w:left="360"/>
      </w:pPr>
      <w:r>
        <w:rPr>
          <w:color w:val="646464"/>
          <w:sz w:val="17"/>
        </w:rPr>
        <w:t xml:space="preserve">[11/10/2026] 🔴  </w:t>
      </w:r>
      <w:r>
        <w:rPr>
          <w:b/>
          <w:color w:val="C00000"/>
          <w:sz w:val="18"/>
        </w:rPr>
        <w:t>SÉNÉGAL : L’appel au « Grand Bloc Républicain » pour faire barrage au Parti-État - Dakarmidi</w:t>
      </w:r>
      <w:r>
        <w:rPr>
          <w:color w:val="787878"/>
          <w:sz w:val="15"/>
        </w:rPr>
        <w:t xml:space="preserve">  [politique]</w:t>
      </w:r>
      <w:r>
        <w:rPr>
          <w:color w:val="B47800"/>
          <w:sz w:val="16"/>
        </w:rPr>
        <w:t xml:space="preserve">  ★ 50/10</w:t>
      </w:r>
    </w:p>
    <w:p>
      <w:pPr>
        <w:spacing w:before="0" w:after="20"/>
        <w:ind w:left="600"/>
      </w:pPr>
      <w:r>
        <w:rPr>
          <w:color w:val="323232"/>
          <w:sz w:val="17"/>
        </w:rPr>
        <w:t>Un appel à la formation d'un « Grand Bloc Républicain » est lancé au Sénégal pour faire barrage au « Parti-État ». Cette initiative politique vise à rassembler l'opposition face au pouvoir en place. Elle s'inscrit dans un contexte de tensions politiques persistantes au Sénégal. Les modalités et les acteurs précis de ce bloc ne sont pas détaillés da</w:t>
      </w:r>
    </w:p>
    <w:p>
      <w:pPr>
        <w:spacing w:before="0" w:after="40"/>
        <w:ind w:left="600"/>
      </w:pPr>
      <w:r>
        <w:rPr>
          <w:color w:val="00643C"/>
          <w:sz w:val="16"/>
        </w:rPr>
        <w:t>Points clés : Appel à un « Grand Bloc Républicain » au Sénégal  •  Objectif : faire barrage au « Parti-État »  •  Contexte de tensions politiques</w:t>
      </w:r>
    </w:p>
    <w:p>
      <w:pPr>
        <w:spacing w:before="0" w:after="60"/>
        <w:ind w:left="600"/>
      </w:pPr>
      <w:r>
        <w:rPr>
          <w:color w:val="0064B4"/>
          <w:sz w:val="15"/>
        </w:rPr>
        <w:t>Source : https://news.google.com/rss/articles/CBMiqgFBVV95cUxPT21PUGxVWmhSQm1OUTJDZjNSblZ</w:t>
      </w:r>
    </w:p>
    <w:p>
      <w:pPr>
        <w:spacing w:before="40" w:after="40"/>
        <w:ind w:left="360"/>
      </w:pPr>
      <w:r>
        <w:rPr>
          <w:color w:val="646464"/>
          <w:sz w:val="17"/>
        </w:rPr>
        <w:t xml:space="preserve">[11/10/2026] ⚪  </w:t>
      </w:r>
      <w:r>
        <w:rPr>
          <w:b/>
          <w:color w:val="505050"/>
          <w:sz w:val="18"/>
        </w:rPr>
        <w:t xml:space="preserve">ONU : Le Burkina Faso réaffirme son soutien au plan d’autonomie pour une solution ‘’juste et durable’’ à la question du </w:t>
      </w:r>
      <w:r>
        <w:rPr>
          <w:color w:val="787878"/>
          <w:sz w:val="15"/>
        </w:rPr>
        <w:t xml:space="preserve">  [politique]</w:t>
      </w:r>
      <w:r>
        <w:rPr>
          <w:color w:val="B47800"/>
          <w:sz w:val="16"/>
        </w:rPr>
        <w:t xml:space="preserve">  ★ 50/10</w:t>
      </w:r>
    </w:p>
    <w:p>
      <w:pPr>
        <w:spacing w:before="0" w:after="20"/>
        <w:ind w:left="600"/>
      </w:pPr>
      <w:r>
        <w:rPr>
          <w:color w:val="323232"/>
          <w:sz w:val="17"/>
        </w:rPr>
        <w:t>Le Burkina Faso a réaffirmé son soutien au plan d'autonomie marocain pour résoudre la question du Sahara, lors d'une intervention à l'ONU. Cette position s'inscrit dans la continuité de la diplomatie burkinabè favorable au Maroc sur ce dossier. L'annonce a été relayée par le média mafrique, sans précision sur les modalités ou échéances. Elle interv</w:t>
      </w:r>
    </w:p>
    <w:p>
      <w:pPr>
        <w:spacing w:before="0" w:after="40"/>
        <w:ind w:left="600"/>
      </w:pPr>
      <w:r>
        <w:rPr>
          <w:color w:val="00643C"/>
          <w:sz w:val="16"/>
        </w:rPr>
        <w:t>Points clés : Le Burkina Faso soutient le plan d'autonomie marocain pour le Sahara  •  Déclaration faite dans le cadre des Nations Unies  •  Position alignée sur la diplomatie marocaine  •  Aucun impact économique direct annoncé</w:t>
      </w:r>
    </w:p>
    <w:p>
      <w:pPr>
        <w:spacing w:before="0" w:after="60"/>
        <w:ind w:left="600"/>
      </w:pPr>
      <w:r>
        <w:rPr>
          <w:color w:val="0064B4"/>
          <w:sz w:val="15"/>
        </w:rPr>
        <w:t>Source : https://news.google.com/rss/articles/CBMi8gFBVV95cUxNVlpHRnh4UHRKQ0x6amllZHVvVEl</w:t>
      </w:r>
    </w:p>
    <w:p>
      <w:pPr>
        <w:spacing w:before="40" w:after="40"/>
        <w:ind w:left="360"/>
      </w:pPr>
      <w:r>
        <w:rPr>
          <w:color w:val="646464"/>
          <w:sz w:val="17"/>
        </w:rPr>
        <w:t xml:space="preserve">[11/10/2026] ⚪  </w:t>
      </w:r>
      <w:r>
        <w:rPr>
          <w:b/>
          <w:color w:val="505050"/>
          <w:sz w:val="18"/>
        </w:rPr>
        <w:t>Mali : qui sont les hommes de l’ombre d’Ismaël Wagué, le général chargé de la réconciliation ?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s'intéresse aux hommes de l'ombre entourant le général Ismaël Wagué, chargé de la réconciliation nationale au Mali. Il met en lumière les réseaux et influences qui soutiennent cette mission délicate dans un contexte politique encore fragile. L'analyse vise à comprendre les rapports de force internes et les perspectives de</w:t>
      </w:r>
    </w:p>
    <w:p>
      <w:pPr>
        <w:spacing w:before="0" w:after="40"/>
        <w:ind w:left="600"/>
      </w:pPr>
      <w:r>
        <w:rPr>
          <w:color w:val="00643C"/>
          <w:sz w:val="16"/>
        </w:rPr>
        <w:t>Points clés : Ismaël Wagué est chargé de la réconciliation nationale au Mali  •  L'article identifie les conseillers et proches qui l'assistent en coulisses  •  Le contexte politique malien reste marqué par des tensions et une transition incertaine</w:t>
      </w:r>
    </w:p>
    <w:p>
      <w:pPr>
        <w:spacing w:before="0" w:after="60"/>
        <w:ind w:left="600"/>
      </w:pPr>
      <w:r>
        <w:rPr>
          <w:color w:val="0064B4"/>
          <w:sz w:val="15"/>
        </w:rPr>
        <w:t>Source : https://news.google.com/rss/articles/CBMi0AFBVV95cUxOSmMzOHJtcWJYU2VjTl9ZRXNKSDl</w:t>
      </w:r>
    </w:p>
    <w:p>
      <w:pPr>
        <w:spacing w:before="40" w:after="40"/>
        <w:ind w:left="360"/>
      </w:pPr>
      <w:r>
        <w:rPr>
          <w:color w:val="646464"/>
          <w:sz w:val="17"/>
        </w:rPr>
        <w:t xml:space="preserve">[09/10/2026] 🔴  </w:t>
      </w:r>
      <w:r>
        <w:rPr>
          <w:b/>
          <w:color w:val="C00000"/>
          <w:sz w:val="18"/>
        </w:rPr>
        <w:t>Sénégal : Ousmane Sonko peut-il (vraiment) utiliser sa majorité à l’Assemblée contre Bassirou Diomaye Faye ? - Jeune Afr</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examine la dynamique politique au Sénégal entre le Premier ministre Ousmane Sonko et le président Bassirou Diomaye Faye, en se demandant si Sonko peut utiliser sa majorité parlementaire contre le président. Il analyse les tensions potentielles au sein du pouvoir et les conséquences institutionnelles. Cette situation pourr</w:t>
      </w:r>
    </w:p>
    <w:p>
      <w:pPr>
        <w:spacing w:before="0" w:after="40"/>
        <w:ind w:left="600"/>
      </w:pPr>
      <w:r>
        <w:rPr>
          <w:color w:val="00643C"/>
          <w:sz w:val="16"/>
        </w:rPr>
        <w:t>Points clés : Relation entre Ousmane Sonko et Bassirou Diomaye Faye au sommet de l'État  •  Rôle de la majorité parlementaire acquise par Sonko  •  Risques de blocage institutionnel ou de conflit politique  •  Enjeux pour la stabilité politique du Sénégal</w:t>
      </w:r>
    </w:p>
    <w:p>
      <w:pPr>
        <w:spacing w:before="0" w:after="60"/>
        <w:ind w:left="600"/>
      </w:pPr>
      <w:r>
        <w:rPr>
          <w:color w:val="0064B4"/>
          <w:sz w:val="15"/>
        </w:rPr>
        <w:t>Source : https://news.google.com/rss/articles/CBMi4wFBVV95cUxNWmNnelR2WWc3bXJFYUJ0Uzc1azF</w:t>
      </w:r>
    </w:p>
    <w:p>
      <w:pPr>
        <w:spacing w:before="120" w:after="40"/>
      </w:pPr>
      <w:r>
        <w:rPr>
          <w:b/>
          <w:color w:val="00467F"/>
          <w:sz w:val="20"/>
        </w:rPr>
        <w:t>🔑 politique_monetaire  (2 alerte(s))</w:t>
      </w:r>
    </w:p>
    <w:p>
      <w:pPr>
        <w:spacing w:before="40" w:after="40"/>
        <w:ind w:left="360"/>
      </w:pPr>
      <w:r>
        <w:rPr>
          <w:color w:val="646464"/>
          <w:sz w:val="17"/>
        </w:rPr>
        <w:t xml:space="preserve">[12/10/2026] ⚪  </w:t>
      </w:r>
      <w:r>
        <w:rPr>
          <w:b/>
          <w:color w:val="505050"/>
          <w:sz w:val="18"/>
        </w:rPr>
        <w:t>La BCE s'abstient de donner des indications sur les taux - compte-rendu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décidé de ne pas fournir d'indications prospectives sur l'évolution future de ses taux directeurs, selon le compte-rendu de sa dernière réunion. Cette abstention reflète l'incertitude persistante entourant l'inflation et la croissance dans la zone euro. Les marchés devront donc se fier aux données économiques à</w:t>
      </w:r>
    </w:p>
    <w:p>
      <w:pPr>
        <w:spacing w:before="0" w:after="40"/>
        <w:ind w:left="600"/>
      </w:pPr>
      <w:r>
        <w:rPr>
          <w:color w:val="00643C"/>
          <w:sz w:val="16"/>
        </w:rPr>
        <w:t>Points clés : La BCE ne donne aucune indication sur la trajectoire future des taux.  •  Le compte-rendu souligne une incertitude élevée sur l'inflation et la croissance.  •  Les marchés sont invités à se baser sur les données plutôt que sur un guidage.  •  La BCE privilégie la flexibilité face à un environnement économique volatil.</w:t>
      </w:r>
    </w:p>
    <w:p>
      <w:pPr>
        <w:spacing w:before="0" w:after="60"/>
        <w:ind w:left="600"/>
      </w:pPr>
      <w:r>
        <w:rPr>
          <w:color w:val="0064B4"/>
          <w:sz w:val="15"/>
        </w:rPr>
        <w:t>Source : https://news.google.com/rss/articles/CBMi8wFBVV95cUxNOU16MkE1VGV3ZHplQ29ydUFNUHJ</w:t>
      </w:r>
    </w:p>
    <w:p>
      <w:pPr>
        <w:spacing w:before="40" w:after="40"/>
        <w:ind w:left="360"/>
      </w:pPr>
      <w:r>
        <w:rPr>
          <w:color w:val="646464"/>
          <w:sz w:val="17"/>
        </w:rPr>
        <w:t xml:space="preserve">[10/10/2026] 🔴  </w:t>
      </w:r>
      <w:r>
        <w:rPr>
          <w:b/>
          <w:color w:val="C00000"/>
          <w:sz w:val="18"/>
        </w:rPr>
        <w:t>"Aucun suspense, elle interviendra": si la France s'enfonce dans la crise de la dette, la BCE dispose de trois armes pou</w:t>
      </w:r>
      <w:r>
        <w:rPr>
          <w:color w:val="787878"/>
          <w:sz w:val="15"/>
        </w:rPr>
        <w:t xml:space="preserve">  [politique_monetaire]</w:t>
      </w:r>
      <w:r>
        <w:rPr>
          <w:color w:val="B47800"/>
          <w:sz w:val="16"/>
        </w:rPr>
        <w:t xml:space="preserve">  ★ 50/10</w:t>
      </w:r>
    </w:p>
    <w:p>
      <w:pPr>
        <w:spacing w:before="0" w:after="20"/>
        <w:ind w:left="600"/>
      </w:pPr>
      <w:r>
        <w:rPr>
          <w:color w:val="323232"/>
          <w:sz w:val="17"/>
        </w:rPr>
        <w:t>L'article évoque la possibilité d'une crise de la dette en France et les trois types d'interventions dont dispose la BCE pour la sauver : douce, puissante et douloureuse. Il souligne qu'il n'y a aucun suspense quant à l'intervention de la BCE en cas de besoin. Cette perspective met en lumière les risques pesant sur la zone euro et les mécanismes de</w:t>
      </w:r>
    </w:p>
    <w:p>
      <w:pPr>
        <w:spacing w:before="0" w:after="40"/>
        <w:ind w:left="600"/>
      </w:pPr>
      <w:r>
        <w:rPr>
          <w:color w:val="00643C"/>
          <w:sz w:val="16"/>
        </w:rPr>
        <w:t>Points clés : La France pourrait faire face à une crise de la dette.  •  La BCE dispose de trois armes pour intervenir : douce, puissante et douloureuse.  •  L'intervention de la BCE est présentée comme certaine en cas de crise.</w:t>
      </w:r>
    </w:p>
    <w:p>
      <w:pPr>
        <w:spacing w:before="0" w:after="60"/>
        <w:ind w:left="600"/>
      </w:pPr>
      <w:r>
        <w:rPr>
          <w:color w:val="0064B4"/>
          <w:sz w:val="15"/>
        </w:rPr>
        <w:t>Source : https://news.google.com/rss/articles/CBMi7gJBVV95cUxQb1ZZbmNRejdSRzYzcTc0U00wczc</w:t>
      </w:r>
    </w:p>
    <w:p>
      <w:pPr>
        <w:spacing w:before="120" w:after="40"/>
      </w:pPr>
      <w:r>
        <w:rPr>
          <w:b/>
          <w:color w:val="00467F"/>
          <w:sz w:val="20"/>
        </w:rPr>
        <w:t>🔑 économique  (6 alerte(s))</w:t>
      </w:r>
    </w:p>
    <w:p>
      <w:pPr>
        <w:spacing w:before="40" w:after="40"/>
        <w:ind w:left="360"/>
      </w:pPr>
      <w:r>
        <w:rPr>
          <w:color w:val="646464"/>
          <w:sz w:val="17"/>
        </w:rPr>
        <w:t xml:space="preserve">[12/10/2026] ⚪  </w:t>
      </w:r>
      <w:r>
        <w:rPr>
          <w:b/>
          <w:color w:val="505050"/>
          <w:sz w:val="18"/>
        </w:rPr>
        <w:t>Sénégal, Gabon, croissance : les dossiers africains des assemblées du FMI et de la Banque mondiale - Jeune Afrique</w:t>
      </w:r>
      <w:r>
        <w:rPr>
          <w:color w:val="787878"/>
          <w:sz w:val="15"/>
        </w:rPr>
        <w:t xml:space="preserve">  [économique]</w:t>
      </w:r>
      <w:r>
        <w:rPr>
          <w:color w:val="B47800"/>
          <w:sz w:val="16"/>
        </w:rPr>
        <w:t xml:space="preserve">  ★ 50/10</w:t>
      </w:r>
    </w:p>
    <w:p>
      <w:pPr>
        <w:spacing w:before="0" w:after="20"/>
        <w:ind w:left="600"/>
      </w:pPr>
      <w:r>
        <w:rPr>
          <w:color w:val="323232"/>
          <w:sz w:val="17"/>
        </w:rPr>
        <w:t xml:space="preserve">Les assemblées annuelles du FMI et de la Banque mondiale ont été l'occasion d'aborder les dossiers économiques africains, notamment la croissance du Sénégal et du Gabon. Les discussions ont porté sur les réformes structurelles, la gestion de la dette et les perspectives de croissance dans un contexte mondial incertain. Ces rencontres ont permis de </w:t>
      </w:r>
    </w:p>
    <w:p>
      <w:pPr>
        <w:spacing w:before="0" w:after="40"/>
        <w:ind w:left="600"/>
      </w:pPr>
      <w:r>
        <w:rPr>
          <w:color w:val="00643C"/>
          <w:sz w:val="16"/>
        </w:rPr>
        <w:t>Points clés : Examen des dossiers économiques du Sénégal et du Gabon lors des assemblées du FMI et de la Banque mondiale  •  Discussions sur les réformes structurelles et la gestion de la dette  •  Perspectives de croissance et défis pour les économies africaines</w:t>
      </w:r>
    </w:p>
    <w:p>
      <w:pPr>
        <w:spacing w:before="0" w:after="60"/>
        <w:ind w:left="600"/>
      </w:pPr>
      <w:r>
        <w:rPr>
          <w:color w:val="0064B4"/>
          <w:sz w:val="15"/>
        </w:rPr>
        <w:t>Source : https://news.google.com/rss/articles/CBMi6AFBVV95cUxNQW9ERzAxRnpId0Uyb0V6TExjS29</w:t>
      </w:r>
    </w:p>
    <w:p>
      <w:pPr>
        <w:spacing w:before="40" w:after="40"/>
        <w:ind w:left="360"/>
      </w:pPr>
      <w:r>
        <w:rPr>
          <w:color w:val="646464"/>
          <w:sz w:val="17"/>
        </w:rPr>
        <w:t xml:space="preserve">[11/10/2026] ⚪  </w:t>
      </w:r>
      <w:r>
        <w:rPr>
          <w:b/>
          <w:color w:val="505050"/>
          <w:sz w:val="18"/>
        </w:rPr>
        <w:t>FMI-Banque mondiale : à Bangkok, l’Afrique face à la dette et à l’inflation - Bénin Web TV</w:t>
      </w:r>
      <w:r>
        <w:rPr>
          <w:color w:val="787878"/>
          <w:sz w:val="15"/>
        </w:rPr>
        <w:t xml:space="preserve">  [économique]</w:t>
      </w:r>
      <w:r>
        <w:rPr>
          <w:color w:val="B47800"/>
          <w:sz w:val="16"/>
        </w:rPr>
        <w:t xml:space="preserve">  ★ 50/10</w:t>
      </w:r>
    </w:p>
    <w:p>
      <w:pPr>
        <w:spacing w:before="0" w:after="20"/>
        <w:ind w:left="600"/>
      </w:pPr>
      <w:r>
        <w:rPr>
          <w:color w:val="323232"/>
          <w:sz w:val="17"/>
        </w:rPr>
        <w:t>Les assemblées annuelles du FMI et de la Banque mondiale se tiennent à Bangkok, avec une attention particulière portée aux défis de la dette et de l'inflation en Afrique. Les discussions portent sur les moyens de soutenir les pays africains confrontés à des niveaux d'endettement élevés et à une inflation persistante. Les institutions financières in</w:t>
      </w:r>
    </w:p>
    <w:p>
      <w:pPr>
        <w:spacing w:before="0" w:after="40"/>
        <w:ind w:left="600"/>
      </w:pPr>
      <w:r>
        <w:rPr>
          <w:color w:val="00643C"/>
          <w:sz w:val="16"/>
        </w:rPr>
        <w:t>Points clés : Réunion du FMI et de la Banque mondiale à Bangkok  •  L'Afrique confrontée à la dette et à l'inflation  •  Recherche de solutions pour la stabilité financière</w:t>
      </w:r>
    </w:p>
    <w:p>
      <w:pPr>
        <w:spacing w:before="0" w:after="60"/>
        <w:ind w:left="600"/>
      </w:pPr>
      <w:r>
        <w:rPr>
          <w:color w:val="0064B4"/>
          <w:sz w:val="15"/>
        </w:rPr>
        <w:t>Source : https://news.google.com/rss/articles/CBMif0FVX3lxTE02YmUwNk5JZE5LVVZYVEdqcTJkcEJ</w:t>
      </w:r>
    </w:p>
    <w:p>
      <w:pPr>
        <w:spacing w:before="40" w:after="40"/>
        <w:ind w:left="360"/>
      </w:pPr>
      <w:r>
        <w:rPr>
          <w:color w:val="646464"/>
          <w:sz w:val="17"/>
        </w:rPr>
        <w:t xml:space="preserve">[09/10/2026] 🔴  </w:t>
      </w:r>
      <w:r>
        <w:rPr>
          <w:b/>
          <w:color w:val="C00000"/>
          <w:sz w:val="18"/>
        </w:rPr>
        <w:t>Guinée-Bissau: la Cedeao appelle au dialogue face au vote bloqué - tv5monde</w:t>
      </w:r>
      <w:r>
        <w:rPr>
          <w:color w:val="787878"/>
          <w:sz w:val="15"/>
        </w:rPr>
        <w:t xml:space="preserve">  [économique]</w:t>
      </w:r>
      <w:r>
        <w:rPr>
          <w:color w:val="B47800"/>
          <w:sz w:val="16"/>
        </w:rPr>
        <w:t xml:space="preserve">  ★ 50/10</w:t>
      </w:r>
    </w:p>
    <w:p>
      <w:pPr>
        <w:spacing w:before="0" w:after="20"/>
        <w:ind w:left="600"/>
      </w:pPr>
      <w:r>
        <w:rPr>
          <w:color w:val="323232"/>
          <w:sz w:val="17"/>
        </w:rPr>
        <w:t>La Cedeao appelle au dialogue en Guinée-Bissau après un vote bloqué au Parlement, sur fond de tensions politiques persistantes. Cette situation institutionnelle risque de paralyser la gouvernance et de retarder les réformes économiques. L'instabilité politique chronique du pays pèse sur la confiance des investisseurs et sur les perspectives de croi</w:t>
      </w:r>
    </w:p>
    <w:p>
      <w:pPr>
        <w:spacing w:before="0" w:after="40"/>
        <w:ind w:left="600"/>
      </w:pPr>
      <w:r>
        <w:rPr>
          <w:color w:val="00643C"/>
          <w:sz w:val="16"/>
        </w:rPr>
        <w:t>Points clés : Appel de la Cedeao au dialogue face au blocage du vote  •  Tensions politiques persistantes en Guinée-Bissau  •  Risque de paralysie institutionnelle et de retard des réformes  •  Impact indirect sur le sentiment des investisseurs en zone UEMOA</w:t>
      </w:r>
    </w:p>
    <w:p>
      <w:pPr>
        <w:spacing w:before="0" w:after="60"/>
        <w:ind w:left="600"/>
      </w:pPr>
      <w:r>
        <w:rPr>
          <w:color w:val="0064B4"/>
          <w:sz w:val="15"/>
        </w:rPr>
        <w:t>Source : https://news.google.com/rss/articles/CBMisgFBVV95cUxOWktFcUlMMXFxbUFtbFNFbGVQbkh</w:t>
      </w:r>
    </w:p>
    <w:p>
      <w:pPr>
        <w:spacing w:before="40" w:after="40"/>
        <w:ind w:left="360"/>
      </w:pPr>
      <w:r>
        <w:rPr>
          <w:color w:val="646464"/>
          <w:sz w:val="17"/>
        </w:rPr>
        <w:t xml:space="preserve">[09/10/2026] 🟢  </w:t>
      </w:r>
      <w:r>
        <w:rPr>
          <w:b/>
          <w:color w:val="008000"/>
          <w:sz w:val="18"/>
        </w:rPr>
        <w:t xml:space="preserve">FEWACCI : Mamadou Baldé explique les enjeux de son élection au poste de 3ᵉ vice-président et les ambitions de la Guinée </w:t>
      </w:r>
      <w:r>
        <w:rPr>
          <w:color w:val="787878"/>
          <w:sz w:val="15"/>
        </w:rPr>
        <w:t xml:space="preserve">  [économique]</w:t>
      </w:r>
      <w:r>
        <w:rPr>
          <w:color w:val="B47800"/>
          <w:sz w:val="16"/>
        </w:rPr>
        <w:t xml:space="preserve">  ★ 50/10</w:t>
      </w:r>
    </w:p>
    <w:p>
      <w:pPr>
        <w:spacing w:before="0" w:after="20"/>
        <w:ind w:left="600"/>
      </w:pPr>
      <w:r>
        <w:rPr>
          <w:color w:val="323232"/>
          <w:sz w:val="17"/>
        </w:rPr>
        <w:t>Mamadou Baldé a été élu 3ᵉ vice-président de la FEWACCI (Fédération des Chambres de Commerce et d'Industrie de l'Afrique de l'Ouest). Il explique les enjeux de cette élection pour la Guinée et les ambitions qu'il porte au sein de l'organisation. Cette nomination renforce la représentation guinéenne dans les instances économiques régionales.</w:t>
      </w:r>
    </w:p>
    <w:p>
      <w:pPr>
        <w:spacing w:before="0" w:after="40"/>
        <w:ind w:left="600"/>
      </w:pPr>
      <w:r>
        <w:rPr>
          <w:color w:val="00643C"/>
          <w:sz w:val="16"/>
        </w:rPr>
        <w:t>Points clés : Élection de Mamadou Baldé au poste de 3ᵉ vice-président de la FEWACCI  •  Enjeux pour la Guinée et ambitions portées par le nouveau vice-président  •  Renforcement de la présence guinéenne dans les instances économiques ouest-africaines</w:t>
      </w:r>
    </w:p>
    <w:p>
      <w:pPr>
        <w:spacing w:before="0" w:after="60"/>
        <w:ind w:left="600"/>
      </w:pPr>
      <w:r>
        <w:rPr>
          <w:color w:val="0064B4"/>
          <w:sz w:val="15"/>
        </w:rPr>
        <w:t>Source : https://news.google.com/rss/articles/CBMi8wFBVV95cUxNSU8yeU1OQmlqOFVNeHo2QV82Szd</w:t>
      </w:r>
    </w:p>
    <w:p>
      <w:pPr>
        <w:spacing w:before="40" w:after="40"/>
        <w:ind w:left="360"/>
      </w:pPr>
      <w:r>
        <w:rPr>
          <w:color w:val="646464"/>
          <w:sz w:val="17"/>
        </w:rPr>
        <w:t xml:space="preserve">[09/10/2026] 🟢  </w:t>
      </w:r>
      <w:r>
        <w:rPr>
          <w:b/>
          <w:color w:val="008000"/>
          <w:sz w:val="18"/>
        </w:rPr>
        <w:t>Cedeao : Parlement, le Président Faye appelle à renforcer l'intégration citoyenne - koaci</w:t>
      </w:r>
      <w:r>
        <w:rPr>
          <w:color w:val="787878"/>
          <w:sz w:val="15"/>
        </w:rPr>
        <w:t xml:space="preserve">  [économique]</w:t>
      </w:r>
      <w:r>
        <w:rPr>
          <w:color w:val="B47800"/>
          <w:sz w:val="16"/>
        </w:rPr>
        <w:t xml:space="preserve">  ★ 50/10</w:t>
      </w:r>
    </w:p>
    <w:p>
      <w:pPr>
        <w:spacing w:before="0" w:after="20"/>
        <w:ind w:left="600"/>
      </w:pPr>
      <w:r>
        <w:rPr>
          <w:color w:val="323232"/>
          <w:sz w:val="17"/>
        </w:rPr>
        <w:t>Le Président de la Commission de la Cedeao, Omar Alieu Touray, a présenté le rapport annuel de la Commission devant le Parlement de la Cedeao. Le Président du Parlement, Sidie Mohamed Tunis, a appelé à renforcer l'intégration citoyenne et la libre circulation des personnes et des biens dans l'espace communautaire. Il a également souligné la nécessi</w:t>
      </w:r>
    </w:p>
    <w:p>
      <w:pPr>
        <w:spacing w:before="0" w:after="40"/>
        <w:ind w:left="600"/>
      </w:pPr>
      <w:r>
        <w:rPr>
          <w:color w:val="00643C"/>
          <w:sz w:val="16"/>
        </w:rPr>
        <w:t>Points clés : Appel à renforcer l'intégration citoyenne au sein de la Cedeao  •  Nécessité d'accélérer la mise en œuvre du protocole de libre circulation  •  Examen du rapport annuel de la Commission de la Cedeao</w:t>
      </w:r>
    </w:p>
    <w:p>
      <w:pPr>
        <w:spacing w:before="0" w:after="60"/>
        <w:ind w:left="600"/>
      </w:pPr>
      <w:r>
        <w:rPr>
          <w:color w:val="0064B4"/>
          <w:sz w:val="15"/>
        </w:rPr>
        <w:t>Source : https://news.google.com/rss/articles/CBMi7gFBVV95cUxPUXBlMmtZNklnQXA5VTAxcDYyUFR</w:t>
      </w:r>
    </w:p>
    <w:p>
      <w:pPr>
        <w:spacing w:before="120" w:after="40"/>
      </w:pPr>
      <w:r>
        <w:rPr>
          <w:b/>
          <w:color w:val="00467F"/>
          <w:sz w:val="20"/>
        </w:rPr>
        <w:t>🔑 matieres_premieres  (1 alerte(s))</w:t>
      </w:r>
    </w:p>
    <w:p>
      <w:pPr>
        <w:spacing w:before="40" w:after="40"/>
        <w:ind w:left="360"/>
      </w:pPr>
      <w:r>
        <w:rPr>
          <w:color w:val="646464"/>
          <w:sz w:val="17"/>
        </w:rPr>
        <w:t xml:space="preserve">[12/10/2026] ⚪  </w:t>
      </w:r>
      <w:r>
        <w:rPr>
          <w:b/>
          <w:color w:val="505050"/>
          <w:sz w:val="18"/>
        </w:rPr>
        <w:t>Alors que les produits verts dominent le marché, c'est le diesel qui a pris la tête du marché la semaine dernière. - Vie</w:t>
      </w:r>
      <w:r>
        <w:rPr>
          <w:color w:val="787878"/>
          <w:sz w:val="15"/>
        </w:rPr>
        <w:t xml:space="preserve">  [matieres_premieres]</w:t>
      </w:r>
      <w:r>
        <w:rPr>
          <w:color w:val="B47800"/>
          <w:sz w:val="16"/>
        </w:rPr>
        <w:t xml:space="preserve">  ★ 50/10</w:t>
      </w:r>
    </w:p>
    <w:p>
      <w:pPr>
        <w:spacing w:before="0" w:after="20"/>
        <w:ind w:left="600"/>
      </w:pPr>
      <w:r>
        <w:rPr>
          <w:color w:val="323232"/>
          <w:sz w:val="17"/>
        </w:rPr>
        <w:t>Le marché des matières premières a été marqué la semaine dernière par la performance du diesel, qui a pris la tête des échanges alors que les produits verts continuaient de dominer globalement. Cette dynamique souligne une demande soutenue pour les carburants traditionnels malgré la transition énergétique en cours. Pour la BRVM, cet article n'a pas</w:t>
      </w:r>
    </w:p>
    <w:p>
      <w:pPr>
        <w:spacing w:before="0" w:after="40"/>
        <w:ind w:left="600"/>
      </w:pPr>
      <w:r>
        <w:rPr>
          <w:color w:val="00643C"/>
          <w:sz w:val="16"/>
        </w:rPr>
        <w:t>Points clés : Le diesel a enregistré la meilleure performance hebdomadaire sur le marché des matières premières.  •  Les produits verts restent majoritaires mais cèdent la tête du classement au diesel.  •  Aucune implication directe pour les sociétés cotées à la BRVM.</w:t>
      </w:r>
    </w:p>
    <w:p>
      <w:pPr>
        <w:spacing w:before="0" w:after="60"/>
        <w:ind w:left="600"/>
      </w:pPr>
      <w:r>
        <w:rPr>
          <w:color w:val="0064B4"/>
          <w:sz w:val="15"/>
        </w:rPr>
        <w:t>Source : https://news.google.com/rss/articles/CBMiiAFBVV95cUxNRk9iSnNxWUczMHFaOW8wWXJxYUx</w:t>
      </w:r>
    </w:p>
    <w:p>
      <w:pPr>
        <w:spacing w:before="120" w:after="40"/>
      </w:pPr>
      <w:r>
        <w:rPr>
          <w:b/>
          <w:color w:val="00467F"/>
          <w:sz w:val="20"/>
        </w:rPr>
        <w:t>🔑 marche_financier  (1 alerte(s))</w:t>
      </w:r>
    </w:p>
    <w:p>
      <w:pPr>
        <w:spacing w:before="40" w:after="40"/>
        <w:ind w:left="360"/>
      </w:pPr>
      <w:r>
        <w:rPr>
          <w:color w:val="646464"/>
          <w:sz w:val="17"/>
        </w:rPr>
        <w:t xml:space="preserve">[10/10/2026] 🟢  </w:t>
      </w:r>
      <w:r>
        <w:rPr>
          <w:b/>
          <w:color w:val="008000"/>
          <w:sz w:val="18"/>
        </w:rPr>
        <w:t>Sonatel fait voter la division de son action en assemblée extraordinaire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Sonatel, l'opérateur télécoms historique du Sénégal coté à la BRVM, a convoqué une assemblée générale extraordinaire pour faire approuver la division de la valeur nominale de son action. Cette opération, souvent appelée split, vise à rendre le titre plus accessible aux petits investisseurs en réduisant son prix unitaire. Elle devrait améliorer la l</w:t>
      </w:r>
    </w:p>
    <w:p>
      <w:pPr>
        <w:spacing w:before="0" w:after="40"/>
        <w:ind w:left="600"/>
      </w:pPr>
      <w:r>
        <w:rPr>
          <w:color w:val="00643C"/>
          <w:sz w:val="16"/>
        </w:rPr>
        <w:t>Points clés : Sonatel convoque une AGE pour voter la division de son action (split).  •  Objectif : réduire le prix nominal pour améliorer l'accessibilité et la liquidité.  •  Opération soumise au vote des actionnaires.  •  Impact potentiellement positif sur le volume d'échanges à la BRVM.</w:t>
      </w:r>
    </w:p>
    <w:p>
      <w:pPr>
        <w:spacing w:before="0" w:after="60"/>
        <w:ind w:left="600"/>
      </w:pPr>
      <w:r>
        <w:rPr>
          <w:color w:val="0064B4"/>
          <w:sz w:val="15"/>
        </w:rPr>
        <w:t>Source : https://news.google.com/rss/articles/CBMiqAFBVV95cUxQTlM3Q1RPamlhWFlzRzY0YWlFSDF</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3,190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7,800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8,250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8,440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3,005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2,450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12,990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44,980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20,980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2,110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14</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1,800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15</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16</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3,935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2,860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37,950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21,300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2,285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9,400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3,180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7,985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2,870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1,470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21,995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4,150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8,800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1,960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8,005</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11,295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30,005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6,300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10,400</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4,105</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32,945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45</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15,800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4,785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48</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48,000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3,190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PALC</w:t>
            </w:r>
          </w:p>
        </w:tc>
        <w:tc>
          <w:tcPr>
            <w:tcW w:type="dxa" w:w="1728"/>
            <w:shd w:fill="DEEAF1" w:val="clear"/>
          </w:tcPr>
          <w:p>
            <w:r>
              <w:rPr>
                <w:sz w:val="17"/>
              </w:rPr>
              <w:t>PALC - PALM COTE D'IVOIRE</w:t>
            </w:r>
          </w:p>
        </w:tc>
        <w:tc>
          <w:tcPr>
            <w:tcW w:type="dxa" w:w="1728"/>
            <w:shd w:fill="DEEAF1" w:val="clear"/>
          </w:tcPr>
          <w:p>
            <w:r>
              <w:rPr>
                <w:sz w:val="17"/>
              </w:rPr>
              <w:t>7,800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2,250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8,250</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3,005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12,990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1,800</w:t>
            </w:r>
          </w:p>
        </w:tc>
        <w:tc>
          <w:tcPr>
            <w:tcW w:type="dxa" w:w="1728"/>
            <w:shd w:fill="DEEAF1" w:val="clear"/>
          </w:tcPr>
          <w:p>
            <w:r>
              <w:rPr>
                <w:sz w:val="17"/>
              </w:rPr>
              <w:t>69/100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3,190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7,800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SHEC</w:t>
            </w:r>
          </w:p>
        </w:tc>
        <w:tc>
          <w:tcPr>
            <w:tcW w:type="dxa" w:w="1728"/>
            <w:shd w:fill="E2EFDA" w:val="clear"/>
          </w:tcPr>
          <w:p>
            <w:r>
              <w:rPr>
                <w:sz w:val="17"/>
              </w:rPr>
              <w:t>SHEC - VIVO ENERGY COTE D'IV</w:t>
            </w:r>
          </w:p>
        </w:tc>
        <w:tc>
          <w:tcPr>
            <w:tcW w:type="dxa" w:w="1728"/>
            <w:shd w:fill="E2EFDA" w:val="clear"/>
          </w:tcPr>
          <w:p>
            <w:r>
              <w:rPr>
                <w:sz w:val="17"/>
              </w:rPr>
              <w:t>2,250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8,250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8,440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3,005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2,450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39,000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3,190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7,800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SHEC</w:t>
            </w:r>
          </w:p>
        </w:tc>
        <w:tc>
          <w:tcPr>
            <w:tcW w:type="dxa" w:w="1728"/>
            <w:shd w:fill="FCE4D6" w:val="clear"/>
          </w:tcPr>
          <w:p>
            <w:r>
              <w:rPr>
                <w:sz w:val="17"/>
              </w:rPr>
              <w:t>SHEC - VIVO ENERGY COTE D'IV</w:t>
            </w:r>
          </w:p>
        </w:tc>
        <w:tc>
          <w:tcPr>
            <w:tcW w:type="dxa" w:w="1728"/>
            <w:shd w:fill="FCE4D6" w:val="clear"/>
          </w:tcPr>
          <w:p>
            <w:r>
              <w:rPr>
                <w:sz w:val="17"/>
              </w:rPr>
              <w:t>2,250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8,250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8,440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3,005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2,450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39,000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Cours à 0.2% du plus bas 100j (3,175 FCFA)</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Cours à 0.7% du plus bas 100j (1,460 FCFA)</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Cours à 1.1% du plus bas 100j (1,850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Cours à 2.2% du plus haut 100j (22,500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survente (29.2 &lt; 30) — opportunité potentielle</w:t>
      </w:r>
    </w:p>
    <w:p>
      <w:pPr>
        <w:pStyle w:val="ListBullet"/>
        <w:spacing w:before="20"/>
        <w:ind w:left="400"/>
      </w:pPr>
      <w:r>
        <w:rPr>
          <w:sz w:val="18"/>
        </w:rPr>
        <w:t>⚠️ Cours à 1.6% du plus bas 100j (7,680 FCFA)</w:t>
      </w:r>
    </w:p>
    <w:p>
      <w:pPr>
        <w:spacing w:before="120"/>
      </w:pPr>
      <w:r>
        <w:rPr>
          <w:b/>
          <w:color w:val="0050A0"/>
          <w:sz w:val="20"/>
        </w:rPr>
        <w:t>SIVC — SIVC - ERIUM CI (Ex AIR LIQUIDECI)</w:t>
      </w:r>
    </w:p>
    <w:p>
      <w:pPr>
        <w:pStyle w:val="ListBullet"/>
        <w:spacing w:before="20"/>
        <w:ind w:left="400"/>
      </w:pPr>
      <w:r>
        <w:rPr>
          <w:sz w:val="18"/>
        </w:rPr>
        <w:t>⚠️ Cours à 2.1% du plus bas 100j (1,920 FCFA)</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Cours à 2.8% du plus bas 100j (36,900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(76.6 &gt; 70) — risque de correction</w:t>
      </w:r>
    </w:p>
    <w:p>
      <w:pPr>
        <w:pStyle w:val="ListBullet"/>
        <w:spacing w:before="20"/>
        <w:ind w:left="400"/>
      </w:pPr>
      <w:r>
        <w:rPr>
          <w:sz w:val="18"/>
        </w:rPr>
        <w:t>⚠️ Cours à 0.0% du plus haut 100j (45,000 FCFA)</w:t>
      </w:r>
    </w:p>
    <w:p>
      <w:pPr>
        <w:spacing w:before="120"/>
      </w:pPr>
      <w:r>
        <w:rPr>
          <w:b/>
          <w:color w:val="0050A0"/>
          <w:sz w:val="20"/>
        </w:rPr>
        <w:t>UNLC — UNLC - UNILEVER COTE D'IVOIRE</w:t>
      </w:r>
    </w:p>
    <w:p>
      <w:pPr>
        <w:pStyle w:val="ListBullet"/>
        <w:spacing w:before="20"/>
        <w:ind w:left="400"/>
      </w:pPr>
      <w:r>
        <w:rPr>
          <w:sz w:val="18"/>
        </w:rPr>
        <w:t>⚠️ Cours à 1.7% du plus bas 100j (47,215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(17.0 &lt; 30) — opportunité potentielle</w:t>
      </w:r>
    </w:p>
    <w:p>
      <w:pPr>
        <w:spacing w:before="120"/>
      </w:pPr>
      <w:r>
        <w:rPr>
          <w:b/>
          <w:color w:val="0050A0"/>
          <w:sz w:val="20"/>
        </w:rPr>
        <w:t>BBGC — BRIDGE BANK GROUP COTE D'IVOIRE</w:t>
      </w:r>
    </w:p>
    <w:p>
      <w:pPr>
        <w:pStyle w:val="ListBullet"/>
        <w:spacing w:before="20"/>
        <w:ind w:left="400"/>
      </w:pPr>
      <w:r>
        <w:rPr>
          <w:sz w:val="18"/>
        </w:rPr>
        <w:t>⚠️ Cours à 0.0% du plus haut 100j (10,400 FCFA)</w:t>
      </w:r>
    </w:p>
    <w:p>
      <w:pPr>
        <w:spacing w:before="120"/>
      </w:pPr>
      <w:r>
        <w:rPr>
          <w:b/>
          <w:color w:val="0050A0"/>
          <w:sz w:val="20"/>
        </w:rPr>
        <w:t>BICB — BIIC BN - Banque internationale pour le commerce du benin</w:t>
      </w:r>
    </w:p>
    <w:p>
      <w:pPr>
        <w:pStyle w:val="ListBullet"/>
        <w:spacing w:before="20"/>
        <w:ind w:left="400"/>
      </w:pPr>
      <w:r>
        <w:rPr>
          <w:sz w:val="18"/>
        </w:rPr>
        <w:t>🟢 RSI survente (27.7 &lt; 30) — opportunité potentielle</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 FORT</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Cours à 2.9% du plus haut 100j (8,500 FCFA)</w:t>
      </w:r>
    </w:p>
    <w:p>
      <w:pPr>
        <w:spacing w:before="120"/>
      </w:pPr>
      <w:r>
        <w:rPr>
          <w:b/>
          <w:color w:val="0050A0"/>
          <w:sz w:val="20"/>
        </w:rPr>
        <w:t>NEIC — NEIC - NEI-CEDA CI</w:t>
      </w:r>
    </w:p>
    <w:p>
      <w:pPr>
        <w:pStyle w:val="ListBullet"/>
        <w:spacing w:before="20"/>
        <w:ind w:left="400"/>
      </w:pPr>
      <w:r>
        <w:rPr>
          <w:sz w:val="18"/>
        </w:rPr>
        <w:t>🟢 RSI survente (19.6 &lt; 30) — opportunité potentielle</w:t>
      </w:r>
    </w:p>
    <w:p>
      <w:pPr>
        <w:spacing w:before="120"/>
      </w:pPr>
      <w:r>
        <w:rPr>
          <w:b/>
          <w:color w:val="0050A0"/>
          <w:sz w:val="20"/>
        </w:rPr>
        <w:t>NSBC — NSBC - NSIA BANQUE COTE D'IVOIRE</w:t>
      </w:r>
    </w:p>
    <w:p>
      <w:pPr>
        <w:pStyle w:val="ListBullet"/>
        <w:spacing w:before="20"/>
        <w:ind w:left="400"/>
      </w:pPr>
      <w:r>
        <w:rPr>
          <w:sz w:val="18"/>
        </w:rPr>
        <w:t>🟢 RSI survente (28.2 &lt; 30) — opportunité potentielle</w:t>
      </w:r>
    </w:p>
    <w:p>
      <w:pPr>
        <w:spacing w:before="120"/>
      </w:pPr>
      <w:r>
        <w:rPr>
          <w:b/>
          <w:color w:val="0050A0"/>
          <w:sz w:val="20"/>
        </w:rPr>
        <w:t>ONTBF — ONTBF - ONATEL BURKINA FASO</w:t>
      </w:r>
    </w:p>
    <w:p>
      <w:pPr>
        <w:pStyle w:val="ListBullet"/>
        <w:spacing w:before="20"/>
        <w:ind w:left="400"/>
      </w:pPr>
      <w:r>
        <w:rPr>
          <w:sz w:val="18"/>
        </w:rPr>
        <w:t>⚠️ Cours à 2.1% du plus haut 100j (3,070 FCFA)</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(25.1 &lt; 30) — opportunité potentielle</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(26.4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 FORT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Cours à 2.2% du plus bas 100j (2,065 FCFA)</w:t>
      </w:r>
    </w:p>
    <w:p>
      <w:pPr>
        <w:spacing w:before="120"/>
      </w:pPr>
      <w:r>
        <w:rPr>
          <w:b/>
          <w:color w:val="0050A0"/>
          <w:sz w:val="20"/>
        </w:rPr>
        <w:t>STBC — STBC - SITAB COTE D'IVOIRE</w:t>
      </w:r>
    </w:p>
    <w:p>
      <w:pPr>
        <w:pStyle w:val="ListBullet"/>
        <w:spacing w:before="20"/>
        <w:ind w:left="400"/>
      </w:pPr>
      <w:r>
        <w:rPr>
          <w:sz w:val="18"/>
        </w:rPr>
        <w:t>⚠️ Cours à 1.9% du plus bas 100j (20,895 FCFA)</w:t>
      </w:r>
    </w:p>
    <w:p>
      <w:pPr>
        <w:spacing w:before="120"/>
      </w:pPr>
      <w:r>
        <w:rPr>
          <w:b/>
          <w:color w:val="0050A0"/>
          <w:sz w:val="20"/>
        </w:rPr>
        <w:t>TTLC — TTLC - TOTAL ENERGIES MARKETING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28 société(s) (58%)</w:t>
            </w:r>
          </w:p>
        </w:tc>
        <w:tc>
          <w:tcPr>
            <w:tcW w:type="dxa" w:w="1644"/>
            <w:shd w:fill="FFEB9C" w:val="clear"/>
          </w:tcPr>
          <w:p>
            <w:r>
              <w:rPr>
                <w:b/>
                <w:color w:val="825A00"/>
                <w:sz w:val="19"/>
              </w:rPr>
              <w:t>20 société(s) (42%)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19.9/100</w:t>
            </w:r>
          </w:p>
        </w:tc>
        <w:tc>
          <w:tcPr>
            <w:tcW w:type="dxa" w:w="1644"/>
            <w:shd w:fill="DEEAF1" w:val="clear"/>
          </w:tcPr>
          <w:p>
            <w:r>
              <w:rPr>
                <w:b/>
                <w:color w:val="000000"/>
                <w:sz w:val="19"/>
              </w:rPr>
              <w:t>19.1/100</w:t>
            </w:r>
          </w:p>
        </w:tc>
      </w:tr>
    </w:tbl>
    <w:p/>
    <w:p>
      <w:r>
        <w:rPr>
          <w:i/>
          <w:color w:val="006400"/>
          <w:sz w:val="18"/>
        </w:rPr>
        <w:t>✅ Le marché BRVM présente globalement un profil de risque FAIBLE (score moyen 19.9/100).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31.1/100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SAFC (32.8/100 — Moyen) : </w:t>
      </w:r>
      <w:r>
        <w:rPr>
          <w:sz w:val="17"/>
        </w:rPr>
        <w:t>Volatilité=Élevée | Bêta=Agressif | Liquidité=Bonne | Divergence signaux=taux divergence=20% (Mixte ⚠️) | Stabilité=Modérée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SNTS (31.1/100 — Moyen) : </w:t>
      </w:r>
      <w:r>
        <w:rPr>
          <w:sz w:val="17"/>
        </w:rPr>
        <w:t>Volatilité=Élevée | Bêta=Agressif | Liquidité=Excellente | Divergence signaux=taux divergence=40% (Très divergent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7.5/100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31.1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19.2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7.5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-0.58%  |  Médiane : -1.18%</w:t>
            </w:r>
          </w:p>
        </w:tc>
      </w:tr>
      <w:tr>
        <w:tc>
          <w:tcPr>
            <w:tcW w:type="dxa" w:w="2835"/>
            <w:shd w:fill="DEEAF1" w:val="clear"/>
          </w:tcPr>
          <w:p>
            <w:r>
              <w:rPr>
                <w:b/>
                <w:sz w:val="18"/>
              </w:rPr>
              <w:t>Répartition</w:t>
            </w:r>
          </w:p>
        </w:tc>
        <w:tc>
          <w:tcPr>
            <w:tcW w:type="dxa" w:w="7370"/>
          </w:tcPr>
          <w:p>
            <w:r>
              <w:rPr>
                <w:b/>
                <w:sz w:val="18"/>
              </w:rPr>
              <w:t>📈 13 sociétés en hausse (&gt;+1%)   📉 23 en baisse (&lt;-1%)   ➡️ 9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-0.58% avec 9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2,450 FCFA</w:t>
            </w:r>
          </w:p>
        </w:tc>
        <w:tc>
          <w:tcPr>
            <w:tcW w:type="dxa" w:w="1417"/>
            <w:shd w:fill="FFFFFF" w:val="clear"/>
          </w:tcPr>
          <w:p>
            <w:r>
              <w:rPr>
                <w:sz w:val="16"/>
              </w:rPr>
              <w:t>3,181 FCFA</w:t>
            </w:r>
          </w:p>
        </w:tc>
        <w:tc>
          <w:tcPr>
            <w:tcW w:type="dxa" w:w="1134"/>
            <w:shd w:fill="C6EFCE" w:val="clear"/>
          </w:tcPr>
          <w:p>
            <w:r>
              <w:rPr>
                <w:b/>
                <w:color w:val="007800"/>
                <w:sz w:val="16"/>
              </w:rPr>
              <w:t>+29.82%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21,300 FCFA</w:t>
            </w:r>
          </w:p>
        </w:tc>
        <w:tc>
          <w:tcPr>
            <w:tcW w:type="dxa" w:w="1417"/>
            <w:shd w:fill="FFFFFF" w:val="clear"/>
          </w:tcPr>
          <w:p>
            <w:r>
              <w:rPr>
                <w:sz w:val="16"/>
              </w:rPr>
              <w:t>24,099 FCFA</w:t>
            </w:r>
          </w:p>
        </w:tc>
        <w:tc>
          <w:tcPr>
            <w:tcW w:type="dxa" w:w="1134"/>
            <w:shd w:fill="C6EFCE" w:val="clear"/>
          </w:tcPr>
          <w:p>
            <w:r>
              <w:rPr>
                <w:b/>
                <w:color w:val="007800"/>
                <w:sz w:val="16"/>
              </w:rPr>
              <w:t>+13.14%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8,440 FCFA</w:t>
            </w:r>
          </w:p>
        </w:tc>
        <w:tc>
          <w:tcPr>
            <w:tcW w:type="dxa" w:w="1417"/>
            <w:shd w:fill="FFFFFF" w:val="clear"/>
          </w:tcPr>
          <w:p>
            <w:r>
              <w:rPr>
                <w:sz w:val="16"/>
              </w:rPr>
              <w:t>9,328 FCFA</w:t>
            </w:r>
          </w:p>
        </w:tc>
        <w:tc>
          <w:tcPr>
            <w:tcW w:type="dxa" w:w="1134"/>
            <w:shd w:fill="C6EFCE" w:val="clear"/>
          </w:tcPr>
          <w:p>
            <w:r>
              <w:rPr>
                <w:b/>
                <w:color w:val="007800"/>
                <w:sz w:val="16"/>
              </w:rPr>
              <w:t>+10.52%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CFAC — CFAC - CFAO MOTORS CI</w:t>
            </w:r>
          </w:p>
        </w:tc>
        <w:tc>
          <w:tcPr>
            <w:tcW w:type="dxa" w:w="1701"/>
            <w:shd w:fill="FFFFFF" w:val="clear"/>
          </w:tcPr>
          <w:p>
            <w:r>
              <w:rPr>
                <w:sz w:val="16"/>
              </w:rPr>
              <w:t>CONSOMMATION DISCRET</w:t>
            </w:r>
          </w:p>
        </w:tc>
        <w:tc>
          <w:tcPr>
            <w:tcW w:type="dxa" w:w="1417"/>
            <w:shd w:fill="FFFFFF" w:val="clear"/>
          </w:tcPr>
          <w:p>
            <w:r>
              <w:rPr>
                <w:sz w:val="16"/>
              </w:rPr>
              <w:t>1,470 FCFA</w:t>
            </w:r>
          </w:p>
        </w:tc>
        <w:tc>
          <w:tcPr>
            <w:tcW w:type="dxa" w:w="1417"/>
            <w:shd w:fill="FFFFFF" w:val="clear"/>
          </w:tcPr>
          <w:p>
            <w:r>
              <w:rPr>
                <w:sz w:val="16"/>
              </w:rPr>
              <w:t>1,552 FCFA</w:t>
            </w:r>
          </w:p>
        </w:tc>
        <w:tc>
          <w:tcPr>
            <w:tcW w:type="dxa" w:w="1134"/>
            <w:shd w:fill="C6EFCE" w:val="clear"/>
          </w:tcPr>
          <w:p>
            <w:r>
              <w:rPr>
                <w:b/>
                <w:color w:val="007800"/>
                <w:sz w:val="16"/>
              </w:rPr>
              <w:t>+5.56%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4,785 FCFA</w:t>
            </w:r>
          </w:p>
        </w:tc>
        <w:tc>
          <w:tcPr>
            <w:tcW w:type="dxa" w:w="1417"/>
            <w:shd w:fill="FFFFFF" w:val="clear"/>
          </w:tcPr>
          <w:p>
            <w:r>
              <w:rPr>
                <w:sz w:val="16"/>
              </w:rPr>
              <w:t>5,046 FCFA</w:t>
            </w:r>
          </w:p>
        </w:tc>
        <w:tc>
          <w:tcPr>
            <w:tcW w:type="dxa" w:w="1134"/>
            <w:shd w:fill="C6EFCE" w:val="clear"/>
          </w:tcPr>
          <w:p>
            <w:r>
              <w:rPr>
                <w:b/>
                <w:color w:val="007800"/>
                <w:sz w:val="16"/>
              </w:rPr>
              <w:t>+5.45%</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(+29.8%) — signal potentiellement excessif, à croiser avec l'analyse technique. Trajectoire : 📈 Hausse continue. Cours actuel : 2,450 FCFA → prédit J+10 : 3,181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(+13.1%) — potentiel de revalorisation notable. Trajectoire : 📈 Hausse continue. Cours actuel : 21,300 FCFA → prédit J+10 : 24,099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(+10.5%) — potentiel de revalorisation notable. Trajectoire : 📈 Hausse continue. Cours actuel : 8,440 FCFA → prédit J+10 : 9,328 FCFA. ⚠️ Confiance limitée — volatilité élevée ou données insuffisantes. Résultat indicatif uniquement.</w:t>
      </w:r>
    </w:p>
    <w:p>
      <w:pPr>
        <w:pStyle w:val="ListBullet"/>
      </w:pPr>
      <w:r>
        <w:rPr>
          <w:b/>
          <w:color w:val="006400"/>
          <w:sz w:val="18"/>
        </w:rPr>
        <w:t xml:space="preserve">#4 CFAC </w:t>
      </w:r>
      <w:r>
        <w:rPr>
          <w:sz w:val="17"/>
        </w:rPr>
        <w:t>(CFAC - CFAO MOTORS CI) — hausse modérée (+5.6%) — signal raisonnable et crédible. Trajectoire : 📈 Hausse continue. Cours actuel : 1,470 FCFA → prédit J+10 : 1,552 FCFA. ⚠️ Confiance limitée — volatilité élevée ou données insuffisantes. Résultat indicatif uniquement.</w:t>
      </w:r>
    </w:p>
    <w:p>
      <w:pPr>
        <w:pStyle w:val="ListBullet"/>
      </w:pPr>
      <w:r>
        <w:rPr>
          <w:b/>
          <w:color w:val="006400"/>
          <w:sz w:val="18"/>
        </w:rPr>
        <w:t xml:space="preserve">#5 BOAN </w:t>
      </w:r>
      <w:r>
        <w:rPr>
          <w:sz w:val="17"/>
        </w:rPr>
        <w:t>(BANK OF AFRICA NIGER) — hausse modérée (+5.4%) — signal raisonnable et crédible. Trajectoire : 📈 Hausse continue. Cours actuel : 4,785 FCFA → prédit J+10 : 5,046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8,250 FCFA</w:t>
            </w:r>
          </w:p>
        </w:tc>
        <w:tc>
          <w:tcPr>
            <w:tcW w:type="dxa" w:w="1417"/>
            <w:shd w:fill="FFFFFF" w:val="clear"/>
          </w:tcPr>
          <w:p>
            <w:r>
              <w:rPr>
                <w:sz w:val="16"/>
              </w:rPr>
              <w:t>7,163 FCFA</w:t>
            </w:r>
          </w:p>
        </w:tc>
        <w:tc>
          <w:tcPr>
            <w:tcW w:type="dxa" w:w="1134"/>
            <w:shd w:fill="FFC7CE" w:val="clear"/>
          </w:tcPr>
          <w:p>
            <w:r>
              <w:rPr>
                <w:b/>
                <w:color w:val="B40000"/>
                <w:sz w:val="16"/>
              </w:rPr>
              <w:t>-13.17%</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20,980 FCFA</w:t>
            </w:r>
          </w:p>
        </w:tc>
        <w:tc>
          <w:tcPr>
            <w:tcW w:type="dxa" w:w="1417"/>
            <w:shd w:fill="FFFFFF" w:val="clear"/>
          </w:tcPr>
          <w:p>
            <w:r>
              <w:rPr>
                <w:sz w:val="16"/>
              </w:rPr>
              <w:t>18,790 FCFA</w:t>
            </w:r>
          </w:p>
        </w:tc>
        <w:tc>
          <w:tcPr>
            <w:tcW w:type="dxa" w:w="1134"/>
            <w:shd w:fill="FFC7CE" w:val="clear"/>
          </w:tcPr>
          <w:p>
            <w:r>
              <w:rPr>
                <w:b/>
                <w:color w:val="B40000"/>
                <w:sz w:val="16"/>
              </w:rPr>
              <w:t>-10.44%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6,100 FCFA</w:t>
            </w:r>
          </w:p>
        </w:tc>
        <w:tc>
          <w:tcPr>
            <w:tcW w:type="dxa" w:w="1417"/>
            <w:shd w:fill="FFFFFF" w:val="clear"/>
          </w:tcPr>
          <w:p>
            <w:r>
              <w:rPr>
                <w:sz w:val="16"/>
              </w:rPr>
              <w:t>5,511 FCFA</w:t>
            </w:r>
          </w:p>
        </w:tc>
        <w:tc>
          <w:tcPr>
            <w:tcW w:type="dxa" w:w="1134"/>
            <w:shd w:fill="FFC7CE" w:val="clear"/>
          </w:tcPr>
          <w:p>
            <w:r>
              <w:rPr>
                <w:b/>
                <w:color w:val="B40000"/>
                <w:sz w:val="16"/>
              </w:rPr>
              <w:t>-9.66%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2,285 FCFA</w:t>
            </w:r>
          </w:p>
        </w:tc>
        <w:tc>
          <w:tcPr>
            <w:tcW w:type="dxa" w:w="1417"/>
            <w:shd w:fill="FFFFFF" w:val="clear"/>
          </w:tcPr>
          <w:p>
            <w:r>
              <w:rPr>
                <w:sz w:val="16"/>
              </w:rPr>
              <w:t>2,132 FCFA</w:t>
            </w:r>
          </w:p>
        </w:tc>
        <w:tc>
          <w:tcPr>
            <w:tcW w:type="dxa" w:w="1134"/>
            <w:shd w:fill="FFC7CE" w:val="clear"/>
          </w:tcPr>
          <w:p>
            <w:r>
              <w:rPr>
                <w:b/>
                <w:color w:val="B40000"/>
                <w:sz w:val="16"/>
              </w:rPr>
              <w:t>-6.68%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1,870 FCFA</w:t>
            </w:r>
          </w:p>
        </w:tc>
        <w:tc>
          <w:tcPr>
            <w:tcW w:type="dxa" w:w="1417"/>
            <w:shd w:fill="FFFFFF" w:val="clear"/>
          </w:tcPr>
          <w:p>
            <w:r>
              <w:rPr>
                <w:sz w:val="16"/>
              </w:rPr>
              <w:t>1,752 FCFA</w:t>
            </w:r>
          </w:p>
        </w:tc>
        <w:tc>
          <w:tcPr>
            <w:tcW w:type="dxa" w:w="1134"/>
            <w:shd w:fill="FFC7CE" w:val="clear"/>
          </w:tcPr>
          <w:p>
            <w:r>
              <w:rPr>
                <w:b/>
                <w:color w:val="B40000"/>
                <w:sz w:val="16"/>
              </w:rPr>
              <w:t>-6.34%</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(-13.2%) — repli technique attendu. Trajectoire : 📉 Baisse continue. Cours actuel : 8,250 FCFA → prédit J+10 : 7,163 FCFA. Confiance partielle — surveiller l'évolution réelle des premiers jours.</w:t>
      </w:r>
    </w:p>
    <w:p>
      <w:pPr>
        <w:pStyle w:val="ListBullet"/>
      </w:pPr>
      <w:r>
        <w:rPr>
          <w:b/>
          <w:color w:val="B40000"/>
          <w:sz w:val="18"/>
        </w:rPr>
        <w:t xml:space="preserve">#2 NSBC </w:t>
      </w:r>
      <w:r>
        <w:rPr>
          <w:sz w:val="17"/>
        </w:rPr>
        <w:t>(NSBC - NSIA BANQUE COTE D'IVOIRE) — baisse modérée (-10.4%) — repli technique attendu. Trajectoire : 📉 Baisse continue. Cours actuel : 20,980 FCFA → prédit J+10 : 18,790 FCFA. ⚠️ Confiance limitée — volatilité élevée. Ne pas agir sur ce seul signal.</w:t>
      </w:r>
    </w:p>
    <w:p>
      <w:pPr>
        <w:pStyle w:val="ListBullet"/>
      </w:pPr>
      <w:r>
        <w:rPr>
          <w:b/>
          <w:color w:val="B40000"/>
          <w:sz w:val="18"/>
        </w:rPr>
        <w:t xml:space="preserve">#3 BOAM </w:t>
      </w:r>
      <w:r>
        <w:rPr>
          <w:sz w:val="17"/>
        </w:rPr>
        <w:t>(BANK OF AFRICA MALI) — baisse modérée (-9.7%) — repli technique attendu. Trajectoire : 📉 Baisse continue. Cours actuel : 6,100 FCFA → prédit J+10 : 5,511 FCFA. ⚠️ Confiance limitée — volatilité élevée. Ne pas agir sur ce seul signal.</w:t>
      </w:r>
    </w:p>
    <w:p>
      <w:pPr>
        <w:pStyle w:val="ListBullet"/>
      </w:pPr>
      <w:r>
        <w:rPr>
          <w:b/>
          <w:color w:val="B40000"/>
          <w:sz w:val="18"/>
        </w:rPr>
        <w:t xml:space="preserve">#4 UNXC </w:t>
      </w:r>
      <w:r>
        <w:rPr>
          <w:sz w:val="17"/>
        </w:rPr>
        <w:t>(UNXC - UNIWAX COTE D'IVOIRE) — baisse modérée (-6.7%) — repli technique attendu. Trajectoire : 📉 Baisse continue. Cours actuel : 2,285 FCFA → prédit J+10 : 2,132 FCFA. ⚠️ Confiance limitée — volatilité élevée. Ne pas agir sur ce seul signal.</w:t>
      </w:r>
    </w:p>
    <w:p>
      <w:pPr>
        <w:pStyle w:val="ListBullet"/>
      </w:pPr>
      <w:r>
        <w:rPr>
          <w:b/>
          <w:color w:val="B40000"/>
          <w:sz w:val="18"/>
        </w:rPr>
        <w:t xml:space="preserve">#5 FTSC </w:t>
      </w:r>
      <w:r>
        <w:rPr>
          <w:sz w:val="17"/>
        </w:rPr>
        <w:t>(FTSC - FILTISAC COTE D'IVOIRE) — baisse modérée (-6.3%) — repli technique attendu. Trajectoire : 📉 Baisse continue. Cours actuel : 1,870 FCFA → prédit J+10 : 1,752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2,450</w:t>
            </w:r>
          </w:p>
        </w:tc>
        <w:tc>
          <w:tcPr>
            <w:tcW w:type="dxa" w:w="1417"/>
            <w:shd w:fill="FFFFFF" w:val="clear"/>
          </w:tcPr>
          <w:p>
            <w:r>
              <w:rPr>
                <w:sz w:val="16"/>
              </w:rPr>
              <w:t>3,181</w:t>
            </w:r>
          </w:p>
        </w:tc>
        <w:tc>
          <w:tcPr>
            <w:tcW w:type="dxa" w:w="1134"/>
            <w:shd w:fill="C6EFCE" w:val="clear"/>
          </w:tcPr>
          <w:p>
            <w:r>
              <w:rPr>
                <w:b/>
                <w:color w:val="007800"/>
                <w:sz w:val="16"/>
              </w:rPr>
              <w:t>+29.82%</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21,300</w:t>
            </w:r>
          </w:p>
        </w:tc>
        <w:tc>
          <w:tcPr>
            <w:tcW w:type="dxa" w:w="1417"/>
            <w:shd w:fill="FFFFFF" w:val="clear"/>
          </w:tcPr>
          <w:p>
            <w:r>
              <w:rPr>
                <w:sz w:val="16"/>
              </w:rPr>
              <w:t>24,099</w:t>
            </w:r>
          </w:p>
        </w:tc>
        <w:tc>
          <w:tcPr>
            <w:tcW w:type="dxa" w:w="1134"/>
            <w:shd w:fill="C6EFCE" w:val="clear"/>
          </w:tcPr>
          <w:p>
            <w:r>
              <w:rPr>
                <w:b/>
                <w:color w:val="007800"/>
                <w:sz w:val="16"/>
              </w:rPr>
              <w:t>+13.14%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8,440</w:t>
            </w:r>
          </w:p>
        </w:tc>
        <w:tc>
          <w:tcPr>
            <w:tcW w:type="dxa" w:w="1417"/>
            <w:shd w:fill="FFFFFF" w:val="clear"/>
          </w:tcPr>
          <w:p>
            <w:r>
              <w:rPr>
                <w:sz w:val="16"/>
              </w:rPr>
              <w:t>9,328</w:t>
            </w:r>
          </w:p>
        </w:tc>
        <w:tc>
          <w:tcPr>
            <w:tcW w:type="dxa" w:w="1134"/>
            <w:shd w:fill="C6EFCE" w:val="clear"/>
          </w:tcPr>
          <w:p>
            <w:r>
              <w:rPr>
                <w:b/>
                <w:color w:val="007800"/>
                <w:sz w:val="16"/>
              </w:rPr>
              <w:t>+10.52%</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1,470</w:t>
            </w:r>
          </w:p>
        </w:tc>
        <w:tc>
          <w:tcPr>
            <w:tcW w:type="dxa" w:w="1417"/>
            <w:shd w:fill="FFFFFF" w:val="clear"/>
          </w:tcPr>
          <w:p>
            <w:r>
              <w:rPr>
                <w:sz w:val="16"/>
              </w:rPr>
              <w:t>1,552</w:t>
            </w:r>
          </w:p>
        </w:tc>
        <w:tc>
          <w:tcPr>
            <w:tcW w:type="dxa" w:w="1134"/>
            <w:shd w:fill="C6EFCE" w:val="clear"/>
          </w:tcPr>
          <w:p>
            <w:r>
              <w:rPr>
                <w:b/>
                <w:color w:val="007800"/>
                <w:sz w:val="16"/>
              </w:rPr>
              <w:t>+5.56%</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4,785</w:t>
            </w:r>
          </w:p>
        </w:tc>
        <w:tc>
          <w:tcPr>
            <w:tcW w:type="dxa" w:w="1417"/>
            <w:shd w:fill="FFFFFF" w:val="clear"/>
          </w:tcPr>
          <w:p>
            <w:r>
              <w:rPr>
                <w:sz w:val="16"/>
              </w:rPr>
              <w:t>5,046</w:t>
            </w:r>
          </w:p>
        </w:tc>
        <w:tc>
          <w:tcPr>
            <w:tcW w:type="dxa" w:w="1134"/>
            <w:shd w:fill="C6EFCE" w:val="clear"/>
          </w:tcPr>
          <w:p>
            <w:r>
              <w:rPr>
                <w:b/>
                <w:color w:val="007800"/>
                <w:sz w:val="16"/>
              </w:rPr>
              <w:t>+5.45%</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37,950</w:t>
            </w:r>
          </w:p>
        </w:tc>
        <w:tc>
          <w:tcPr>
            <w:tcW w:type="dxa" w:w="1417"/>
            <w:shd w:fill="FFFFFF" w:val="clear"/>
          </w:tcPr>
          <w:p>
            <w:r>
              <w:rPr>
                <w:sz w:val="16"/>
              </w:rPr>
              <w:t>39,199</w:t>
            </w:r>
          </w:p>
        </w:tc>
        <w:tc>
          <w:tcPr>
            <w:tcW w:type="dxa" w:w="1134"/>
            <w:shd w:fill="C6EFCE" w:val="clear"/>
          </w:tcPr>
          <w:p>
            <w:r>
              <w:rPr>
                <w:b/>
                <w:color w:val="007800"/>
                <w:sz w:val="16"/>
              </w:rPr>
              <w:t>+3.29%</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1,960</w:t>
            </w:r>
          </w:p>
        </w:tc>
        <w:tc>
          <w:tcPr>
            <w:tcW w:type="dxa" w:w="1417"/>
            <w:shd w:fill="FFFFFF" w:val="clear"/>
          </w:tcPr>
          <w:p>
            <w:r>
              <w:rPr>
                <w:sz w:val="16"/>
              </w:rPr>
              <w:t>2,011</w:t>
            </w:r>
          </w:p>
        </w:tc>
        <w:tc>
          <w:tcPr>
            <w:tcW w:type="dxa" w:w="1134"/>
            <w:shd w:fill="C6EFCE" w:val="clear"/>
          </w:tcPr>
          <w:p>
            <w:r>
              <w:rPr>
                <w:b/>
                <w:color w:val="007800"/>
                <w:sz w:val="16"/>
              </w:rPr>
              <w:t>+2.61%</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15,000</w:t>
            </w:r>
          </w:p>
        </w:tc>
        <w:tc>
          <w:tcPr>
            <w:tcW w:type="dxa" w:w="1417"/>
            <w:shd w:fill="FFFFFF" w:val="clear"/>
          </w:tcPr>
          <w:p>
            <w:r>
              <w:rPr>
                <w:sz w:val="16"/>
              </w:rPr>
              <w:t>15,224</w:t>
            </w:r>
          </w:p>
        </w:tc>
        <w:tc>
          <w:tcPr>
            <w:tcW w:type="dxa" w:w="1134"/>
            <w:shd w:fill="C6EFCE" w:val="clear"/>
          </w:tcPr>
          <w:p>
            <w:r>
              <w:rPr>
                <w:b/>
                <w:color w:val="007800"/>
                <w:sz w:val="16"/>
              </w:rPr>
              <w:t>+1.49%</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11,295</w:t>
            </w:r>
          </w:p>
        </w:tc>
        <w:tc>
          <w:tcPr>
            <w:tcW w:type="dxa" w:w="1417"/>
            <w:shd w:fill="FFFFFF" w:val="clear"/>
          </w:tcPr>
          <w:p>
            <w:r>
              <w:rPr>
                <w:sz w:val="16"/>
              </w:rPr>
              <w:t>11,458</w:t>
            </w:r>
          </w:p>
        </w:tc>
        <w:tc>
          <w:tcPr>
            <w:tcW w:type="dxa" w:w="1134"/>
            <w:shd w:fill="C6EFCE" w:val="clear"/>
          </w:tcPr>
          <w:p>
            <w:r>
              <w:rPr>
                <w:b/>
                <w:color w:val="007800"/>
                <w:sz w:val="16"/>
              </w:rPr>
              <w:t>+1.45%</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2,110</w:t>
            </w:r>
          </w:p>
        </w:tc>
        <w:tc>
          <w:tcPr>
            <w:tcW w:type="dxa" w:w="1417"/>
            <w:shd w:fill="FFFFFF" w:val="clear"/>
          </w:tcPr>
          <w:p>
            <w:r>
              <w:rPr>
                <w:sz w:val="16"/>
              </w:rPr>
              <w:t>2,139</w:t>
            </w:r>
          </w:p>
        </w:tc>
        <w:tc>
          <w:tcPr>
            <w:tcW w:type="dxa" w:w="1134"/>
            <w:shd w:fill="C6EFCE" w:val="clear"/>
          </w:tcPr>
          <w:p>
            <w:r>
              <w:rPr>
                <w:b/>
                <w:color w:val="007800"/>
                <w:sz w:val="16"/>
              </w:rPr>
              <w:t>+1.37%</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1,800</w:t>
            </w:r>
          </w:p>
        </w:tc>
        <w:tc>
          <w:tcPr>
            <w:tcW w:type="dxa" w:w="1417"/>
            <w:shd w:fill="FFFFFF" w:val="clear"/>
          </w:tcPr>
          <w:p>
            <w:r>
              <w:rPr>
                <w:sz w:val="16"/>
              </w:rPr>
              <w:t>1,822</w:t>
            </w:r>
          </w:p>
        </w:tc>
        <w:tc>
          <w:tcPr>
            <w:tcW w:type="dxa" w:w="1134"/>
            <w:shd w:fill="C6EFCE" w:val="clear"/>
          </w:tcPr>
          <w:p>
            <w:r>
              <w:rPr>
                <w:b/>
                <w:color w:val="007800"/>
                <w:sz w:val="16"/>
              </w:rPr>
              <w:t>+1.24%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12,990</w:t>
            </w:r>
          </w:p>
        </w:tc>
        <w:tc>
          <w:tcPr>
            <w:tcW w:type="dxa" w:w="1417"/>
            <w:shd w:fill="FFFFFF" w:val="clear"/>
          </w:tcPr>
          <w:p>
            <w:r>
              <w:rPr>
                <w:sz w:val="16"/>
              </w:rPr>
              <w:t>13,122</w:t>
            </w:r>
          </w:p>
        </w:tc>
        <w:tc>
          <w:tcPr>
            <w:tcW w:type="dxa" w:w="1134"/>
            <w:shd w:fill="C6EFCE" w:val="clear"/>
          </w:tcPr>
          <w:p>
            <w:r>
              <w:rPr>
                <w:b/>
                <w:color w:val="007800"/>
                <w:sz w:val="16"/>
              </w:rPr>
              <w:t>+1.01%</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2,250</w:t>
            </w:r>
          </w:p>
        </w:tc>
        <w:tc>
          <w:tcPr>
            <w:tcW w:type="dxa" w:w="1417"/>
            <w:shd w:fill="FFFFFF" w:val="clear"/>
          </w:tcPr>
          <w:p>
            <w:r>
              <w:rPr>
                <w:sz w:val="16"/>
              </w:rPr>
              <w:t>2,273</w:t>
            </w:r>
          </w:p>
        </w:tc>
        <w:tc>
          <w:tcPr>
            <w:tcW w:type="dxa" w:w="1134"/>
            <w:shd w:fill="C6EFCE" w:val="clear"/>
          </w:tcPr>
          <w:p>
            <w:r>
              <w:rPr>
                <w:b/>
                <w:color w:val="007800"/>
                <w:sz w:val="16"/>
              </w:rPr>
              <w:t>+1.00%</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16,800</w:t>
            </w:r>
          </w:p>
        </w:tc>
        <w:tc>
          <w:tcPr>
            <w:tcW w:type="dxa" w:w="1417"/>
            <w:shd w:fill="FFFFFF" w:val="clear"/>
          </w:tcPr>
          <w:p>
            <w:r>
              <w:rPr>
                <w:sz w:val="16"/>
              </w:rPr>
              <w:t>16,949</w:t>
            </w:r>
          </w:p>
        </w:tc>
        <w:tc>
          <w:tcPr>
            <w:tcW w:type="dxa" w:w="1134"/>
            <w:shd w:fill="FFEB9C" w:val="clear"/>
          </w:tcPr>
          <w:p>
            <w:r>
              <w:rPr>
                <w:b/>
                <w:color w:val="646400"/>
                <w:sz w:val="16"/>
              </w:rPr>
              <w:t>+0.89%</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2,860</w:t>
            </w:r>
          </w:p>
        </w:tc>
        <w:tc>
          <w:tcPr>
            <w:tcW w:type="dxa" w:w="1417"/>
            <w:shd w:fill="FFFFFF" w:val="clear"/>
          </w:tcPr>
          <w:p>
            <w:r>
              <w:rPr>
                <w:sz w:val="16"/>
              </w:rPr>
              <w:t>2,882</w:t>
            </w:r>
          </w:p>
        </w:tc>
        <w:tc>
          <w:tcPr>
            <w:tcW w:type="dxa" w:w="1134"/>
            <w:shd w:fill="FFEB9C" w:val="clear"/>
          </w:tcPr>
          <w:p>
            <w:r>
              <w:rPr>
                <w:b/>
                <w:color w:val="646400"/>
                <w:sz w:val="16"/>
              </w:rPr>
              <w:t>+0.78%</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4,105</w:t>
            </w:r>
          </w:p>
        </w:tc>
        <w:tc>
          <w:tcPr>
            <w:tcW w:type="dxa" w:w="1417"/>
            <w:shd w:fill="FFFFFF" w:val="clear"/>
          </w:tcPr>
          <w:p>
            <w:r>
              <w:rPr>
                <w:sz w:val="16"/>
              </w:rPr>
              <w:t>4,133</w:t>
            </w:r>
          </w:p>
        </w:tc>
        <w:tc>
          <w:tcPr>
            <w:tcW w:type="dxa" w:w="1134"/>
            <w:shd w:fill="FFEB9C" w:val="clear"/>
          </w:tcPr>
          <w:p>
            <w:r>
              <w:rPr>
                <w:b/>
                <w:color w:val="646400"/>
                <w:sz w:val="16"/>
              </w:rPr>
              <w:t>+0.69%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3,935</w:t>
            </w:r>
          </w:p>
        </w:tc>
        <w:tc>
          <w:tcPr>
            <w:tcW w:type="dxa" w:w="1417"/>
            <w:shd w:fill="FFFFFF" w:val="clear"/>
          </w:tcPr>
          <w:p>
            <w:r>
              <w:rPr>
                <w:sz w:val="16"/>
              </w:rPr>
              <w:t>3,957</w:t>
            </w:r>
          </w:p>
        </w:tc>
        <w:tc>
          <w:tcPr>
            <w:tcW w:type="dxa" w:w="1134"/>
            <w:shd w:fill="FFEB9C" w:val="clear"/>
          </w:tcPr>
          <w:p>
            <w:r>
              <w:rPr>
                <w:b/>
                <w:color w:val="646400"/>
                <w:sz w:val="16"/>
              </w:rPr>
              <w:t>+0.55%</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4,150</w:t>
            </w:r>
          </w:p>
        </w:tc>
        <w:tc>
          <w:tcPr>
            <w:tcW w:type="dxa" w:w="1417"/>
            <w:shd w:fill="FFFFFF" w:val="clear"/>
          </w:tcPr>
          <w:p>
            <w:r>
              <w:rPr>
                <w:sz w:val="16"/>
              </w:rPr>
              <w:t>4,164</w:t>
            </w:r>
          </w:p>
        </w:tc>
        <w:tc>
          <w:tcPr>
            <w:tcW w:type="dxa" w:w="1134"/>
            <w:shd w:fill="FFEB9C" w:val="clear"/>
          </w:tcPr>
          <w:p>
            <w:r>
              <w:rPr>
                <w:b/>
                <w:color w:val="646400"/>
                <w:sz w:val="16"/>
              </w:rPr>
              <w:t>+0.33%</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3,180</w:t>
            </w:r>
          </w:p>
        </w:tc>
        <w:tc>
          <w:tcPr>
            <w:tcW w:type="dxa" w:w="1417"/>
            <w:shd w:fill="FFFFFF" w:val="clear"/>
          </w:tcPr>
          <w:p>
            <w:r>
              <w:rPr>
                <w:sz w:val="16"/>
              </w:rPr>
              <w:t>3,183</w:t>
            </w:r>
          </w:p>
        </w:tc>
        <w:tc>
          <w:tcPr>
            <w:tcW w:type="dxa" w:w="1134"/>
            <w:shd w:fill="FFEB9C" w:val="clear"/>
          </w:tcPr>
          <w:p>
            <w:r>
              <w:rPr>
                <w:b/>
                <w:color w:val="646400"/>
                <w:sz w:val="16"/>
              </w:rPr>
              <w:t>+0.09%</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2,870</w:t>
            </w:r>
          </w:p>
        </w:tc>
        <w:tc>
          <w:tcPr>
            <w:tcW w:type="dxa" w:w="1417"/>
            <w:shd w:fill="FFFFFF" w:val="clear"/>
          </w:tcPr>
          <w:p>
            <w:r>
              <w:rPr>
                <w:sz w:val="16"/>
              </w:rPr>
              <w:t>2,869</w:t>
            </w:r>
          </w:p>
        </w:tc>
        <w:tc>
          <w:tcPr>
            <w:tcW w:type="dxa" w:w="1134"/>
            <w:shd w:fill="FFEB9C" w:val="clear"/>
          </w:tcPr>
          <w:p>
            <w:r>
              <w:rPr>
                <w:b/>
                <w:color w:val="646400"/>
                <w:sz w:val="16"/>
              </w:rPr>
              <w:t>-0.04%</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48,000</w:t>
            </w:r>
          </w:p>
        </w:tc>
        <w:tc>
          <w:tcPr>
            <w:tcW w:type="dxa" w:w="1417"/>
            <w:shd w:fill="FFFFFF" w:val="clear"/>
          </w:tcPr>
          <w:p>
            <w:r>
              <w:rPr>
                <w:sz w:val="16"/>
              </w:rPr>
              <w:t>47,914</w:t>
            </w:r>
          </w:p>
        </w:tc>
        <w:tc>
          <w:tcPr>
            <w:tcW w:type="dxa" w:w="1134"/>
            <w:shd w:fill="FFEB9C" w:val="clear"/>
          </w:tcPr>
          <w:p>
            <w:r>
              <w:rPr>
                <w:b/>
                <w:color w:val="646400"/>
                <w:sz w:val="16"/>
              </w:rPr>
              <w:t>-0.18%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15,800</w:t>
            </w:r>
          </w:p>
        </w:tc>
        <w:tc>
          <w:tcPr>
            <w:tcW w:type="dxa" w:w="1417"/>
            <w:shd w:fill="FFFFFF" w:val="clear"/>
          </w:tcPr>
          <w:p>
            <w:r>
              <w:rPr>
                <w:sz w:val="16"/>
              </w:rPr>
              <w:t>15,647</w:t>
            </w:r>
          </w:p>
        </w:tc>
        <w:tc>
          <w:tcPr>
            <w:tcW w:type="dxa" w:w="1134"/>
            <w:shd w:fill="FFEB9C" w:val="clear"/>
          </w:tcPr>
          <w:p>
            <w:r>
              <w:rPr>
                <w:b/>
                <w:color w:val="646400"/>
                <w:sz w:val="16"/>
              </w:rPr>
              <w:t>-0.97%</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44,980</w:t>
            </w:r>
          </w:p>
        </w:tc>
        <w:tc>
          <w:tcPr>
            <w:tcW w:type="dxa" w:w="1417"/>
            <w:shd w:fill="FFFFFF" w:val="clear"/>
          </w:tcPr>
          <w:p>
            <w:r>
              <w:rPr>
                <w:sz w:val="16"/>
              </w:rPr>
              <w:t>44,448</w:t>
            </w:r>
          </w:p>
        </w:tc>
        <w:tc>
          <w:tcPr>
            <w:tcW w:type="dxa" w:w="1134"/>
            <w:shd w:fill="FFC7CE" w:val="clear"/>
          </w:tcPr>
          <w:p>
            <w:r>
              <w:rPr>
                <w:b/>
                <w:color w:val="B40000"/>
                <w:sz w:val="16"/>
              </w:rPr>
              <w:t>-1.18%</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3,650</w:t>
            </w:r>
          </w:p>
        </w:tc>
        <w:tc>
          <w:tcPr>
            <w:tcW w:type="dxa" w:w="1417"/>
            <w:shd w:fill="FFFFFF" w:val="clear"/>
          </w:tcPr>
          <w:p>
            <w:r>
              <w:rPr>
                <w:sz w:val="16"/>
              </w:rPr>
              <w:t>3,590</w:t>
            </w:r>
          </w:p>
        </w:tc>
        <w:tc>
          <w:tcPr>
            <w:tcW w:type="dxa" w:w="1134"/>
            <w:shd w:fill="FFC7CE" w:val="clear"/>
          </w:tcPr>
          <w:p>
            <w:r>
              <w:rPr>
                <w:b/>
                <w:color w:val="B40000"/>
                <w:sz w:val="16"/>
              </w:rPr>
              <w:t>-1.64%</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38,175</w:t>
            </w:r>
          </w:p>
        </w:tc>
        <w:tc>
          <w:tcPr>
            <w:tcW w:type="dxa" w:w="1134"/>
            <w:shd w:fill="FFC7CE" w:val="clear"/>
          </w:tcPr>
          <w:p>
            <w:r>
              <w:rPr>
                <w:b/>
                <w:color w:val="B40000"/>
                <w:sz w:val="16"/>
              </w:rPr>
              <w:t>-2.12%</w:t>
            </w:r>
          </w:p>
        </w:tc>
        <w:tc>
          <w:tcPr>
            <w:tcW w:type="dxa" w:w="1134"/>
            <w:shd w:fill="FFEB9C" w:val="clear"/>
          </w:tcPr>
          <w:p>
            <w:r>
              <w:rPr>
                <w:sz w:val="16"/>
              </w:rPr>
              <w:t>Moyenne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66</w:t>
            </w:r>
          </w:p>
        </w:tc>
        <w:tc>
          <w:tcPr>
            <w:tcW w:type="dxa" w:w="1134"/>
            <w:shd w:fill="FFC7CE" w:val="clear"/>
          </w:tcPr>
          <w:p>
            <w:r>
              <w:rPr>
                <w:b/>
                <w:color w:val="B40000"/>
                <w:sz w:val="16"/>
              </w:rPr>
              <w:t>-2.22%</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21,995</w:t>
            </w:r>
          </w:p>
        </w:tc>
        <w:tc>
          <w:tcPr>
            <w:tcW w:type="dxa" w:w="1417"/>
            <w:shd w:fill="FFFFFF" w:val="clear"/>
          </w:tcPr>
          <w:p>
            <w:r>
              <w:rPr>
                <w:sz w:val="16"/>
              </w:rPr>
              <w:t>21,497</w:t>
            </w:r>
          </w:p>
        </w:tc>
        <w:tc>
          <w:tcPr>
            <w:tcW w:type="dxa" w:w="1134"/>
            <w:shd w:fill="FFC7CE" w:val="clear"/>
          </w:tcPr>
          <w:p>
            <w:r>
              <w:rPr>
                <w:b/>
                <w:color w:val="B40000"/>
                <w:sz w:val="16"/>
              </w:rPr>
              <w:t>-2.26%</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3,000</w:t>
            </w:r>
          </w:p>
        </w:tc>
        <w:tc>
          <w:tcPr>
            <w:tcW w:type="dxa" w:w="1417"/>
            <w:shd w:fill="FFFFFF" w:val="clear"/>
          </w:tcPr>
          <w:p>
            <w:r>
              <w:rPr>
                <w:sz w:val="16"/>
              </w:rPr>
              <w:t>2,925</w:t>
            </w:r>
          </w:p>
        </w:tc>
        <w:tc>
          <w:tcPr>
            <w:tcW w:type="dxa" w:w="1134"/>
            <w:shd w:fill="FFC7CE" w:val="clear"/>
          </w:tcPr>
          <w:p>
            <w:r>
              <w:rPr>
                <w:b/>
                <w:color w:val="B40000"/>
                <w:sz w:val="16"/>
              </w:rPr>
              <w:t>-2.49%</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9,400</w:t>
            </w:r>
          </w:p>
        </w:tc>
        <w:tc>
          <w:tcPr>
            <w:tcW w:type="dxa" w:w="1417"/>
            <w:shd w:fill="FFFFFF" w:val="clear"/>
          </w:tcPr>
          <w:p>
            <w:r>
              <w:rPr>
                <w:sz w:val="16"/>
              </w:rPr>
              <w:t>9,154</w:t>
            </w:r>
          </w:p>
        </w:tc>
        <w:tc>
          <w:tcPr>
            <w:tcW w:type="dxa" w:w="1134"/>
            <w:shd w:fill="FFC7CE" w:val="clear"/>
          </w:tcPr>
          <w:p>
            <w:r>
              <w:rPr>
                <w:b/>
                <w:color w:val="B40000"/>
                <w:sz w:val="16"/>
              </w:rPr>
              <w:t>-2.62%</w:t>
            </w:r>
          </w:p>
        </w:tc>
        <w:tc>
          <w:tcPr>
            <w:tcW w:type="dxa" w:w="1134"/>
            <w:shd w:fill="FFEB9C" w:val="clear"/>
          </w:tcPr>
          <w:p>
            <w:r>
              <w:rPr>
                <w:sz w:val="16"/>
              </w:rPr>
              <w:t>Moyenne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6,300</w:t>
            </w:r>
          </w:p>
        </w:tc>
        <w:tc>
          <w:tcPr>
            <w:tcW w:type="dxa" w:w="1417"/>
            <w:shd w:fill="FFFFFF" w:val="clear"/>
          </w:tcPr>
          <w:p>
            <w:r>
              <w:rPr>
                <w:sz w:val="16"/>
              </w:rPr>
              <w:t>6,128</w:t>
            </w:r>
          </w:p>
        </w:tc>
        <w:tc>
          <w:tcPr>
            <w:tcW w:type="dxa" w:w="1134"/>
            <w:shd w:fill="FFC7CE" w:val="clear"/>
          </w:tcPr>
          <w:p>
            <w:r>
              <w:rPr>
                <w:b/>
                <w:color w:val="B40000"/>
                <w:sz w:val="16"/>
              </w:rPr>
              <w:t>-2.73%</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8,005</w:t>
            </w:r>
          </w:p>
        </w:tc>
        <w:tc>
          <w:tcPr>
            <w:tcW w:type="dxa" w:w="1417"/>
            <w:shd w:fill="FFFFFF" w:val="clear"/>
          </w:tcPr>
          <w:p>
            <w:r>
              <w:rPr>
                <w:sz w:val="16"/>
              </w:rPr>
              <w:t>7,765</w:t>
            </w:r>
          </w:p>
        </w:tc>
        <w:tc>
          <w:tcPr>
            <w:tcW w:type="dxa" w:w="1134"/>
            <w:shd w:fill="FFC7CE" w:val="clear"/>
          </w:tcPr>
          <w:p>
            <w:r>
              <w:rPr>
                <w:b/>
                <w:color w:val="B40000"/>
                <w:sz w:val="16"/>
              </w:rPr>
              <w:t>-2.99%</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7,985</w:t>
            </w:r>
          </w:p>
        </w:tc>
        <w:tc>
          <w:tcPr>
            <w:tcW w:type="dxa" w:w="1417"/>
            <w:shd w:fill="FFFFFF" w:val="clear"/>
          </w:tcPr>
          <w:p>
            <w:r>
              <w:rPr>
                <w:sz w:val="16"/>
              </w:rPr>
              <w:t>7,725</w:t>
            </w:r>
          </w:p>
        </w:tc>
        <w:tc>
          <w:tcPr>
            <w:tcW w:type="dxa" w:w="1134"/>
            <w:shd w:fill="FFC7CE" w:val="clear"/>
          </w:tcPr>
          <w:p>
            <w:r>
              <w:rPr>
                <w:b/>
                <w:color w:val="B40000"/>
                <w:sz w:val="16"/>
              </w:rPr>
              <w:t>-3.26%</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7,800</w:t>
            </w:r>
          </w:p>
        </w:tc>
        <w:tc>
          <w:tcPr>
            <w:tcW w:type="dxa" w:w="1417"/>
            <w:shd w:fill="FFFFFF" w:val="clear"/>
          </w:tcPr>
          <w:p>
            <w:r>
              <w:rPr>
                <w:sz w:val="16"/>
              </w:rPr>
              <w:t>7,526</w:t>
            </w:r>
          </w:p>
        </w:tc>
        <w:tc>
          <w:tcPr>
            <w:tcW w:type="dxa" w:w="1134"/>
            <w:shd w:fill="FFC7CE" w:val="clear"/>
          </w:tcPr>
          <w:p>
            <w:r>
              <w:rPr>
                <w:b/>
                <w:color w:val="B40000"/>
                <w:sz w:val="16"/>
              </w:rPr>
              <w:t>-3.52%</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3,005</w:t>
            </w:r>
          </w:p>
        </w:tc>
        <w:tc>
          <w:tcPr>
            <w:tcW w:type="dxa" w:w="1417"/>
            <w:shd w:fill="FFFFFF" w:val="clear"/>
          </w:tcPr>
          <w:p>
            <w:r>
              <w:rPr>
                <w:sz w:val="16"/>
              </w:rPr>
              <w:t>2,890</w:t>
            </w:r>
          </w:p>
        </w:tc>
        <w:tc>
          <w:tcPr>
            <w:tcW w:type="dxa" w:w="1134"/>
            <w:shd w:fill="FFC7CE" w:val="clear"/>
          </w:tcPr>
          <w:p>
            <w:r>
              <w:rPr>
                <w:b/>
                <w:color w:val="B40000"/>
                <w:sz w:val="16"/>
              </w:rPr>
              <w:t>-3.82%</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2,150</w:t>
            </w:r>
          </w:p>
        </w:tc>
        <w:tc>
          <w:tcPr>
            <w:tcW w:type="dxa" w:w="1417"/>
            <w:shd w:fill="FFFFFF" w:val="clear"/>
          </w:tcPr>
          <w:p>
            <w:r>
              <w:rPr>
                <w:sz w:val="16"/>
              </w:rPr>
              <w:t>2,056</w:t>
            </w:r>
          </w:p>
        </w:tc>
        <w:tc>
          <w:tcPr>
            <w:tcW w:type="dxa" w:w="1134"/>
            <w:shd w:fill="FFC7CE" w:val="clear"/>
          </w:tcPr>
          <w:p>
            <w:r>
              <w:rPr>
                <w:b/>
                <w:color w:val="B40000"/>
                <w:sz w:val="16"/>
              </w:rPr>
              <w:t>-4.37%</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30,005</w:t>
            </w:r>
          </w:p>
        </w:tc>
        <w:tc>
          <w:tcPr>
            <w:tcW w:type="dxa" w:w="1417"/>
            <w:shd w:fill="FFFFFF" w:val="clear"/>
          </w:tcPr>
          <w:p>
            <w:r>
              <w:rPr>
                <w:sz w:val="16"/>
              </w:rPr>
              <w:t>28,686</w:t>
            </w:r>
          </w:p>
        </w:tc>
        <w:tc>
          <w:tcPr>
            <w:tcW w:type="dxa" w:w="1134"/>
            <w:shd w:fill="FFC7CE" w:val="clear"/>
          </w:tcPr>
          <w:p>
            <w:r>
              <w:rPr>
                <w:b/>
                <w:color w:val="B40000"/>
                <w:sz w:val="16"/>
              </w:rPr>
              <w:t>-4.40%</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8,800</w:t>
            </w:r>
          </w:p>
        </w:tc>
        <w:tc>
          <w:tcPr>
            <w:tcW w:type="dxa" w:w="1417"/>
            <w:shd w:fill="FFFFFF" w:val="clear"/>
          </w:tcPr>
          <w:p>
            <w:r>
              <w:rPr>
                <w:sz w:val="16"/>
              </w:rPr>
              <w:t>8,382</w:t>
            </w:r>
          </w:p>
        </w:tc>
        <w:tc>
          <w:tcPr>
            <w:tcW w:type="dxa" w:w="1134"/>
            <w:shd w:fill="FFC7CE" w:val="clear"/>
          </w:tcPr>
          <w:p>
            <w:r>
              <w:rPr>
                <w:b/>
                <w:color w:val="B40000"/>
                <w:sz w:val="16"/>
              </w:rPr>
              <w:t>-4.75%</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32,945</w:t>
            </w:r>
          </w:p>
        </w:tc>
        <w:tc>
          <w:tcPr>
            <w:tcW w:type="dxa" w:w="1417"/>
            <w:shd w:fill="FFFFFF" w:val="clear"/>
          </w:tcPr>
          <w:p>
            <w:r>
              <w:rPr>
                <w:sz w:val="16"/>
              </w:rPr>
              <w:t>31,379</w:t>
            </w:r>
          </w:p>
        </w:tc>
        <w:tc>
          <w:tcPr>
            <w:tcW w:type="dxa" w:w="1134"/>
            <w:shd w:fill="FFC7CE" w:val="clear"/>
          </w:tcPr>
          <w:p>
            <w:r>
              <w:rPr>
                <w:b/>
                <w:color w:val="B40000"/>
                <w:sz w:val="16"/>
              </w:rPr>
              <w:t>-4.75%</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8,000</w:t>
            </w:r>
          </w:p>
        </w:tc>
        <w:tc>
          <w:tcPr>
            <w:tcW w:type="dxa" w:w="1417"/>
            <w:shd w:fill="FFFFFF" w:val="clear"/>
          </w:tcPr>
          <w:p>
            <w:r>
              <w:rPr>
                <w:sz w:val="16"/>
              </w:rPr>
              <w:t>7,603</w:t>
            </w:r>
          </w:p>
        </w:tc>
        <w:tc>
          <w:tcPr>
            <w:tcW w:type="dxa" w:w="1134"/>
            <w:shd w:fill="FFC7CE" w:val="clear"/>
          </w:tcPr>
          <w:p>
            <w:r>
              <w:rPr>
                <w:b/>
                <w:color w:val="B40000"/>
                <w:sz w:val="16"/>
              </w:rPr>
              <w:t>-4.96%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3,190</w:t>
            </w:r>
          </w:p>
        </w:tc>
        <w:tc>
          <w:tcPr>
            <w:tcW w:type="dxa" w:w="1417"/>
            <w:shd w:fill="FFFFFF" w:val="clear"/>
          </w:tcPr>
          <w:p>
            <w:r>
              <w:rPr>
                <w:sz w:val="16"/>
              </w:rPr>
              <w:t>3,004</w:t>
            </w:r>
          </w:p>
        </w:tc>
        <w:tc>
          <w:tcPr>
            <w:tcW w:type="dxa" w:w="1134"/>
            <w:shd w:fill="FFC7CE" w:val="clear"/>
          </w:tcPr>
          <w:p>
            <w:r>
              <w:rPr>
                <w:b/>
                <w:color w:val="B40000"/>
                <w:sz w:val="16"/>
              </w:rPr>
              <w:t>-5.83%</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1,870</w:t>
            </w:r>
          </w:p>
        </w:tc>
        <w:tc>
          <w:tcPr>
            <w:tcW w:type="dxa" w:w="1417"/>
            <w:shd w:fill="FFFFFF" w:val="clear"/>
          </w:tcPr>
          <w:p>
            <w:r>
              <w:rPr>
                <w:sz w:val="16"/>
              </w:rPr>
              <w:t>1,752</w:t>
            </w:r>
          </w:p>
        </w:tc>
        <w:tc>
          <w:tcPr>
            <w:tcW w:type="dxa" w:w="1134"/>
            <w:shd w:fill="FFC7CE" w:val="clear"/>
          </w:tcPr>
          <w:p>
            <w:r>
              <w:rPr>
                <w:b/>
                <w:color w:val="B40000"/>
                <w:sz w:val="16"/>
              </w:rPr>
              <w:t>-6.34%</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2,285</w:t>
            </w:r>
          </w:p>
        </w:tc>
        <w:tc>
          <w:tcPr>
            <w:tcW w:type="dxa" w:w="1417"/>
            <w:shd w:fill="FFFFFF" w:val="clear"/>
          </w:tcPr>
          <w:p>
            <w:r>
              <w:rPr>
                <w:sz w:val="16"/>
              </w:rPr>
              <w:t>2,132</w:t>
            </w:r>
          </w:p>
        </w:tc>
        <w:tc>
          <w:tcPr>
            <w:tcW w:type="dxa" w:w="1134"/>
            <w:shd w:fill="FFC7CE" w:val="clear"/>
          </w:tcPr>
          <w:p>
            <w:r>
              <w:rPr>
                <w:b/>
                <w:color w:val="B40000"/>
                <w:sz w:val="16"/>
              </w:rPr>
              <w:t>-6.68%</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6,100</w:t>
            </w:r>
          </w:p>
        </w:tc>
        <w:tc>
          <w:tcPr>
            <w:tcW w:type="dxa" w:w="1417"/>
            <w:shd w:fill="FFFFFF" w:val="clear"/>
          </w:tcPr>
          <w:p>
            <w:r>
              <w:rPr>
                <w:sz w:val="16"/>
              </w:rPr>
              <w:t>5,511</w:t>
            </w:r>
          </w:p>
        </w:tc>
        <w:tc>
          <w:tcPr>
            <w:tcW w:type="dxa" w:w="1134"/>
            <w:shd w:fill="FFC7CE" w:val="clear"/>
          </w:tcPr>
          <w:p>
            <w:r>
              <w:rPr>
                <w:b/>
                <w:color w:val="B40000"/>
                <w:sz w:val="16"/>
              </w:rPr>
              <w:t>-9.66%</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20,980</w:t>
            </w:r>
          </w:p>
        </w:tc>
        <w:tc>
          <w:tcPr>
            <w:tcW w:type="dxa" w:w="1417"/>
            <w:shd w:fill="FFFFFF" w:val="clear"/>
          </w:tcPr>
          <w:p>
            <w:r>
              <w:rPr>
                <w:sz w:val="16"/>
              </w:rPr>
              <w:t>18,790</w:t>
            </w:r>
          </w:p>
        </w:tc>
        <w:tc>
          <w:tcPr>
            <w:tcW w:type="dxa" w:w="1134"/>
            <w:shd w:fill="FFC7CE" w:val="clear"/>
          </w:tcPr>
          <w:p>
            <w:r>
              <w:rPr>
                <w:b/>
                <w:color w:val="B40000"/>
                <w:sz w:val="16"/>
              </w:rPr>
              <w:t>-10.44%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8,250</w:t>
            </w:r>
          </w:p>
        </w:tc>
        <w:tc>
          <w:tcPr>
            <w:tcW w:type="dxa" w:w="1417"/>
            <w:shd w:fill="FFFFFF" w:val="clear"/>
          </w:tcPr>
          <w:p>
            <w:r>
              <w:rPr>
                <w:sz w:val="16"/>
              </w:rPr>
              <w:t>7,163</w:t>
            </w:r>
          </w:p>
        </w:tc>
        <w:tc>
          <w:tcPr>
            <w:tcW w:type="dxa" w:w="1134"/>
            <w:shd w:fill="FFC7CE" w:val="clear"/>
          </w:tcPr>
          <w:p>
            <w:r>
              <w:rPr>
                <w:b/>
                <w:color w:val="B40000"/>
                <w:sz w:val="16"/>
              </w:rPr>
              <w:t>-13.17%</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34.81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3,267 titres</w:t>
            </w:r>
          </w:p>
        </w:tc>
        <w:tc>
          <w:tcPr>
            <w:tcW w:type="dxa" w:w="2268"/>
            <w:shd w:fill="FFF2CC" w:val="clear"/>
          </w:tcPr>
          <w:p>
            <w:r>
              <w:rPr>
                <w:b/>
                <w:color w:val="503200"/>
                <w:sz w:val="16"/>
              </w:rPr>
              <w:t xml:space="preserve">Cours actuel : </w:t>
            </w:r>
            <w:r>
              <w:rPr>
                <w:color w:val="000000"/>
                <w:sz w:val="17"/>
              </w:rPr>
              <w:t>3,190 FCFA</w:t>
            </w:r>
          </w:p>
          <w:p>
            <w:r>
              <w:rPr>
                <w:b/>
                <w:color w:val="503200"/>
                <w:sz w:val="16"/>
              </w:rPr>
              <w:t xml:space="preserve">Var. 100 jours : </w:t>
            </w:r>
            <w:r>
              <w:rPr>
                <w:b/>
                <w:color w:val="007800"/>
                <w:sz w:val="17"/>
              </w:rPr>
              <w:t>+12.13%</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10.80% (Moyenne) — μ=3,351 FCFA, σ=362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β=0.3104 (Défensif) — Cov=0.000023, Var(idx)=0.000073, ρ=0.094,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3,052</w:t>
            </w:r>
          </w:p>
        </w:tc>
        <w:tc>
          <w:tcPr>
            <w:tcW w:type="dxa" w:w="1440"/>
            <w:shd w:fill="FAFAFA" w:val="clear"/>
          </w:tcPr>
          <w:p>
            <w:r>
              <w:rPr>
                <w:b/>
                <w:sz w:val="17"/>
              </w:rPr>
              <w:t>3,185</w:t>
            </w:r>
          </w:p>
        </w:tc>
        <w:tc>
          <w:tcPr>
            <w:tcW w:type="dxa" w:w="1440"/>
            <w:shd w:fill="FAFAFA" w:val="clear"/>
          </w:tcPr>
          <w:p>
            <w:r>
              <w:rPr>
                <w:sz w:val="17"/>
              </w:rPr>
              <w:t>3,317</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2,969</w:t>
            </w:r>
          </w:p>
        </w:tc>
        <w:tc>
          <w:tcPr>
            <w:tcW w:type="dxa" w:w="1440"/>
            <w:shd w:fill="FAFAFA" w:val="clear"/>
          </w:tcPr>
          <w:p>
            <w:r>
              <w:rPr>
                <w:b/>
                <w:sz w:val="17"/>
              </w:rPr>
              <w:t>3,155</w:t>
            </w:r>
          </w:p>
        </w:tc>
        <w:tc>
          <w:tcPr>
            <w:tcW w:type="dxa" w:w="1440"/>
            <w:shd w:fill="FAFAFA" w:val="clear"/>
          </w:tcPr>
          <w:p>
            <w:r>
              <w:rPr>
                <w:sz w:val="17"/>
              </w:rPr>
              <w:t>3,341</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2,908</w:t>
            </w:r>
          </w:p>
        </w:tc>
        <w:tc>
          <w:tcPr>
            <w:tcW w:type="dxa" w:w="1440"/>
            <w:shd w:fill="FAFAFA" w:val="clear"/>
          </w:tcPr>
          <w:p>
            <w:r>
              <w:rPr>
                <w:b/>
                <w:sz w:val="17"/>
              </w:rPr>
              <w:t>3,135</w:t>
            </w:r>
          </w:p>
        </w:tc>
        <w:tc>
          <w:tcPr>
            <w:tcW w:type="dxa" w:w="1440"/>
            <w:shd w:fill="FAFAFA" w:val="clear"/>
          </w:tcPr>
          <w:p>
            <w:r>
              <w:rPr>
                <w:sz w:val="17"/>
              </w:rPr>
              <w:t>3,361</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2,855</w:t>
            </w:r>
          </w:p>
        </w:tc>
        <w:tc>
          <w:tcPr>
            <w:tcW w:type="dxa" w:w="1440"/>
            <w:shd w:fill="FFDCE0" w:val="clear"/>
          </w:tcPr>
          <w:p>
            <w:r>
              <w:rPr>
                <w:b/>
                <w:sz w:val="17"/>
              </w:rPr>
              <w:t>3,115</w:t>
            </w:r>
          </w:p>
        </w:tc>
        <w:tc>
          <w:tcPr>
            <w:tcW w:type="dxa" w:w="1440"/>
            <w:shd w:fill="FFDCE0" w:val="clear"/>
          </w:tcPr>
          <w:p>
            <w:r>
              <w:rPr>
                <w:sz w:val="17"/>
              </w:rPr>
              <w:t>3,374</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2,807</w:t>
            </w:r>
          </w:p>
        </w:tc>
        <w:tc>
          <w:tcPr>
            <w:tcW w:type="dxa" w:w="1440"/>
            <w:shd w:fill="FFDCE0" w:val="clear"/>
          </w:tcPr>
          <w:p>
            <w:r>
              <w:rPr>
                <w:b/>
                <w:sz w:val="17"/>
              </w:rPr>
              <w:t>3,095</w:t>
            </w:r>
          </w:p>
        </w:tc>
        <w:tc>
          <w:tcPr>
            <w:tcW w:type="dxa" w:w="1440"/>
            <w:shd w:fill="FFDCE0" w:val="clear"/>
          </w:tcPr>
          <w:p>
            <w:r>
              <w:rPr>
                <w:sz w:val="17"/>
              </w:rPr>
              <w:t>3,383</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2,762</w:t>
            </w:r>
          </w:p>
        </w:tc>
        <w:tc>
          <w:tcPr>
            <w:tcW w:type="dxa" w:w="1440"/>
            <w:shd w:fill="FFDCE0" w:val="clear"/>
          </w:tcPr>
          <w:p>
            <w:r>
              <w:rPr>
                <w:b/>
                <w:sz w:val="17"/>
              </w:rPr>
              <w:t>3,075</w:t>
            </w:r>
          </w:p>
        </w:tc>
        <w:tc>
          <w:tcPr>
            <w:tcW w:type="dxa" w:w="1440"/>
            <w:shd w:fill="FFDCE0" w:val="clear"/>
          </w:tcPr>
          <w:p>
            <w:r>
              <w:rPr>
                <w:sz w:val="17"/>
              </w:rPr>
              <w:t>3,389</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2,720</w:t>
            </w:r>
          </w:p>
        </w:tc>
        <w:tc>
          <w:tcPr>
            <w:tcW w:type="dxa" w:w="1440"/>
            <w:shd w:fill="FFDCE0" w:val="clear"/>
          </w:tcPr>
          <w:p>
            <w:r>
              <w:rPr>
                <w:b/>
                <w:sz w:val="17"/>
              </w:rPr>
              <w:t>3,057</w:t>
            </w:r>
          </w:p>
        </w:tc>
        <w:tc>
          <w:tcPr>
            <w:tcW w:type="dxa" w:w="1440"/>
            <w:shd w:fill="FFDCE0" w:val="clear"/>
          </w:tcPr>
          <w:p>
            <w:r>
              <w:rPr>
                <w:sz w:val="17"/>
              </w:rPr>
              <w:t>3,393</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2,680</w:t>
            </w:r>
          </w:p>
        </w:tc>
        <w:tc>
          <w:tcPr>
            <w:tcW w:type="dxa" w:w="1440"/>
            <w:shd w:fill="FFDCE0" w:val="clear"/>
          </w:tcPr>
          <w:p>
            <w:r>
              <w:rPr>
                <w:b/>
                <w:sz w:val="17"/>
              </w:rPr>
              <w:t>3,038</w:t>
            </w:r>
          </w:p>
        </w:tc>
        <w:tc>
          <w:tcPr>
            <w:tcW w:type="dxa" w:w="1440"/>
            <w:shd w:fill="FFDCE0" w:val="clear"/>
          </w:tcPr>
          <w:p>
            <w:r>
              <w:rPr>
                <w:sz w:val="17"/>
              </w:rPr>
              <w:t>3,396</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2,643</w:t>
            </w:r>
          </w:p>
        </w:tc>
        <w:tc>
          <w:tcPr>
            <w:tcW w:type="dxa" w:w="1440"/>
            <w:shd w:fill="FFDCE0" w:val="clear"/>
          </w:tcPr>
          <w:p>
            <w:r>
              <w:rPr>
                <w:b/>
                <w:sz w:val="17"/>
              </w:rPr>
              <w:t>3,021</w:t>
            </w:r>
          </w:p>
        </w:tc>
        <w:tc>
          <w:tcPr>
            <w:tcW w:type="dxa" w:w="1440"/>
            <w:shd w:fill="FFDCE0" w:val="clear"/>
          </w:tcPr>
          <w:p>
            <w:r>
              <w:rPr>
                <w:sz w:val="17"/>
              </w:rPr>
              <w:t>3,399</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2,608</w:t>
            </w:r>
          </w:p>
        </w:tc>
        <w:tc>
          <w:tcPr>
            <w:tcW w:type="dxa" w:w="1440"/>
            <w:shd w:fill="FFDCE0" w:val="clear"/>
          </w:tcPr>
          <w:p>
            <w:r>
              <w:rPr>
                <w:b/>
                <w:sz w:val="17"/>
              </w:rPr>
              <w:t>3,004</w:t>
            </w:r>
          </w:p>
        </w:tc>
        <w:tc>
          <w:tcPr>
            <w:tcW w:type="dxa" w:w="1440"/>
            <w:shd w:fill="FFDCE0" w:val="clear"/>
          </w:tcPr>
          <w:p>
            <w:r>
              <w:rPr>
                <w:sz w:val="17"/>
              </w:rPr>
              <w:t>3,400</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34,81 milliards FCFA, ABJC se situe dans la catégorie des valeurs moyennes de la cote BRVM, ce qui traduit une liquidité limitée mais une certaine stabilité institutionnelle. Le BPA de 124 FCFA/action indique que chaque titre génère un bénéfice unitaire relativement modeste, ce qui, rapporté au cours actuel de 3 190 FCFA, aboutit à un PER de 25,8x — nettement supérieur à la moyenne du marché BRVM (8-12x), signalant que les investisseurs paient une prime élevée pour les bénéfices, soit en anticipation d'une croissance future, soit en raison d'une surévaluation. Le ratio P/B de 6,75x, très au-dessus du seuil de 4x, confirme cette valorisation exigeante : le marché valorise l'entreprise à près de 7 fois sa valeur comptable, ce qui suppose une forte confiance dans la qualité de ses actifs immatériels et sa rentabilité future. Enfin, l'EV/EBITDA de 13,0x, dans la fourchette haute (10-15x), indique que la valeur d'entreprise incluant la dette reste chère par rapport à la capacité opérationnelle de génération de cash, renforçant le diagnostic d'une valorisation tendue.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affiche une variation totale positive de +12,13%, mais la dernière séance (J-1) enregistre un repli marqué de -3,04%, signalant une pression vendeuse récente. Le titre a évolué dans un range large de 2 800 FCFA (plus bas) à 4 095 FCFA (plus haut), soit une amplitude de près de 46%, ce qui témoigne d'une forte volatilité intra-période. La tendance générale reste haussière sur la période, mais le cours actuel (3 190 FCFA) se situe désormais sous sa moyenne (3 351 FCFA) et sa médiane (3 278 FCFA), indiquant une distribution légèrement asymétrique avec un skewness positif de 0,595 — plus de journées de baisse sous la moyenne, ce qui suggère une pression baissière récente. L'écart-type de 364 FCFA (CV = 10,9%) traduit une dispersion modérée du cours autour de sa moyenne, tandis que le kurtosis de -0,804 (mésokurtique) indique une distribution proche de la normale, sans risque excessif de pics extrêmes. La volatilité annualisée de 45,1% classe le titre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(3 720 FCFA) et la MM50 (3 552,3 FCFA) se situent toutes deux au-dessus du cours actuel (3 190 FCFA), ce qui place le titre en position baissière à court et moyen terme. Cependant, la décision technique affichée est "Achat", probablement en anticipation d'un rebond technique après la correction récente, mais la configuration actuelle (prix sous les deux moyennes) reste défavorable.</w:t>
      </w:r>
    </w:p>
    <w:p>
      <w:pPr>
        <w:spacing w:after="120" w:line="276" w:lineRule="auto"/>
      </w:pPr>
      <w:r>
        <w:t>**Bandes de Bollinger** : Le cours actuel (3 190 FCFA) se situe entre la borne inférieure (3 075,26 FCFA) et la borne supérieure (4 364,74 FCFA), mais plus proche de la borne basse, ce qui indique une pression baissière et une volatilité en expansion. La décision "Neutre" reflète l'absence de signal clair : le titre n'est ni en surachat ni en survente selon ce seul indicateur.</w:t>
      </w:r>
    </w:p>
    <w:p>
      <w:pPr>
        <w:spacing w:after="120" w:line="276" w:lineRule="auto"/>
      </w:pPr>
      <w:r>
        <w:t>**MACD** : La valeur du MACD (-122,26) est inférieure à son signal (-34,02), confirmant un momentum baissier avec une divergence négative. La décision "Vente" est cohérente avec cette configuration, qui suggère que la pression vendeuse pourrait se poursuivre à court terme.</w:t>
      </w:r>
    </w:p>
    <w:p>
      <w:pPr>
        <w:spacing w:after="120" w:line="276" w:lineRule="auto"/>
      </w:pPr>
      <w:r>
        <w:t>**RSI** : Avec une valeur de 16,96, le RSI est largement en dessous du seuil de survente (30), ce qui indique une condition de survente extrême. La décision "Achat" est justifiée par un potentiel rebond technique à court terme, mais la faiblesse du momentum sous-jacent (MACD baissier) incite à la prudence.</w:t>
      </w:r>
    </w:p>
    <w:p>
      <w:pPr>
        <w:spacing w:after="120" w:line="276" w:lineRule="auto"/>
      </w:pPr>
      <w:r>
        <w:t>**Stochastique** : Le %K (0,0) et le %D (2,92) sont tous deux en zone de survente extrême, avec un croisement potentiel à venir. La décision "Achat" suggère qu'un retournement haussier pourrait se produire, mais la faiblesse actuelle des indicateurs de momentum tempère cette anticipation.</w:t>
      </w:r>
    </w:p>
    <w:p>
      <w:pPr>
        <w:spacing w:after="120" w:line="276" w:lineRule="auto"/>
      </w:pPr>
      <w:r>
        <w:t>**Conclusion technique** : Les indicateurs techniques présentent une divergence notable : les oscillateurs (RSI, Stochastique) signalent une survente extrême propice à un rebond, tandis que les indicateurs de tendance (MM, MACD) confirment une dynamique baissière. Cette configuration suggère un possible rebond technique à court terme, mais la tendance de fond reste fragile, et la prudence est de mise tant que le cours ne repasse pas au-dessus de la MM20 (3 720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Servair Abidjan a réalisé un chiffre d'affaires de 13,298 milliards FCFA, en croissance de 6,67% par rapport à 2024, porté par la dynamique du trafic aérien et la diversification vers les activités non aériennes. Le résultat net s'établit à 1,351 milliard FCFA, en baisse de 12,1% (contre 1,515 milliard en 2024), principalement en raison d'une charge d'impôt en forte hausse (+46,7% à 839,75 millions FCFA). La rentabilité reste solide avec un ROE de 26,18% (excellent, &gt;15%) et un ROA de 14,64%, tandis que la marge nette se maintient à 10,16%. La structure financière est saine : autonomie financière de 55,92%, endettement financier quasi nul (dette financière totale de 65,89 millions FCFA), et une trésorerie nette de 4,035 milliards FCFA. Le BFR est négatif (257,45 millions FCFA), ce qui est favorable, mais le délai client de 70,10 jours reste élevé et constitue un point de vigilance pour la trésorerie. La liquidité générale (218,37%) et immédiate (111,27%) sont confortables.</w:t>
      </w:r>
    </w:p>
    <w:p>
      <w:pPr>
        <w:spacing w:after="120" w:line="276" w:lineRule="auto"/>
      </w:pPr>
      <w:r>
        <w:t>**Adaptation au secteur (entreprise)** : Les délais fournisseurs (92,11 jours) sont supérieurs aux délais clients (70,10 jours), ce qui procure un avantage de trésorerie, mais le délai client élevé expose l'entreprise à un risque de recouvrement. La rotation des actifs (144,13%) est correcte, et la couverture des intérêts (36 092%) est exceptionnellement élevée, reflétant un endettement financier quasi inexistant.</w:t>
      </w:r>
    </w:p>
    <w:p>
      <w:pPr>
        <w:spacing w:after="120" w:line="276" w:lineRule="auto"/>
      </w:pPr>
      <w:r>
        <w:t>**Estimations basées sur les rapports trimestriels** : Le rapport T1 2026 (publié le 30 avril 2026) indique un chiffre d'affaires de 3,237 milliards FCFA (+1,9% vs T1 2025), mais un résultat net en chute de 35,6% à 222,6 millions FCFA, en raison d'ajustements de redevances aéroportuaires et de tensions géopolitiques. Sur la base de ce trimestre, on estime que l'exercice 2026 pourrait afficher une croissance modérée du CA (+2% à +3%) mais une pression continue sur la rentabilité, avec un résultat net annuel potentiellement en baisse de 20% à 30% si la tendance se maintient. Le rapport T3 2025 (30 septembre 2025) montrait déjà un redressement avec un CA trimestriel de 10,218 milliards FCFA (+10,3%) et un résultat net de 1,325 milliard FCFA (+17,1%), mais le T1 2026 confirme une détérioration récente.</w:t>
      </w:r>
    </w:p>
    <w:p>
      <w:pPr>
        <w:spacing w:after="120" w:line="276" w:lineRule="auto"/>
      </w:pPr>
      <w:r>
        <w:t>**Recommandation fondamentale** : La société présente des fondamentaux solides (ROE élevé, trésorerie confortable, endettement nul), mais la dégradation récente de la rentabilité (T1 2026) et la valorisation exigeante (PER 25,8x) incitent à la prudence. Le risque principal réside dans la poursuite de la compression des marges et l'impact des facteurs exogènes (tensions géopolitiques, ajustements réglementaires).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tendue : PER de 25,8x (bien au-dessus de la moyenne BRVM), P/B de 6,75x et EV/EBITDA de 13,0x indiquent que le marché intègre déjà une prime de croissance significative, ce qui limite le potentiel d'appréciation à court terme. Le comportement du cours (Partie 1) montre une tendance haussière sur 100 jours (+12,13%) mais une correction récente (-3,04% en J-1) et une volatilité élevée (45,1%), avec un skewness positif suggérant une pression baissière sous la moyenne. Les signaux techniques (Partie 2) sont divergents : les oscillateurs (RSI à 16,96, Stochastique à 0,0) signalent une survente extrême propice à un rebond, mais les MM et le MACD confirment une tendance baissière, créant une incertitude sur la direction à court terme. Les fondamentaux (Partie 3) restent solides (ROE 26,18%, trésorerie nette de 4,035 milliards FCFA), mais la dégradation de la rentabilité au T1 2026 (-35,6% de résultat net) et la valorisation élevée pèsent sur les perspectives. Les prédictions IA (J+1 à J+10) anticipent une poursuite de la baisse jusqu'à 3 095 FCFA d'ici le 16 octobre 2026, ce qui contredit les signaux de survente technique et suggère que la pression baissière pourrait persister à court terme.</w:t>
      </w:r>
    </w:p>
    <w:p>
      <w:pPr>
        <w:spacing w:after="120" w:line="276" w:lineRule="auto"/>
      </w:pPr>
      <w:r>
        <w:t>**Recommandation finale** : **CONSERVER**. La convergence entre la valorisation exigeante, la dégradation récente des fondamentaux et les prédictions baissières l'emporte sur les signaux de survente technique, qui pourraient offrir un rebond éphémère. Le niveau de confiance est **Moyen**, car les fondamentaux à long terme restent solides mais les incertitudes à court terme sont élevées. Le risque global est **Élevé** en raison de la volatilité du titre (45,1%) et de la sensibilité aux facteurs exogènes. L'horizon d'investissement optimal est **moyen terme (3-12 mois)**, en attendant une clarification sur la trajectoire de la rentabilité et une normalisation des conditions d'exploitation.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35,556 titres</w:t>
            </w:r>
          </w:p>
        </w:tc>
        <w:tc>
          <w:tcPr>
            <w:tcW w:type="dxa" w:w="2268"/>
            <w:shd w:fill="FFF2CC" w:val="clear"/>
          </w:tcPr>
          <w:p>
            <w:r>
              <w:rPr>
                <w:b/>
                <w:color w:val="503200"/>
                <w:sz w:val="16"/>
              </w:rPr>
              <w:t xml:space="preserve">Cours actuel : </w:t>
            </w:r>
            <w:r>
              <w:rPr>
                <w:color w:val="000000"/>
                <w:sz w:val="17"/>
              </w:rPr>
              <w:t>10,400 FCFA</w:t>
            </w:r>
          </w:p>
          <w:p>
            <w:r>
              <w:rPr>
                <w:b/>
                <w:color w:val="503200"/>
                <w:sz w:val="16"/>
              </w:rPr>
              <w:t xml:space="preserve">Var. 100 jours : </w:t>
            </w:r>
            <w:r>
              <w:rPr>
                <w:b/>
                <w:color w:val="007800"/>
                <w:sz w:val="17"/>
              </w:rPr>
              <w:t>+43.35%</w:t>
            </w:r>
          </w:p>
          <w:p>
            <w:r>
              <w:rPr>
                <w:b/>
                <w:color w:val="503200"/>
                <w:sz w:val="16"/>
              </w:rPr>
              <w:t xml:space="preserve">Plus haut 100j : </w:t>
            </w:r>
            <w:r>
              <w:rPr>
                <w:color w:val="000000"/>
                <w:sz w:val="17"/>
              </w:rPr>
              <w:t>10,400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19.2/100 → Faible</w:t>
      </w:r>
    </w:p>
    <w:p>
      <w:pPr>
        <w:spacing w:before="40" w:after="80"/>
      </w:pPr>
      <w:r>
        <w:rPr>
          <w:rFonts w:ascii="Courier New" w:hAnsi="Courier New"/>
          <w:color w:val="006400"/>
          <w:sz w:val="18"/>
        </w:rPr>
        <w:t>███░░░░░░░░░░░░░░░░░  19.2/100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10.35% (Moyenne) — μ=9,056 FCFA, σ=937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β≈1.03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β≈1.03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35,556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**RAPPORT D'ANALYSE FINANCIÈRE — BBGC (BRIDGE BANK GROUP COTE D'IVOIRE)**</w:t>
        <w:br/>
        <w:t>*Marché : BRVM | Secteur : Banque | Date d'analyse :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520,00 Mds FCFA, BBGC s'impose comme l'une des plus importantes capitalisations du compartiment bancaire de la BRVM, ce qui témoigne de la confiance du marché envers cette valeur fraîchement introduite. Le BPA de 544 FCFA/action signifie que chaque titre génère un bénéfice net de 544 FCFA, un niveau de rentabilité par action solide pour le secteur. Le PER de 19,1x se situe nettement au-dessus de la moyenne du marché BRVM (généralement comprise entre 8 et 12x), ce qui indique que les investisseurs paient une prime de croissance significative pour ce titre, justifiée par la dynamique exceptionnelle de la banque. Le P/B de 4,95x confirme cette valorisation exigeante, le marché valorisant la banque à près de cinq fois sa valeur comptable, reflétant la forte anticipation de création de valeur future. Enfin, l'EV/EBITDA de 17,0x, supérieur au seuil de 15x, traduit une valorisation tendue par rapport à la capacité opérationnelle, ce qui implique que la croissance devra se matérialiser pour justifier ces niveaux.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BBGC a enregistré une progression spectaculaire de +43,35%, avec une dernière séance (J-1) encore positive de +1,96%, confirmant un momentum haussier intact. Le cours actuel de 10 400 FCFA correspond exactement au plus haut de la période, tandis que le plus bas a été touché à 7 255 FCFA, ce qui définit un range de trading très large de 3 145 FCFA (soit environ 43% d'amplitude), caractéristique d'un titre en forte tendance haussière. La moyenne du cours s'établit à 9 056 FCFA contre une médiane de 9 000 FCFA, un écart modeste qui suggère une distribution globalement équilibrée, bien que le skewness de -0,369 indique une légère asymétrie vers la gauche (quelques séances de baisse marquée). L'écart-type de 983 FCFA avec un coefficient de variation de 10,9% traduit une dispersion modérée du cours autour de sa moyenne, tandis que le kurtosis de -0,757 (mésokurtique) indique une distribution proche de la normale, sans risque excessif de pics extrêmes. La volatilité annualisée de 52,4% classe ce titre dans la catégorie à volatilité élevée (&gt;30%), ce qui est cohérent avec une valeur récemment introduite en bourse et en phase de découverte de prix. Cette combinaison d'une tendance haussière forte, d'une volatilité élevée et d'une distribution relativement normale suggère un titre dynamique mais nécessitant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valeurs des MM20 et MM50 ne sont pas disponibles (nan), ce qui s'explique probablement par l'historique de cotation encore récent de BBGC sur la BRVM. En l'absence de ces références, la décision technique reste indéterminée, mais la position du cours au plus haut absolu de la période suggère une dynamique haussière sous-jacente forte.</w:t>
      </w:r>
    </w:p>
    <w:p>
      <w:pPr>
        <w:spacing w:after="120" w:line="276" w:lineRule="auto"/>
      </w:pPr>
      <w:r>
        <w:t>**Bandes de Bollinger** : Les bornes supérieure et inférieure ne sont pas calculées (nan), empêchant toute analyse de positionnement relatif du cours. Le prix actuel de 10 400 FCFA étant au plus haut, on peut néanmoins présumer que le cours évoluerait près de la borne supérieure si les bandes étaient disponibles, signalant une potentielle tension acheteuse.</w:t>
      </w:r>
    </w:p>
    <w:p>
      <w:pPr>
        <w:spacing w:after="120" w:line="276" w:lineRule="auto"/>
      </w:pPr>
      <w:r>
        <w:t>**MACD** : Les valeurs du MACD et de son signal sont indisponibles (nan), rendant impossible l'analyse de la divergence et du momentum. La décision reste donc neutre par défaut, bien que la progression récente du cours plaide pour un momentum positif.</w:t>
      </w:r>
    </w:p>
    <w:p>
      <w:pPr>
        <w:spacing w:after="120" w:line="276" w:lineRule="auto"/>
      </w:pPr>
      <w:r>
        <w:t>**RSI** : La valeur du RSI n'est pas fournie (nan), ce qui empêche de déterminer si le titre est en zone de surachat (&gt;70) ou de survente (&lt;30). Compte tenu de la hausse de +43% sur 100 jours, un RSI élevé serait plausible, invitant à la prudence sur les points d'entrée.</w:t>
      </w:r>
    </w:p>
    <w:p>
      <w:pPr>
        <w:spacing w:after="120" w:line="276" w:lineRule="auto"/>
      </w:pPr>
      <w:r>
        <w:t>**Stochastique** : Les valeurs %K et %D sont indisponibles (nan), ne permettant pas d'identifier un éventuel croisement ou une divergence. La décision reste indéterminée.</w:t>
      </w:r>
    </w:p>
    <w:p>
      <w:pPr>
        <w:spacing w:after="120" w:line="276" w:lineRule="auto"/>
      </w:pPr>
      <w:r>
        <w:t>**Conclusion technique** : L'ensemble des indicateurs techniques étant indisponibles (nan), aucune conclusion technique fiable ne peut être formulée sur la base des outils classiques. Toutefois, la configuration du cours — au plus haut absolu après une hausse de +43% — suggère une tendance haussière robuste mais potentiellement vulnérable à une correction technique. L'absence d'historique suffisant pour calculer ces indicateurs est une limite inhérente aux valeurs récemment introduites en bourse, et il conviendra de surveiller leur apparition dans les prochaines semaines pour affiner le timing d'investissement.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BBGC affiche un Produit Net Bancaire (PNB) de 67,824 Mds FCFA, un résultat net de 27,197 Mds FCFA, un ROE exceptionnel de 25,87% (largement supérieur au seuil de 15% considéré comme excellent) et un ROA de 1,91%. La marge nette de 40,10% et la marge opérationnelle de 48,12% témoignent d'une rentabilité remarquable. Le coefficient d'exploitation de 41,85% place la banque dans la catégorie des établissements très efficaces (&lt;50%), et le coût du risque de 0,8853% indique un portefeuille de crédits sain. Le taux de croissance du PNB de 15,71% confirme une dynamique commerciale soutenue. La structure financière montre une autonomie financière de 7,37% (faible, mais caractéristique du modèle bancaire) et un ratio d'endettement de 1257,65%, typique d'une banque dont les dépôts clientèle (1 138,119 Mds FCFA) constituent la principale ressource. Le ratio dépôts/crédits s'établit à environ 148% (1 138 Mds de dépôts pour 768,6 Mds de crédits), traduisant une surliquidité confortable et une capacité de transformation maîtrisée.</w:t>
      </w:r>
    </w:p>
    <w:p>
      <w:pPr>
        <w:spacing w:after="120" w:line="276" w:lineRule="auto"/>
      </w:pPr>
      <w:r>
        <w:t>**Estimations basées sur les rapports semestriels** : Le rapport S1 2026 (publié le 31/12/2026, analysé par DeepSeek et Gemini-Vision le 28/09/2026) révèle un PNB de 37,7 Mds FCFA au premier semestre 2026, en hausse de +25% sur un an, et un résultat net de 15,2 Mds FCFA (+46%). Le coefficient d'exploitation s'améliore à 40,3% (contre 43,3% au S1 2025), et les dépôts clientèle bondissent de +46% à 1 318,3 Mds FCFA tandis que les crédits progressent de +28% à 823,9 Mds FCFA. Sur la base de ces performances semestrielles, on peut estimer que l'exercice 2026 devrait afficher un PNB annualisé d'environ 75-78 Mds FCFA et un résultat net de l'ordre de 30-32 Mds FCFA, soit une croissance annuelle estimée de +15% à +18% par rapport à 2025. La succursale au Burkina Faso (avis favorable de la Commission Bancaire en mai 2026) et le développement du réseau (Riviera Palmeraie, Bassam, Korhogo) devraient soutenir cette dynamique.</w:t>
      </w:r>
    </w:p>
    <w:p>
      <w:pPr>
        <w:spacing w:after="120" w:line="276" w:lineRule="auto"/>
      </w:pPr>
      <w:r>
        <w:t>**Recommandation fondamentale** : BBGC présente des fondamentaux bancaires de très haute qualité — rentabilité exceptionnelle (ROE 25,87%), efficacité opérationnelle remarquable (coefficient 41,85%), croissance soutenue (+15,71% de PNB en 2025, +25% au S1 2026) et portefeuille de crédits sain (coût du risque 0,89%). Les risques identifiés incluent la hausse du coût du risque (+14% au S1 2026), l'exécution de l'expansion régionale et l'absence d'information sur la politique de dividende. La valorisation exigeante (PER 19,1x, P/B 4,95x) constitue le principal frein, mais elle est partiellement justifiée par la prime de croissance. Recommandation fondamentale : **ACHAT** avec un biais spéculatif, sous réserve de confirmation des performances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Sur le plan de la **valorisation (Partie 0)**, les ratios PER (19,1x), P/B (4,95x) et EV/EBITDA (17,0x) indiquent une surévaluation relative par rapport aux standards de la BRVM, mais cette prime se justifie par la croissance exceptionnelle de la banque. Le **comportement du cours (Partie 1)** est nettement haussier (+43,35% sur 100 jours, cours au plus haut), avec une volatilité élevée (52,4%) et une distribution proche de la normale (kurtosis -0,757, skewness -0,369), ce qui est favorable pour un investisseur dynamique mais nécessite une tolérance au risque élevée. Les **signaux techniques (Partie 2)** sont indisponibles (MM, Bollinger, MACD, RSI, Stochastique tous en nan), ce qui empêche toute confirmation ou infirmation technique — c'est une limite majeure pour le timing d'entrée. Les **fondamentaux (Partie 3)** sont excellents : ROE de 25,87% en 2025, PNB de 67,824 Mds FCFA, résultat net de 27,197 Mds FCFA, et les estimations basées sur le S1 2026 (PNB +25%, résultat net +46%) projettent un exercice 2026 encore plus solide. Les **prédictions IA** ne sont pas disponibles, ce qui ne permet pas de confirmer ou contredire les autres signaux. Sur la base de cette synthèse, la convergence entre des fondamentaux exceptionnels et une dynamique de cours forte l'emporte sur les préoccupations liées à la valorisation tendue et à l'absence de signaux techniques. **Recommandation finale : ACHAT** — le niveau de confiance est **Moyen** (en raison de l'absence de signaux techniques et de prédictions IA, et de la valorisation exigeante), le niveau de risque global est **Élevé** (volatilité de 52,4%, titre récemment introduit, valorisation tendue), et l'horizon d'investissement optimal est le **moyen terme (3-12 mois)**, le temps que les performances du S2 2026 confirment les estimations et que les indicateurs techniques se stabilisent. Une entrée progressive, par paliers, permettrait de lisser le risque lié à la volatilité actuelle.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13,861 titres</w:t>
            </w:r>
          </w:p>
        </w:tc>
        <w:tc>
          <w:tcPr>
            <w:tcW w:type="dxa" w:w="2268"/>
            <w:shd w:fill="FFF2CC" w:val="clear"/>
          </w:tcPr>
          <w:p>
            <w:r>
              <w:rPr>
                <w:b/>
                <w:color w:val="503200"/>
                <w:sz w:val="16"/>
              </w:rPr>
              <w:t xml:space="preserve">Cours actuel : </w:t>
            </w:r>
            <w:r>
              <w:rPr>
                <w:color w:val="000000"/>
                <w:sz w:val="17"/>
              </w:rPr>
              <w:t>8,440 FCFA</w:t>
            </w:r>
          </w:p>
          <w:p>
            <w:r>
              <w:rPr>
                <w:b/>
                <w:color w:val="503200"/>
                <w:sz w:val="16"/>
              </w:rPr>
              <w:t xml:space="preserve">Var. 100 jours : </w:t>
            </w:r>
            <w:r>
              <w:rPr>
                <w:b/>
                <w:color w:val="007800"/>
                <w:sz w:val="17"/>
              </w:rPr>
              <w:t>+65.33%</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22.72% (Élevée) — μ=7,415 FCFA, σ=1,685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β=0.8386 (Neutre (suit le marché)) — Cov=0.000061, Var(idx)=0.000073, ρ=0.266,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13,861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2026-10-12</w:t>
            </w:r>
          </w:p>
        </w:tc>
        <w:tc>
          <w:tcPr>
            <w:tcW w:type="dxa" w:w="1440"/>
            <w:shd w:fill="C6EFCE" w:val="clear"/>
          </w:tcPr>
          <w:p>
            <w:r>
              <w:rPr>
                <w:sz w:val="17"/>
              </w:rPr>
              <w:t>8,375</w:t>
            </w:r>
          </w:p>
        </w:tc>
        <w:tc>
          <w:tcPr>
            <w:tcW w:type="dxa" w:w="1440"/>
            <w:shd w:fill="C6EFCE" w:val="clear"/>
          </w:tcPr>
          <w:p>
            <w:r>
              <w:rPr>
                <w:b/>
                <w:sz w:val="17"/>
              </w:rPr>
              <w:t>8,907</w:t>
            </w:r>
          </w:p>
        </w:tc>
        <w:tc>
          <w:tcPr>
            <w:tcW w:type="dxa" w:w="1440"/>
            <w:shd w:fill="C6EFCE" w:val="clear"/>
          </w:tcPr>
          <w:p>
            <w:r>
              <w:rPr>
                <w:sz w:val="17"/>
              </w:rPr>
              <w:t>9,440</w:t>
            </w:r>
          </w:p>
        </w:tc>
        <w:tc>
          <w:tcPr>
            <w:tcW w:type="dxa" w:w="1440"/>
            <w:shd w:fill="C6EFCE" w:val="clear"/>
          </w:tcPr>
          <w:p>
            <w:r>
              <w:rPr>
                <w:b/>
                <w:color w:val="008000"/>
                <w:sz w:val="17"/>
              </w:rPr>
              <w:t>+5.5%</w:t>
            </w:r>
          </w:p>
        </w:tc>
      </w:tr>
      <w:tr>
        <w:tc>
          <w:tcPr>
            <w:tcW w:type="dxa" w:w="1440"/>
            <w:shd w:fill="C6EFCE" w:val="clear"/>
          </w:tcPr>
          <w:p>
            <w:r>
              <w:rPr>
                <w:sz w:val="17"/>
              </w:rPr>
              <w:t>J+2  ⭐</w:t>
            </w:r>
          </w:p>
        </w:tc>
        <w:tc>
          <w:tcPr>
            <w:tcW w:type="dxa" w:w="1440"/>
            <w:shd w:fill="C6EFCE" w:val="clear"/>
          </w:tcPr>
          <w:p>
            <w:r>
              <w:rPr>
                <w:sz w:val="17"/>
              </w:rPr>
              <w:t>2026-10-13</w:t>
            </w:r>
          </w:p>
        </w:tc>
        <w:tc>
          <w:tcPr>
            <w:tcW w:type="dxa" w:w="1440"/>
            <w:shd w:fill="C6EFCE" w:val="clear"/>
          </w:tcPr>
          <w:p>
            <w:r>
              <w:rPr>
                <w:sz w:val="17"/>
              </w:rPr>
              <w:t>8,195</w:t>
            </w:r>
          </w:p>
        </w:tc>
        <w:tc>
          <w:tcPr>
            <w:tcW w:type="dxa" w:w="1440"/>
            <w:shd w:fill="C6EFCE" w:val="clear"/>
          </w:tcPr>
          <w:p>
            <w:r>
              <w:rPr>
                <w:b/>
                <w:sz w:val="17"/>
              </w:rPr>
              <w:t>8,952</w:t>
            </w:r>
          </w:p>
        </w:tc>
        <w:tc>
          <w:tcPr>
            <w:tcW w:type="dxa" w:w="1440"/>
            <w:shd w:fill="C6EFCE" w:val="clear"/>
          </w:tcPr>
          <w:p>
            <w:r>
              <w:rPr>
                <w:sz w:val="17"/>
              </w:rPr>
              <w:t>9,709</w:t>
            </w:r>
          </w:p>
        </w:tc>
        <w:tc>
          <w:tcPr>
            <w:tcW w:type="dxa" w:w="1440"/>
            <w:shd w:fill="C6EFCE" w:val="clear"/>
          </w:tcPr>
          <w:p>
            <w:r>
              <w:rPr>
                <w:b/>
                <w:color w:val="008000"/>
                <w:sz w:val="17"/>
              </w:rPr>
              <w:t>+6.1%</w:t>
            </w:r>
          </w:p>
        </w:tc>
      </w:tr>
      <w:tr>
        <w:tc>
          <w:tcPr>
            <w:tcW w:type="dxa" w:w="1440"/>
            <w:shd w:fill="C6EFCE" w:val="clear"/>
          </w:tcPr>
          <w:p>
            <w:r>
              <w:rPr>
                <w:sz w:val="17"/>
              </w:rPr>
              <w:t>J+3  ⭐</w:t>
            </w:r>
          </w:p>
        </w:tc>
        <w:tc>
          <w:tcPr>
            <w:tcW w:type="dxa" w:w="1440"/>
            <w:shd w:fill="C6EFCE" w:val="clear"/>
          </w:tcPr>
          <w:p>
            <w:r>
              <w:rPr>
                <w:sz w:val="17"/>
              </w:rPr>
              <w:t>2026-10-14</w:t>
            </w:r>
          </w:p>
        </w:tc>
        <w:tc>
          <w:tcPr>
            <w:tcW w:type="dxa" w:w="1440"/>
            <w:shd w:fill="C6EFCE" w:val="clear"/>
          </w:tcPr>
          <w:p>
            <w:r>
              <w:rPr>
                <w:sz w:val="17"/>
              </w:rPr>
              <w:t>8,081</w:t>
            </w:r>
          </w:p>
        </w:tc>
        <w:tc>
          <w:tcPr>
            <w:tcW w:type="dxa" w:w="1440"/>
            <w:shd w:fill="C6EFCE" w:val="clear"/>
          </w:tcPr>
          <w:p>
            <w:r>
              <w:rPr>
                <w:b/>
                <w:sz w:val="17"/>
              </w:rPr>
              <w:t>9,014</w:t>
            </w:r>
          </w:p>
        </w:tc>
        <w:tc>
          <w:tcPr>
            <w:tcW w:type="dxa" w:w="1440"/>
            <w:shd w:fill="C6EFCE" w:val="clear"/>
          </w:tcPr>
          <w:p>
            <w:r>
              <w:rPr>
                <w:sz w:val="17"/>
              </w:rPr>
              <w:t>9,948</w:t>
            </w:r>
          </w:p>
        </w:tc>
        <w:tc>
          <w:tcPr>
            <w:tcW w:type="dxa" w:w="1440"/>
            <w:shd w:fill="C6EFCE" w:val="clear"/>
          </w:tcPr>
          <w:p>
            <w:r>
              <w:rPr>
                <w:b/>
                <w:color w:val="008000"/>
                <w:sz w:val="17"/>
              </w:rPr>
              <w:t>+6.8%</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7,991</w:t>
            </w:r>
          </w:p>
        </w:tc>
        <w:tc>
          <w:tcPr>
            <w:tcW w:type="dxa" w:w="1440"/>
            <w:shd w:fill="C6EFCE" w:val="clear"/>
          </w:tcPr>
          <w:p>
            <w:r>
              <w:rPr>
                <w:b/>
                <w:sz w:val="17"/>
              </w:rPr>
              <w:t>9,077</w:t>
            </w:r>
          </w:p>
        </w:tc>
        <w:tc>
          <w:tcPr>
            <w:tcW w:type="dxa" w:w="1440"/>
            <w:shd w:fill="C6EFCE" w:val="clear"/>
          </w:tcPr>
          <w:p>
            <w:r>
              <w:rPr>
                <w:sz w:val="17"/>
              </w:rPr>
              <w:t>10,162</w:t>
            </w:r>
          </w:p>
        </w:tc>
        <w:tc>
          <w:tcPr>
            <w:tcW w:type="dxa" w:w="1440"/>
            <w:shd w:fill="C6EFCE" w:val="clear"/>
          </w:tcPr>
          <w:p>
            <w:r>
              <w:rPr>
                <w:b/>
                <w:color w:val="008000"/>
                <w:sz w:val="17"/>
              </w:rPr>
              <w:t>+7.5%</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7,913</w:t>
            </w:r>
          </w:p>
        </w:tc>
        <w:tc>
          <w:tcPr>
            <w:tcW w:type="dxa" w:w="1440"/>
            <w:shd w:fill="C6EFCE" w:val="clear"/>
          </w:tcPr>
          <w:p>
            <w:r>
              <w:rPr>
                <w:b/>
                <w:sz w:val="17"/>
              </w:rPr>
              <w:t>9,134</w:t>
            </w:r>
          </w:p>
        </w:tc>
        <w:tc>
          <w:tcPr>
            <w:tcW w:type="dxa" w:w="1440"/>
            <w:shd w:fill="C6EFCE" w:val="clear"/>
          </w:tcPr>
          <w:p>
            <w:r>
              <w:rPr>
                <w:sz w:val="17"/>
              </w:rPr>
              <w:t>10,355</w:t>
            </w:r>
          </w:p>
        </w:tc>
        <w:tc>
          <w:tcPr>
            <w:tcW w:type="dxa" w:w="1440"/>
            <w:shd w:fill="C6EFCE" w:val="clear"/>
          </w:tcPr>
          <w:p>
            <w:r>
              <w:rPr>
                <w:b/>
                <w:color w:val="008000"/>
                <w:sz w:val="17"/>
              </w:rPr>
              <w:t>+8.2%</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7,839</w:t>
            </w:r>
          </w:p>
        </w:tc>
        <w:tc>
          <w:tcPr>
            <w:tcW w:type="dxa" w:w="1440"/>
            <w:shd w:fill="C6EFCE" w:val="clear"/>
          </w:tcPr>
          <w:p>
            <w:r>
              <w:rPr>
                <w:b/>
                <w:sz w:val="17"/>
              </w:rPr>
              <w:t>9,184</w:t>
            </w:r>
          </w:p>
        </w:tc>
        <w:tc>
          <w:tcPr>
            <w:tcW w:type="dxa" w:w="1440"/>
            <w:shd w:fill="C6EFCE" w:val="clear"/>
          </w:tcPr>
          <w:p>
            <w:r>
              <w:rPr>
                <w:sz w:val="17"/>
              </w:rPr>
              <w:t>10,530</w:t>
            </w:r>
          </w:p>
        </w:tc>
        <w:tc>
          <w:tcPr>
            <w:tcW w:type="dxa" w:w="1440"/>
            <w:shd w:fill="C6EFCE" w:val="clear"/>
          </w:tcPr>
          <w:p>
            <w:r>
              <w:rPr>
                <w:b/>
                <w:color w:val="008000"/>
                <w:sz w:val="17"/>
              </w:rPr>
              <w:t>+8.8%</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7,768</w:t>
            </w:r>
          </w:p>
        </w:tc>
        <w:tc>
          <w:tcPr>
            <w:tcW w:type="dxa" w:w="1440"/>
            <w:shd w:fill="C6EFCE" w:val="clear"/>
          </w:tcPr>
          <w:p>
            <w:r>
              <w:rPr>
                <w:b/>
                <w:sz w:val="17"/>
              </w:rPr>
              <w:t>9,228</w:t>
            </w:r>
          </w:p>
        </w:tc>
        <w:tc>
          <w:tcPr>
            <w:tcW w:type="dxa" w:w="1440"/>
            <w:shd w:fill="C6EFCE" w:val="clear"/>
          </w:tcPr>
          <w:p>
            <w:r>
              <w:rPr>
                <w:sz w:val="17"/>
              </w:rPr>
              <w:t>10,688</w:t>
            </w:r>
          </w:p>
        </w:tc>
        <w:tc>
          <w:tcPr>
            <w:tcW w:type="dxa" w:w="1440"/>
            <w:shd w:fill="C6EFCE" w:val="clear"/>
          </w:tcPr>
          <w:p>
            <w:r>
              <w:rPr>
                <w:b/>
                <w:color w:val="008000"/>
                <w:sz w:val="17"/>
              </w:rPr>
              <w:t>+9.3%</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7,699</w:t>
            </w:r>
          </w:p>
        </w:tc>
        <w:tc>
          <w:tcPr>
            <w:tcW w:type="dxa" w:w="1440"/>
            <w:shd w:fill="C6EFCE" w:val="clear"/>
          </w:tcPr>
          <w:p>
            <w:r>
              <w:rPr>
                <w:b/>
                <w:sz w:val="17"/>
              </w:rPr>
              <w:t>9,267</w:t>
            </w:r>
          </w:p>
        </w:tc>
        <w:tc>
          <w:tcPr>
            <w:tcW w:type="dxa" w:w="1440"/>
            <w:shd w:fill="C6EFCE" w:val="clear"/>
          </w:tcPr>
          <w:p>
            <w:r>
              <w:rPr>
                <w:sz w:val="17"/>
              </w:rPr>
              <w:t>10,834</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7,631</w:t>
            </w:r>
          </w:p>
        </w:tc>
        <w:tc>
          <w:tcPr>
            <w:tcW w:type="dxa" w:w="1440"/>
            <w:shd w:fill="C6EFCE" w:val="clear"/>
          </w:tcPr>
          <w:p>
            <w:r>
              <w:rPr>
                <w:b/>
                <w:sz w:val="17"/>
              </w:rPr>
              <w:t>9,300</w:t>
            </w:r>
          </w:p>
        </w:tc>
        <w:tc>
          <w:tcPr>
            <w:tcW w:type="dxa" w:w="1440"/>
            <w:shd w:fill="C6EFCE" w:val="clear"/>
          </w:tcPr>
          <w:p>
            <w:r>
              <w:rPr>
                <w:sz w:val="17"/>
              </w:rPr>
              <w:t>10,968</w:t>
            </w:r>
          </w:p>
        </w:tc>
        <w:tc>
          <w:tcPr>
            <w:tcW w:type="dxa" w:w="1440"/>
            <w:shd w:fill="C6EFCE" w:val="clear"/>
          </w:tcPr>
          <w:p>
            <w:r>
              <w:rPr>
                <w:b/>
                <w:color w:val="008000"/>
                <w:sz w:val="17"/>
              </w:rPr>
              <w:t>+10.2%</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7,564</w:t>
            </w:r>
          </w:p>
        </w:tc>
        <w:tc>
          <w:tcPr>
            <w:tcW w:type="dxa" w:w="1440"/>
            <w:shd w:fill="C6EFCE" w:val="clear"/>
          </w:tcPr>
          <w:p>
            <w:r>
              <w:rPr>
                <w:b/>
                <w:sz w:val="17"/>
              </w:rPr>
              <w:t>9,328</w:t>
            </w:r>
          </w:p>
        </w:tc>
        <w:tc>
          <w:tcPr>
            <w:tcW w:type="dxa" w:w="1440"/>
            <w:shd w:fill="C6EFCE" w:val="clear"/>
          </w:tcPr>
          <w:p>
            <w:r>
              <w:rPr>
                <w:sz w:val="17"/>
              </w:rPr>
              <w:t>11,092</w:t>
            </w:r>
          </w:p>
        </w:tc>
        <w:tc>
          <w:tcPr>
            <w:tcW w:type="dxa" w:w="1440"/>
            <w:shd w:fill="C6EFCE" w:val="clear"/>
          </w:tcPr>
          <w:p>
            <w:r>
              <w:rPr>
                <w:b/>
                <w:color w:val="008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*Banque Internationale pour l'Industrie et le Commerce — Bénin*</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487,49 milliards FCFA, la BICB s'impose comme l'une des capitalisations les plus significatives de la cote BRVM, ce qui témoigne de son statut de valeur de premier plan dans le compartiment bancaire régional. Le BPA de 627 FCFA par action signifie que chaque titre génère près de 627 FCFA de bénéfice net, un niveau de rentabilité par action particulièrement élevé pour le marché ouest-africain. Le PER de 13,5x situe le titre légèrement au-dessus de la moyenne BRVM (8-12x), traduisant une prime de qualité justifiée par la position de leader de la banque au Bénin, mais qui n'apparaît pas excessive au regard de la croissance des bénéfices. Le P/B de 3,61x indique que le marché valorise la banque à plus de trois fois sa valeur comptable, une prime de croissance significative qui reflète la confiance des investisseurs dans la capacité de la BICB à générer des rendements supérieurs à son coût du capital (ROE de 26,8%). En revanche, l'EV/EBITDA de 24,0x apparaît très exigeant, signalant que la valeur d'entreprise intègre déjà une part importante de la performance opérationnelle future, ce qui limite la marge de sécurité pour un nouvel entrant.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BICB a enregistré une progression spectaculaire de +65,33%, passant d'un plus bas de 5 105 FCFA à un plus haut de 10 790 FCFA, avant de se replier légèrement à 8 440 FCFA (variation J-1 de -0,94%). Ce range de trading de plus de 5 600 FCFA témoigne d'une dynamique haussière puissante, bien que le cours actuel se situe à environ 22% en dessous de son sommet récent, suggérant une phase de consolidation après un rallye exceptionnel. La moyenne du cours sur la période s'établit à 7 415 FCFA, tandis que la médiane est légèrement supérieure à 7 590 FCFA, un écart modeste qui indique une distribution globalement symétrique, confirmée par un skewness de 0,334 (distribution symétrique). L'écart-type de 1 693 FCFA, correspondant à un coefficient de variation de 22,8%, révèle une dispersion modérée du cours autour de sa moyenne, ce qui est cohérent avec la volatilité annualisée de 42,6% — un niveau élevé qui positionne le titre dans la catégorie des valeurs volatiles (&gt;30%), adaptées aux investisseurs avertis. Le kurtosis de -1,084 (distribution platykurtique) indique une faible concentration des rendements autour de la moyenne, avec un risque de pics de volatilité moins prononcé qu'une distribution normale, ce qui est rassurant pour la gestion du risque. Le mode à 8 500 FCFA, proche du cours actuel de 8 440 FCFA, suggère que ce niveau de prix constitue une zone d'équilibre où le marché a tendance à se stabiliser.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(9 220 FCFA) et la MM50 (8 878 FCFA) se situent toutes deux au-dessus du cours actuel (8 440 FCFA), ce qui place le titre en position baissière à court terme par rapport à ses moyennes. Cependant, la décision technique affichée est "Achat", probablement en anticipation d'un rebond technique après la correction récente, ou en raison de la pente haussière des moyennes sur une période plus longue.</w:t>
      </w:r>
    </w:p>
    <w:p>
      <w:pPr>
        <w:spacing w:after="120" w:line="276" w:lineRule="auto"/>
      </w:pPr>
      <w:r>
        <w:t>**Bandes de Bollinger** : La borne supérieure est à 11 022,91 FCFA et la borne inférieure à 7 417,09 FCFA, avec un cours actuel de 8 440 FCFA qui se situe dans la moitié inférieure de la bande. La décision "Neutre" reflète l'absence de signal clair : le cours n'est ni en surachat (proche de la borne supérieure) ni en survente (proche de la borne inférieure), et la largeur des bandes indique une volatilité toujours élevée.</w:t>
      </w:r>
    </w:p>
    <w:p>
      <w:pPr>
        <w:spacing w:after="120" w:line="276" w:lineRule="auto"/>
      </w:pPr>
      <w:r>
        <w:t>**MACD** : La valeur du MACD (-187,54) est inférieure à son signal (-70,41), ce qui génère une décision "Vente". Cette configuration baissière indique que le momentum à court terme est négatif, avec une divergence baissière persistante qui suggère que la pression vendeuse pourrait se maintenir à court terme.</w:t>
      </w:r>
    </w:p>
    <w:p>
      <w:pPr>
        <w:spacing w:after="120" w:line="276" w:lineRule="auto"/>
      </w:pPr>
      <w:r>
        <w:t>**RSI** : À 27,73, le RSI se situe en zone de survente (&lt;30), ce qui déclenche une décision "Achat". Cette lecture indique que le titre a été massivement vendu et pourrait être sujet à un rebond technique à court terme, bien que la survente puisse persister dans un contexte de tendance baissière.</w:t>
      </w:r>
    </w:p>
    <w:p>
      <w:pPr>
        <w:spacing w:after="120" w:line="276" w:lineRule="auto"/>
      </w:pPr>
      <w:r>
        <w:t>**Stochastique** : Le %K (25,0) et le %D (27,14) sont tous deux en zone basse, avec une décision "Neutre". L'absence de croisement clair entre les deux lignes et leur positionnement en zone de survente modérée suggèrent une possible stabilisation, mais sans signal d'achat franc pour l'instant.</w:t>
      </w:r>
    </w:p>
    <w:p>
      <w:pPr>
        <w:spacing w:after="120" w:line="276" w:lineRule="auto"/>
      </w:pPr>
      <w:r>
        <w:t>**Conclusion technique** : Les indicateurs techniques présentent un tableau mitigé. Le RSI en survente et la décision "Achat" des moyennes mobiles plaident pour un rebond à court terme, mais le MACD baissier et la position du cours sous ses moyennes mobiles tempèrent cet optimisme. La configuration globale suggère une phase de consolidation avec un potentiel de rebond technique, mais la prudence reste de mise tant que le cours ne repasse pas au-dessus de la MM20 (9 220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BICB a réalisé un Produit Net Bancaire (PNB) de 52,805 milliards FCFA, en croissance de 16,49% par rapport à 2024, portée par une expansion rapide des crédits (+37,3%) et des dépôts (+29,4%). Le résultat net s'établit à 36,237 milliards FCFA, en hausse de 24,7%, avec un ROE exceptionnel de 26,82% et un ROA de 1,96%, confirmant la rentabilité supérieure de la banque. Le coefficient d'exploitation de 31,12% est excellent (&lt;60%), témoignant d'une grande efficacité opérationnelle, tandis que le coût du risque de 9,61% reste un point de vigilance, bien qu'il soit en amélioration par rapport aux exercices précédents. La structure financière affiche une autonomie financière de 7,33% (faible) et une dépendance financière de 92,67%, typique d'une banque, mais le ratio de solvabilité de 19,64% (vs 11,5% réglementaire) offre une marge de manœuvre confortable. Les dépôts clientèle (1 181,045 milliards FCFA) couvrent largement les créances clientèle (1 151,536 milliards FCFA), avec un ratio crédits/dépôts de 97,5%, signalant une transformation tendue mais maîtrisée. Sur la base du rapport T1 2026 (publié en 2026), le PNB a progressé de 35% à 14,6 milliards FCFA et le résultat net de 48% à 8,0 milliards FCFA, ce qui permet d'estimer que l'exercice 2026 devrait afficher une nouvelle année de croissance à deux chiffres, avec un PNB annualisé proche de 58-60 milliards FCFA et un résultat net potentiellement supérieur à 40 milliards FCFA. Le rapport S1 2026 (publié en 2026) confirme cette dynamique avec un PNB de 31,9 milliards FCFA (+19%) et un résultat net de 18,4 milliards FCFA (+11%), malgré un coût du risque redevenu une charge de 3,6 milliards FCFA (contre un produit net de 2,4 milliards FCFA au S1 2025). La recommandation fondamentale est donc positive : la BICB affiche une solidité financière remarquable, une croissance rentable et une position de leader incontestée au Bénin, avec des risques maîtrisés (liquidité, crédit) mais à surveiller dans un contexte de croissance rapide.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BICB (PER de 13,5x, P/B de 3,61x, EV/EBITDA de 24,0x) indique que le marché intègre déjà une prime de qualité et de croissance, sans toutefois verser dans la surévaluation excessive au regard des fondamentaux. Le comportement du cours sur 100 jours (+65,33%) témoigne d'un fort momentum haussier, mais la correction récente (-22% depuis le plus haut) et la volatilité élevée (42,6%) suggèrent une phase de consolidation, avec une distribution symétrique (skewness 0,334) et un risque de pics modéré (kurtosis -1,084). Les signaux techniques sont divergents : le RSI en survente (27,73) et la décision "Achat" des moyennes mobiles plaident pour un rebond, mais le MACD baissier et la position du cours sous ses moyennes tempèrent cet optimisme, créant une configuration de "rebond technique possible mais non confirmé". Les fondamentaux restent excellents : ROE de 26,8%, coefficient d'exploitation de 31,1%, croissance du PNB de 16,5% en 2025 et de 35% au T1 2026, avec une solvabilité solide (19,64%). Les prédictions IA (8 907 FCFA à 9 134 FCFA sur 10 jours) anticipent une reprise progressive de +5,6% à +8,2% par rapport au cours actuel, ce qui confirme la thèse d'un rebond technique à court terme. Sur la base de cette synthèse, la recommandation finale est **CONSERVER** avec un biais haussier, justifiée par la convergence entre des fondamentaux solides, une valorisation raisonnable et des prédictions IA positives, mais tempérée par des signaux techniques encore mitigés et une volatilité élevée. Le niveau de confiance est **Moyen** (les fondamentaux sont solides mais l'incertitude technique persiste) et le niveau de risque global est **Moyen** (volatilité élevée mais fondamentaux robustes). L'horizon d'investissement optimal est le **moyen terme (3-12 mois)**, le temps que la consolidation technique s'achève et que la croissance des bénéfices se matérialise dans le cours.</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549.08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686 titres</w:t>
            </w:r>
          </w:p>
        </w:tc>
        <w:tc>
          <w:tcPr>
            <w:tcW w:type="dxa" w:w="2268"/>
            <w:shd w:fill="FFF2CC" w:val="clear"/>
          </w:tcPr>
          <w:p>
            <w:r>
              <w:rPr>
                <w:b/>
                <w:color w:val="503200"/>
                <w:sz w:val="16"/>
              </w:rPr>
              <w:t xml:space="preserve">Cours actuel : </w:t>
            </w:r>
            <w:r>
              <w:rPr>
                <w:color w:val="000000"/>
                <w:sz w:val="17"/>
              </w:rPr>
              <w:t>32,945 FCFA</w:t>
            </w:r>
          </w:p>
          <w:p>
            <w:r>
              <w:rPr>
                <w:b/>
                <w:color w:val="503200"/>
                <w:sz w:val="16"/>
              </w:rPr>
              <w:t xml:space="preserve">Var. 100 jours : </w:t>
            </w:r>
            <w:r>
              <w:rPr>
                <w:b/>
                <w:color w:val="007800"/>
                <w:sz w:val="17"/>
              </w:rPr>
              <w:t>+24.56%</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26,450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6.27% (Moyenne) — μ=29,535 FCFA, σ=1,851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β=1.0661 (Neutre (suit le marché)) — Cov=0.000078, Var(idx)=0.000073, ρ=0.394,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686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2026-10-12</w:t>
            </w:r>
          </w:p>
        </w:tc>
        <w:tc>
          <w:tcPr>
            <w:tcW w:type="dxa" w:w="1440"/>
            <w:shd w:fill="FFDCE0" w:val="clear"/>
          </w:tcPr>
          <w:p>
            <w:r>
              <w:rPr>
                <w:sz w:val="17"/>
              </w:rPr>
              <w:t>30,108</w:t>
            </w:r>
          </w:p>
        </w:tc>
        <w:tc>
          <w:tcPr>
            <w:tcW w:type="dxa" w:w="1440"/>
            <w:shd w:fill="FFDCE0" w:val="clear"/>
          </w:tcPr>
          <w:p>
            <w:r>
              <w:rPr>
                <w:b/>
                <w:sz w:val="17"/>
              </w:rPr>
              <w:t>31,974</w:t>
            </w:r>
          </w:p>
        </w:tc>
        <w:tc>
          <w:tcPr>
            <w:tcW w:type="dxa" w:w="1440"/>
            <w:shd w:fill="FFDCE0" w:val="clear"/>
          </w:tcPr>
          <w:p>
            <w:r>
              <w:rPr>
                <w:sz w:val="17"/>
              </w:rPr>
              <w:t>33,839</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2026-10-13</w:t>
            </w:r>
          </w:p>
        </w:tc>
        <w:tc>
          <w:tcPr>
            <w:tcW w:type="dxa" w:w="1440"/>
            <w:shd w:fill="FFDCE0" w:val="clear"/>
          </w:tcPr>
          <w:p>
            <w:r>
              <w:rPr>
                <w:sz w:val="17"/>
              </w:rPr>
              <w:t>29,344</w:t>
            </w:r>
          </w:p>
        </w:tc>
        <w:tc>
          <w:tcPr>
            <w:tcW w:type="dxa" w:w="1440"/>
            <w:shd w:fill="FFDCE0" w:val="clear"/>
          </w:tcPr>
          <w:p>
            <w:r>
              <w:rPr>
                <w:b/>
                <w:sz w:val="17"/>
              </w:rPr>
              <w:t>31,983</w:t>
            </w:r>
          </w:p>
        </w:tc>
        <w:tc>
          <w:tcPr>
            <w:tcW w:type="dxa" w:w="1440"/>
            <w:shd w:fill="FFDCE0" w:val="clear"/>
          </w:tcPr>
          <w:p>
            <w:r>
              <w:rPr>
                <w:sz w:val="17"/>
              </w:rPr>
              <w:t>34,622</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28,651</w:t>
            </w:r>
          </w:p>
        </w:tc>
        <w:tc>
          <w:tcPr>
            <w:tcW w:type="dxa" w:w="1440"/>
            <w:shd w:fill="FFDCE0" w:val="clear"/>
          </w:tcPr>
          <w:p>
            <w:r>
              <w:rPr>
                <w:b/>
                <w:sz w:val="17"/>
              </w:rPr>
              <w:t>31,871</w:t>
            </w:r>
          </w:p>
        </w:tc>
        <w:tc>
          <w:tcPr>
            <w:tcW w:type="dxa" w:w="1440"/>
            <w:shd w:fill="FFDCE0" w:val="clear"/>
          </w:tcPr>
          <w:p>
            <w:r>
              <w:rPr>
                <w:sz w:val="17"/>
              </w:rPr>
              <w:t>35,092</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28,065</w:t>
            </w:r>
          </w:p>
        </w:tc>
        <w:tc>
          <w:tcPr>
            <w:tcW w:type="dxa" w:w="1440"/>
            <w:shd w:fill="FFDCE0" w:val="clear"/>
          </w:tcPr>
          <w:p>
            <w:r>
              <w:rPr>
                <w:b/>
                <w:sz w:val="17"/>
              </w:rPr>
              <w:t>31,772</w:t>
            </w:r>
          </w:p>
        </w:tc>
        <w:tc>
          <w:tcPr>
            <w:tcW w:type="dxa" w:w="1440"/>
            <w:shd w:fill="FFDCE0" w:val="clear"/>
          </w:tcPr>
          <w:p>
            <w:r>
              <w:rPr>
                <w:sz w:val="17"/>
              </w:rPr>
              <w:t>35,480</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27,561</w:t>
            </w:r>
          </w:p>
        </w:tc>
        <w:tc>
          <w:tcPr>
            <w:tcW w:type="dxa" w:w="1440"/>
            <w:shd w:fill="FFDCE0" w:val="clear"/>
          </w:tcPr>
          <w:p>
            <w:r>
              <w:rPr>
                <w:b/>
                <w:sz w:val="17"/>
              </w:rPr>
              <w:t>31,696</w:t>
            </w:r>
          </w:p>
        </w:tc>
        <w:tc>
          <w:tcPr>
            <w:tcW w:type="dxa" w:w="1440"/>
            <w:shd w:fill="FFDCE0" w:val="clear"/>
          </w:tcPr>
          <w:p>
            <w:r>
              <w:rPr>
                <w:sz w:val="17"/>
              </w:rPr>
              <w:t>35,831</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27,108</w:t>
            </w:r>
          </w:p>
        </w:tc>
        <w:tc>
          <w:tcPr>
            <w:tcW w:type="dxa" w:w="1440"/>
            <w:shd w:fill="FFDCE0" w:val="clear"/>
          </w:tcPr>
          <w:p>
            <w:r>
              <w:rPr>
                <w:b/>
                <w:sz w:val="17"/>
              </w:rPr>
              <w:t>31,629</w:t>
            </w:r>
          </w:p>
        </w:tc>
        <w:tc>
          <w:tcPr>
            <w:tcW w:type="dxa" w:w="1440"/>
            <w:shd w:fill="FFDCE0" w:val="clear"/>
          </w:tcPr>
          <w:p>
            <w:r>
              <w:rPr>
                <w:sz w:val="17"/>
              </w:rPr>
              <w:t>36,149</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26,691</w:t>
            </w:r>
          </w:p>
        </w:tc>
        <w:tc>
          <w:tcPr>
            <w:tcW w:type="dxa" w:w="1440"/>
            <w:shd w:fill="FFDCE0" w:val="clear"/>
          </w:tcPr>
          <w:p>
            <w:r>
              <w:rPr>
                <w:b/>
                <w:sz w:val="17"/>
              </w:rPr>
              <w:t>31,564</w:t>
            </w:r>
          </w:p>
        </w:tc>
        <w:tc>
          <w:tcPr>
            <w:tcW w:type="dxa" w:w="1440"/>
            <w:shd w:fill="FFDCE0" w:val="clear"/>
          </w:tcPr>
          <w:p>
            <w:r>
              <w:rPr>
                <w:sz w:val="17"/>
              </w:rPr>
              <w:t>36,436</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26,302</w:t>
            </w:r>
          </w:p>
        </w:tc>
        <w:tc>
          <w:tcPr>
            <w:tcW w:type="dxa" w:w="1440"/>
            <w:shd w:fill="FFDCE0" w:val="clear"/>
          </w:tcPr>
          <w:p>
            <w:r>
              <w:rPr>
                <w:b/>
                <w:sz w:val="17"/>
              </w:rPr>
              <w:t>31,500</w:t>
            </w:r>
          </w:p>
        </w:tc>
        <w:tc>
          <w:tcPr>
            <w:tcW w:type="dxa" w:w="1440"/>
            <w:shd w:fill="FFDCE0" w:val="clear"/>
          </w:tcPr>
          <w:p>
            <w:r>
              <w:rPr>
                <w:sz w:val="17"/>
              </w:rPr>
              <w:t>36,698</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25,936</w:t>
            </w:r>
          </w:p>
        </w:tc>
        <w:tc>
          <w:tcPr>
            <w:tcW w:type="dxa" w:w="1440"/>
            <w:shd w:fill="FFDCE0" w:val="clear"/>
          </w:tcPr>
          <w:p>
            <w:r>
              <w:rPr>
                <w:b/>
                <w:sz w:val="17"/>
              </w:rPr>
              <w:t>31,438</w:t>
            </w:r>
          </w:p>
        </w:tc>
        <w:tc>
          <w:tcPr>
            <w:tcW w:type="dxa" w:w="1440"/>
            <w:shd w:fill="FFDCE0" w:val="clear"/>
          </w:tcPr>
          <w:p>
            <w:r>
              <w:rPr>
                <w:sz w:val="17"/>
              </w:rPr>
              <w:t>36,941</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25,589</w:t>
            </w:r>
          </w:p>
        </w:tc>
        <w:tc>
          <w:tcPr>
            <w:tcW w:type="dxa" w:w="1440"/>
            <w:shd w:fill="FFDCE0" w:val="clear"/>
          </w:tcPr>
          <w:p>
            <w:r>
              <w:rPr>
                <w:b/>
                <w:sz w:val="17"/>
              </w:rPr>
              <w:t>31,379</w:t>
            </w:r>
          </w:p>
        </w:tc>
        <w:tc>
          <w:tcPr>
            <w:tcW w:type="dxa" w:w="1440"/>
            <w:shd w:fill="FFDCE0" w:val="clear"/>
          </w:tcPr>
          <w:p>
            <w:r>
              <w:rPr>
                <w:sz w:val="17"/>
              </w:rPr>
              <w:t>37,168</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549,08 milliards FCFA, BICC s'impose comme l'une des toutes premières capitalisations de la BRVM, ce qui en fait une valeur incontournable de l'indice BRVM Composite et un pilier du compartiment bancaire régional. Le BPA de 2 191 FCFA par action signifie que chaque titre génère près de 2 200 FCFA de bénéfice net, un niveau élevé qui traduit la forte rentabilité de la banque. Le PER de 15,0x situe le titre au-dessus de la moyenne du marché BRVM (généralement 8-12x), ce qui indique que les investisseurs acceptent de payer une prime pour la qualité de la signature, mais cette valorisation n'est plus bon marché. Le P/B de 4,55x — largement supérieur au seuil de 4x — confirme que le marché valorise la banque à plus de quatre fois sa valeur comptable, une prime exigeante qui intègre la qualité du management et la solidité des marges. Enfin, l'EV/EBITDA de 11,0x, dans la fourchette haute (10-15x), suggère que la valeur d'entreprise intègre déjà une bonne partie de la capacité bénéficiaire actuelle, laissant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 enregistré une progression remarquable de +24,56%, avec une dernière séance particulièrement dynamique (+4,75% en J-1), portant le cours actuel à 32 945 FCFA. Le range de trading s'établit entre un plus bas de 26 450 FCFA et un plus haut de 34 895 FCFA, soit une amplitude d'environ 32%, ce qui témoigne d'une tendance nettement haussière mais avec des phases de respiration. La moyenne du cours (29 535 FCFA) est supérieure à la médiane (28 998 FCFA), et le mode se situe à 29 000 FCFA : cet écart entre moyenne et médiane, couplé à un skewness positif de 1,011, révèle une asymétrie à droite — la majorité des séances se sont déroulées sous la moyenne, mais quelques journées de forte hausse (comme le +4,75% récent) tirent la moyenne vers le haut. L'écart-type de 1 860 FCFA avec un coefficient de variation de 6,3% indique une dispersion modérée du cours autour de sa moyenne, tandis que le kurtosis de 0,215 (mésokurtique) suggère une distribution proche de la normale, sans risque excessif de pics extrêmes. La volatilité annualisée de 37,2% classe le titre dans la catégorie des valeurs à volatilité élevée (&gt;30%), ce qui est cohérent avec la dynamique haussière récente et appelle à une gestion prudente des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(31 973,5 FCFA) et la MM50 (30 793,1 FCFA) se situent toutes deux sous le cours actuel (32 945 FCFA), et la MM20 est au-dessus de la MM50 — configuration haussière classique. Cette disposition confirme la décision « Achat » : le titre évolue au-dessus de ses supports mobiles, et le croisement MM20 &gt; MM50 valide la tendance positive de moyen terme.</w:t>
      </w:r>
    </w:p>
    <w:p>
      <w:pPr>
        <w:spacing w:after="120" w:line="276" w:lineRule="auto"/>
      </w:pPr>
      <w:r>
        <w:t>**Bandes de Bollinger** : Le cours (32 945 FCFA) se situe dans la partie haute de la bande, entre la borne inférieure (29 632,8 FCFA) et la borne supérieure (34 314,2 FCFA), sans la franchir. Cette position proche de la borne haute traduit une pression acheteuse soutenue mais non encore excessive, justifiant la décision « Neutre » : le titre n'est ni en surchauffe, ni en zone de rebond technique.</w:t>
      </w:r>
    </w:p>
    <w:p>
      <w:pPr>
        <w:spacing w:after="120" w:line="276" w:lineRule="auto"/>
      </w:pPr>
      <w:r>
        <w:t>**MACD** : La valeur du MACD (348,751) est inférieure à son signal (439,743), générant une divergence baissière qui justifie la décision « Vente ». Ce croisement négatif indique un essoufflement du momentum haussier à court terme, bien que la ligne MACD reste en territoire positif — signal de consolidation plutôt que de retournement majeur.</w:t>
      </w:r>
    </w:p>
    <w:p>
      <w:pPr>
        <w:spacing w:after="120" w:line="276" w:lineRule="auto"/>
      </w:pPr>
      <w:r>
        <w:t>**RSI** : À 54,233, le RSI se situe en zone neutre (30-70), sans signal de surachat (&gt;70) ni de survente (&lt;30). Cette lecture confirme la décision « Neutre » : le titre dispose encore d'un potentiel de hausse avant d'atteindre des niveaux de surchauffe, mais le momentum n'est pas assez fort pour un signal d'achat agressif.</w:t>
      </w:r>
    </w:p>
    <w:p>
      <w:pPr>
        <w:spacing w:after="120" w:line="276" w:lineRule="auto"/>
      </w:pPr>
      <w:r>
        <w:t>**Stochastique** : Le %K (62,136) est supérieur au %D (43,107), ce qui constitue un croisement haussier favorable. Cependant, la décision reste « Neutre » car les deux lignes évoluent en zone médiane, sans franchissement décisif des seuils de survente (20) ou de surachat (80). Ce positionnement suggère une poursuite de la hausse modérée à court terme.</w:t>
      </w:r>
    </w:p>
    <w:p>
      <w:pPr>
        <w:spacing w:after="120" w:line="276" w:lineRule="auto"/>
      </w:pPr>
      <w:r>
        <w:t>**Conclusion technique** : Les indicateurs présentent un tableau mitigé mais globalement constructif. Les moyennes mobiles valident la tendance haussière de fond, les Bandes de Bollinger et le RSI confirment l'absence de surchauffe, et le Stochastique suggère un rebond à court terme. Seul le MACD émet un signal de prudence avec sa divergence baissière. La convergence des signaux penche donc vers un maintien de la tendance haussière, avec une possible consolidation avant une nouvelle impulsion.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BICC affiche des états financiers d'une solidité remarquable : un Produit Net Bancaire (PNB) de 79,563 milliards FCFA, un résultat net de 36,520 milliards FCFA, un ROE exceptionnel de 30,29% (largement supérieur au seuil de 15% considéré comme excellent) et un ROA de 3,24%. Le coefficient d'exploitation de 50,83% — inférieur au seuil de 60% — confirme l'efficacité opérationnelle de la banque, tandis que le taux de croissance du PNB de 16,90% témoigne d'une dynamique commerciale soutenue. Le coût du risque, mesuré à -12,15% (provisions/charges financières), reste contenu, signe d'un portefeuille de crédits globalement sain. La structure bilancielle révèle une banque bien capitalisée avec des capitaux propres de 120,570 milliards FCFA, une autonomie financière de 10,71% (faible mais typique du modèle bancaire) et une capacité de remboursement de 0,40 an (dettes financières/CAF), très confortable. Le ratio dépôts/crédits s'établit à 952,872/524,439 = 1,82x, indiquant une surliquidité structurelle — la banque collecte près de deux fois plus qu'elle ne prête, ce qui constitue à la fois une force (résilience) et un défi (rentabilisation des dépôts). Les rapports trimestriels confirment cette dynamique : au T1 2026 (rapport du 31 mars 2026), le PNB progresse de +17,0% à 21 214 MFCFA et le résultat net bondit de +29,7% à 10 387 MFCFA, avec une marge nette en amélioration à 49,0%. Le rapport du T3 2025 (30 septembre 2025) faisait déjà état d'un PNB cumulé de 58 119 MFCFA (+16,4%) et d'un résultat net de 27 402 MFCFA (+50,8%), tandis que les états financiers 2024 (31 décembre 2024) montraient un PNB de 68 063 MFCFA (+22,6%) et un résultat net de 26 226 MFCFA (+57,1%). Sur la base du T1 2026, on peut estimer que l'exercice 2026 devrait enregistrer un PNB supérieur à 85 milliards FCFA et un résultat net approchant 42-44 milliards FCFA, confirmant la trajectoire de croissance à deux chiffres. La principale vigilance concerne la baisse des crédits nets (-4,5% au T1 2026) due aux remboursements anticipés, qui pourrait à terme peser sur la marge d'intermédiation si elle se prolongeait.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globalement favorable mais nuancé. Sur le plan de la **valorisation (Partie 0)**, le PER de 15,0x et le P/B de 4,55x indiquent une surévaluation relative par rapport aux standards de la BRVM, mais cette prime se justifie par la qualité exceptionnelle des fondamentaux. Le **comportement du cours (Partie 1)** est nettement haussier (+24,56% sur 100 jours), avec une volatilité élevée (37,2%) et un skewness positif qui suggère que les hausses l'emportent sur les baisses — un profil favorable aux investisseurs dynamiques. Les **signaux techniques (Partie 2)** sont mitigés : les moyennes mobiles et le Stochastique sont haussiers, le RSI et les Bollinger sont neutres, mais le MACD émet un signal de vente à court terme — ce qui suggère une consolidation possible avant une reprise. Les **fondamentaux (Partie 3)** sont excellents : ROE de 30,29%, coefficient d'exploitation de 50,83%, croissance du PNB de 16,90% et résultat net en hausse de +29,7% au T1 2026, avec une estimation annuelle 2026 autour de 42-44 milliards FCFA de résultat net. Les **prédictions IA (J+1 à J+10)** anticipent une légère correction vers 31 696-31 983 FCFA, ce qui contredit la dynamique haussière récente mais s'aligne avec le signal baissier du MACD. Sur la base de cette synthèse, la recommandation finale est **ACHAT**, avec un niveau de confiance **Moyen** et un risque global **Moyen**. La convergence entre fondamentaux solides, tendance de fond haussière et valorisation exigeante mais justifiée plaide pour une accumulation progressive, en profitant des éventuelles consolidations techniques. L'horizon d'investissement optimal est le **moyen terme (3-12 mois)**, le temps que les prédictions de correction à court terme se matérialisent et que la croissance bénéficiaire se confirme dans les prochains rapports trimestriels.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11.92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2,899 titres</w:t>
            </w:r>
          </w:p>
        </w:tc>
        <w:tc>
          <w:tcPr>
            <w:tcW w:type="dxa" w:w="2268"/>
            <w:shd w:fill="FFF2CC" w:val="clear"/>
          </w:tcPr>
          <w:p>
            <w:r>
              <w:rPr>
                <w:b/>
                <w:color w:val="503200"/>
                <w:sz w:val="16"/>
              </w:rPr>
              <w:t xml:space="preserve">Cours actuel : </w:t>
            </w:r>
            <w:r>
              <w:rPr>
                <w:color w:val="000000"/>
                <w:sz w:val="17"/>
              </w:rPr>
              <w:t>1,800 FCFA</w:t>
            </w:r>
          </w:p>
          <w:p>
            <w:r>
              <w:rPr>
                <w:b/>
                <w:color w:val="503200"/>
                <w:sz w:val="16"/>
              </w:rPr>
              <w:t xml:space="preserve">Var. 100 jours : </w:t>
            </w:r>
            <w:r>
              <w:rPr>
                <w:b/>
                <w:color w:val="007800"/>
                <w:sz w:val="17"/>
              </w:rPr>
              <w:t>+16.50%</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9.62% (Moyenne) — μ=1,928 FCFA, σ=185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β=0.5103 (Défensif) — Cov=0.000037, Var(idx)=0.000073, ρ=0.135,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1,712</w:t>
            </w:r>
          </w:p>
        </w:tc>
        <w:tc>
          <w:tcPr>
            <w:tcW w:type="dxa" w:w="1440"/>
            <w:shd w:fill="FAFAFA" w:val="clear"/>
          </w:tcPr>
          <w:p>
            <w:r>
              <w:rPr>
                <w:b/>
                <w:sz w:val="17"/>
              </w:rPr>
              <w:t>1,823</w:t>
            </w:r>
          </w:p>
        </w:tc>
        <w:tc>
          <w:tcPr>
            <w:tcW w:type="dxa" w:w="1440"/>
            <w:shd w:fill="FAFAFA" w:val="clear"/>
          </w:tcPr>
          <w:p>
            <w:r>
              <w:rPr>
                <w:sz w:val="17"/>
              </w:rPr>
              <w:t>1,935</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1,654</w:t>
            </w:r>
          </w:p>
        </w:tc>
        <w:tc>
          <w:tcPr>
            <w:tcW w:type="dxa" w:w="1440"/>
            <w:shd w:fill="FAFAFA" w:val="clear"/>
          </w:tcPr>
          <w:p>
            <w:r>
              <w:rPr>
                <w:b/>
                <w:sz w:val="17"/>
              </w:rPr>
              <w:t>1,811</w:t>
            </w:r>
          </w:p>
        </w:tc>
        <w:tc>
          <w:tcPr>
            <w:tcW w:type="dxa" w:w="1440"/>
            <w:shd w:fill="FAFAFA" w:val="clear"/>
          </w:tcPr>
          <w:p>
            <w:r>
              <w:rPr>
                <w:sz w:val="17"/>
              </w:rPr>
              <w:t>1,968</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1,621</w:t>
            </w:r>
          </w:p>
        </w:tc>
        <w:tc>
          <w:tcPr>
            <w:tcW w:type="dxa" w:w="1440"/>
            <w:shd w:fill="FAFAFA" w:val="clear"/>
          </w:tcPr>
          <w:p>
            <w:r>
              <w:rPr>
                <w:b/>
                <w:sz w:val="17"/>
              </w:rPr>
              <w:t>1,813</w:t>
            </w:r>
          </w:p>
        </w:tc>
        <w:tc>
          <w:tcPr>
            <w:tcW w:type="dxa" w:w="1440"/>
            <w:shd w:fill="FAFAFA" w:val="clear"/>
          </w:tcPr>
          <w:p>
            <w:r>
              <w:rPr>
                <w:sz w:val="17"/>
              </w:rPr>
              <w:t>2,005</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1,594</w:t>
            </w:r>
          </w:p>
        </w:tc>
        <w:tc>
          <w:tcPr>
            <w:tcW w:type="dxa" w:w="1440"/>
            <w:shd w:fill="FAFAFA" w:val="clear"/>
          </w:tcPr>
          <w:p>
            <w:r>
              <w:rPr>
                <w:b/>
                <w:sz w:val="17"/>
              </w:rPr>
              <w:t>1,816</w:t>
            </w:r>
          </w:p>
        </w:tc>
        <w:tc>
          <w:tcPr>
            <w:tcW w:type="dxa" w:w="1440"/>
            <w:shd w:fill="FAFAFA" w:val="clear"/>
          </w:tcPr>
          <w:p>
            <w:r>
              <w:rPr>
                <w:sz w:val="17"/>
              </w:rPr>
              <w:t>2,038</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1,569</w:t>
            </w:r>
          </w:p>
        </w:tc>
        <w:tc>
          <w:tcPr>
            <w:tcW w:type="dxa" w:w="1440"/>
            <w:shd w:fill="FAFAFA" w:val="clear"/>
          </w:tcPr>
          <w:p>
            <w:r>
              <w:rPr>
                <w:b/>
                <w:sz w:val="17"/>
              </w:rPr>
              <w:t>1,818</w:t>
            </w:r>
          </w:p>
        </w:tc>
        <w:tc>
          <w:tcPr>
            <w:tcW w:type="dxa" w:w="1440"/>
            <w:shd w:fill="FAFAFA" w:val="clear"/>
          </w:tcPr>
          <w:p>
            <w:r>
              <w:rPr>
                <w:sz w:val="17"/>
              </w:rPr>
              <w:t>2,067</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1,547</w:t>
            </w:r>
          </w:p>
        </w:tc>
        <w:tc>
          <w:tcPr>
            <w:tcW w:type="dxa" w:w="1440"/>
            <w:shd w:fill="FAFAFA" w:val="clear"/>
          </w:tcPr>
          <w:p>
            <w:r>
              <w:rPr>
                <w:b/>
                <w:sz w:val="17"/>
              </w:rPr>
              <w:t>1,820</w:t>
            </w:r>
          </w:p>
        </w:tc>
        <w:tc>
          <w:tcPr>
            <w:tcW w:type="dxa" w:w="1440"/>
            <w:shd w:fill="FAFAFA" w:val="clear"/>
          </w:tcPr>
          <w:p>
            <w:r>
              <w:rPr>
                <w:sz w:val="17"/>
              </w:rPr>
              <w:t>2,092</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1,526</w:t>
            </w:r>
          </w:p>
        </w:tc>
        <w:tc>
          <w:tcPr>
            <w:tcW w:type="dxa" w:w="1440"/>
            <w:shd w:fill="FAFAFA" w:val="clear"/>
          </w:tcPr>
          <w:p>
            <w:r>
              <w:rPr>
                <w:b/>
                <w:sz w:val="17"/>
              </w:rPr>
              <w:t>1,820</w:t>
            </w:r>
          </w:p>
        </w:tc>
        <w:tc>
          <w:tcPr>
            <w:tcW w:type="dxa" w:w="1440"/>
            <w:shd w:fill="FAFAFA" w:val="clear"/>
          </w:tcPr>
          <w:p>
            <w:r>
              <w:rPr>
                <w:sz w:val="17"/>
              </w:rPr>
              <w:t>2,115</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1,506</w:t>
            </w:r>
          </w:p>
        </w:tc>
        <w:tc>
          <w:tcPr>
            <w:tcW w:type="dxa" w:w="1440"/>
            <w:shd w:fill="FAFAFA" w:val="clear"/>
          </w:tcPr>
          <w:p>
            <w:r>
              <w:rPr>
                <w:b/>
                <w:sz w:val="17"/>
              </w:rPr>
              <w:t>1,821</w:t>
            </w:r>
          </w:p>
        </w:tc>
        <w:tc>
          <w:tcPr>
            <w:tcW w:type="dxa" w:w="1440"/>
            <w:shd w:fill="FAFAFA" w:val="clear"/>
          </w:tcPr>
          <w:p>
            <w:r>
              <w:rPr>
                <w:sz w:val="17"/>
              </w:rPr>
              <w:t>2,136</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1,488</w:t>
            </w:r>
          </w:p>
        </w:tc>
        <w:tc>
          <w:tcPr>
            <w:tcW w:type="dxa" w:w="1440"/>
            <w:shd w:fill="FAFAFA" w:val="clear"/>
          </w:tcPr>
          <w:p>
            <w:r>
              <w:rPr>
                <w:b/>
                <w:sz w:val="17"/>
              </w:rPr>
              <w:t>1,822</w:t>
            </w:r>
          </w:p>
        </w:tc>
        <w:tc>
          <w:tcPr>
            <w:tcW w:type="dxa" w:w="1440"/>
            <w:shd w:fill="FAFAFA" w:val="clear"/>
          </w:tcPr>
          <w:p>
            <w:r>
              <w:rPr>
                <w:sz w:val="17"/>
              </w:rPr>
              <w:t>2,156</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1,470</w:t>
            </w:r>
          </w:p>
        </w:tc>
        <w:tc>
          <w:tcPr>
            <w:tcW w:type="dxa" w:w="1440"/>
            <w:shd w:fill="FAFAFA" w:val="clear"/>
          </w:tcPr>
          <w:p>
            <w:r>
              <w:rPr>
                <w:b/>
                <w:sz w:val="17"/>
              </w:rPr>
              <w:t>1,822</w:t>
            </w:r>
          </w:p>
        </w:tc>
        <w:tc>
          <w:tcPr>
            <w:tcW w:type="dxa" w:w="1440"/>
            <w:shd w:fill="FAFAFA" w:val="clear"/>
          </w:tcPr>
          <w:p>
            <w:r>
              <w:rPr>
                <w:sz w:val="17"/>
              </w:rPr>
              <w:t>2,175</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(BERNABÉ CÔTE D'IVOIRE)</w:t>
        <w:br/>
        <w:t>**Marché : BRVM | Secteur : Entreprise (Distribution de matériaux, équipements et métallurgie)**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11,92 Mds FCFA, BNBC se situe dans la catégorie des petites capitalisations de la BRVM, ce qui implique une liquidité limitée et une sensibilité accrue aux mouvements de marché. Le BPA de 3 FCFA/action traduit une rentabilité par titre quasi-symbolique, cohérente avec un résultat net 2025 de seulement 22,3 millions FCFA pour un chiffre d'affaires de 42,45 Mds FCFA. Le PER de 534,2x est exceptionnellement élevé — très loin de la moyenne BRVM (~8-12x) — et signale que les investisseurs paient un prix déconnecté des bénéfices actuels, ce qui rend le titre vulnérable à toute déception. À l'inverse, le P/B de 0,67x indique que le marché valorise l'entreprise à 33% en dessous de sa valeur comptable (capitaux propres de 17,77 Mds FCFA), ce qui constitue une opportunité potentielle en cas de redressement. Enfin, l'EV/EBITDA de 23,6x (&gt;15x) reste très exigeant et suggère que la valeur totale de l'entreprise (incluant la dette) est chèrement valorisée par rapport à sa capacité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affiche une variation totale de **+16,50%**, mais la dernière séance (J-1) enregistre un net repli de **-5,51%**, signalant une pression vendeuse récente. Le cours actuel de 1 800 FCFA se situe dans un range de trading large entre un plus bas de 1 495 FCFA et un plus haut de 2 400 FCFA, soit une amplitude de plus de 60% — ce qui témoigne d'une forte nervosité du marché. La tendance générale reste haussière sur la période, mais le repli récent et la position du cours sous la moyenne (1 928 FCFA) suggèrent un essoufflement. Les statistiques descriptives révèlent une moyenne (1 928 FCFA) légèrement inférieure à la médiane (1 962 FCFA) et au mode (1 990 FCFA), ce qui indique une distribution légèrement asymétrique à gauche (skewness de -0,262), confirmée par une concentration des cours autour de 1 950-2 000 FCFA. L'écart-type de 186 FCFA (CV = 9,7%) traduit une dispersion modérée, tandis que le kurtosis de 0,386 (mésokurtique) suggère un risque de pics de volatilité proche d'une distribution normale. La volatilité annualisée de **52,0%** classe le titre dans la catégorie des valeurs à volatilité élevée (&gt;30%), ce qui implique un risque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(1 983,5 FCFA) et la MM50 (2 025,4 FCFA) se situent toutes deux au-dessus du cours actuel (1 800 FCFA), confirmant une configuration baissière de court et moyen terme. Le croisement des moyennes (MM20 &lt; MM50) et l'écart négatif avec le cours justifient la décision de **Vente** émise par cet indicateur.</w:t>
      </w:r>
    </w:p>
    <w:p>
      <w:pPr>
        <w:spacing w:after="120" w:line="276" w:lineRule="auto"/>
      </w:pPr>
      <w:r>
        <w:t>**Bandes de Bollinger** : Le cours (1 800 FCFA) évolue dans la partie basse de la bande, entre la borne inférieure (1 712,8 FCFA) et la borne supérieure (2 254,2 FCFA), sans franchissement des limites. Cette position médiane-basse, couplée à une volatilité élevée, justifie la décision **Neutre** : le titre n'est ni en survente extrême ni en surachat.</w:t>
      </w:r>
    </w:p>
    <w:p>
      <w:pPr>
        <w:spacing w:after="120" w:line="276" w:lineRule="auto"/>
      </w:pPr>
      <w:r>
        <w:t>**MACD** : La valeur du MACD (-57,998) est inférieure à son signal (-44,542), avec un histogramme négatif — configuration baissière classique. Le momentum reste négatif et la divergence MACD-Signal confirme la pression vendeuse, justifiant la décision de **Vente**.</w:t>
      </w:r>
    </w:p>
    <w:p>
      <w:pPr>
        <w:spacing w:after="120" w:line="276" w:lineRule="auto"/>
      </w:pPr>
      <w:r>
        <w:t>**RSI** : À 37,013, le RSI se situe dans la zone neutre basse (30-70), sans atteindre le seuil de survente (&lt;30). Cette position indique une faiblesse relative mais pas de signal d'achat imminent, justifiant la décision **Neutre**.</w:t>
      </w:r>
    </w:p>
    <w:p>
      <w:pPr>
        <w:spacing w:after="120" w:line="276" w:lineRule="auto"/>
      </w:pPr>
      <w:r>
        <w:t>**Stochastique** : Le %K (0,0) est en dessous du %D (34,5), avec un %K au plus bas absolu — signal de survente extrême. Ce croisement baissier en zone basse justifie paradoxalement la décision **Achat** (signal de retournement potentiel), bien que la fiabilité soit limitée en contexte baissier.</w:t>
      </w:r>
    </w:p>
    <w:p>
      <w:pPr>
        <w:spacing w:after="120" w:line="276" w:lineRule="auto"/>
      </w:pPr>
      <w:r>
        <w:t>**Conclusion technique** : Les indicateurs sont majoritairement baissiers (MM, MACD) ou neutres (Bollinger, RSI), avec un seul signal d'achat contradictoire (Stochastique en survente). La convergence des signaux négatifs (cours sous les moyennes, MACD négatif) l'emporte sur le signal isolé du Stochastique. La tendance de court terme reste baissière, avec un potentiel de rebond technique limité tant que le cours reste sous 1 983 FCFA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 réalisé un chiffre d'affaires de **42,454 Mds FCFA**, en recul de **-6,31%** par rapport à 2024 (45,312 Mds FCFA), signalant une contraction de l'activité commerciale. Le résultat net s'établit à **22,318 millions FCFA** (contre 7,313 millions en 2024), soit une amélioration en valeur absolue mais une marge nette quasi-nulle de **0,0526%**. Le ROE est extrêmement faible à **0,1256%** (très loin du seuil de 15% considéré comme excellent) et le ROA à **0,0454%**, traduisant une rentabilité structurellement anémique. La valeur ajoutée de 6,017 Mds FCFA et l'EBE de 2,009 Mds FCFA montrent une capacité opérationnelle réelle, mais laminée par des charges financières élevées (1,031 Mds FCFA) et un résultat d'exploitation de seulement 1,049 Mds FCFA.</w:t>
      </w:r>
    </w:p>
    <w:p>
      <w:pPr>
        <w:spacing w:after="120" w:line="276" w:lineRule="auto"/>
      </w:pPr>
      <w:r>
        <w:t>**Analyse sectorielle (entreprise)** : Les délais d'exploitation sont préoccupants : délai clients de **104,40 jours** (risque de trésorerie élevé), délai fournisseurs de **116,09 jours** (favorable à la trésorerie) et durée de stockage de **339,23 jours** (immobilisation massive de capital). Le BFR de **29,373 Mds FCFA** et la trésorerie nette de **-16,689 Mds FCFA** révèlent une situation de liquidité critique, avec un flux opérationnel négatif de **-786,11 M FCFA**. L'autonomie financière de **36,16%** reste correcte (&gt;30%), mais le ratio d'endettement de **105,48%** (dettes totales/capitaux propres) est élevé.</w:t>
      </w:r>
    </w:p>
    <w:p>
      <w:pPr>
        <w:spacing w:after="120" w:line="276" w:lineRule="auto"/>
      </w:pPr>
      <w:r>
        <w:t>**Estimations basées sur les rapports trimestriels** : Le rapport du **T1 2026** (publié en 2026) indique un chiffre d'affaires stable à **11,194 Mds FCFA** (-0,12% vs T1 2025) et un résultat net positif de **65,566 millions FCFA** contre une perte de 16,147 millions au T1 2025 — soit une amélioration spectaculaire de +506%. Cette performance est toutefois tempérée par l'intégration de la division Équipement, encore en phase de montée en puissance. Sur la base de ce T1, on peut estimer que l'exercice 2026 devrait afficher un résultat net en nette amélioration par rapport à 2025, mais la prudence reste de mise compte tenu de la dépendance aux affaires exceptionnelles et de la trésorerie négative. Le rapport du **T3 2025** (daté du 30/09/2025) faisait état d'une perte nette cumulée de -157,03 millions FCFA, confirmant la volatilité des résultats trimestriels.</w:t>
      </w:r>
    </w:p>
    <w:p>
      <w:pPr>
        <w:spacing w:after="120" w:line="276" w:lineRule="auto"/>
      </w:pPr>
      <w:r>
        <w:t>**Évolution pluriannuelle** : Les rapports 2021 (exercice clos) montraient une performance nettement meilleure avec un résultat net de 1,6 Md FCFA et une marge nette de 3,6%, illustrant une dégradation progressive de la rentabilité sur les exercices 2022-2025. La recommandation fondamentale est donc **prudente** : la société présente des fondamentaux fragiles (rentabilité quasi-nulle, trésorerie négative, endettement élevé), mais les perspectives 2026 (retour à la profitabilité au T1) et la valorisation sous la valeur comptable (P/B = 0,67x) offrent un potentiel de redressement à moyen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**En valorisation (Partie 0)**, le PER de 534,2x signale une surévaluation manifeste par rapport aux bénéfices, mais le P/B de 0,67x et l'EV/EBITDA de 23,6x suggèrent que le marché intègre déjà une forte décote sur les actifs, ce qui limite le potentiel de baisse. **Le comportement du cours (Partie 1)** est préoccupant : malgré une hausse de +16,50% sur 100 jours, le repli de -5,51% en J-1, la volatilité annualisée de 52% et la distribution asymétrique à gauche (skewness -0,262) indiquent une nervosité élevée et un risque de correction. **Les signaux techniques (Partie 2)** sont majoritairement baissiers (MM, MACD) avec un seul signal d'achat contradictoire (Stochastique en survente), ce qui ne plaide pas pour une entrée immédiate. **Les fondamentaux (Partie 3)** restent fragiles : rentabilité quasi-nulle (ROE 0,13%, marge nette 0,05%), trésorerie négative (-16,69 Mds FCFA) et endettement élevé, mais le T1 2026 montre un retour à la profitabilité (65,6 M FCFA) qui pourrait marquer un point d'inflexion. **Les prédictions IA (J+1 à J+10)** anticipent une légère reprise (1 823 → 1 818 FCFA), confirmant une stabilisation autour de 1 800-1 820 FCFA sans tendance haussière marquée.</w:t>
      </w:r>
    </w:p>
    <w:p>
      <w:pPr>
        <w:spacing w:after="120" w:line="276" w:lineRule="auto"/>
      </w:pPr>
      <w:r>
        <w:t>**Recommandation finale : CONSERVER** — Justification : la convergence entre une valorisation décotée (P/B &lt; 1), des perspectives d'amélioration (T1 2026 positif) et des signaux techniques baissiers à court terme plaide pour une position attentiste. Le titre n'offre pas de signal d'achat fort (technique dégradé, fondamentaux fragiles) mais ne justifie pas non plus une vente massive compte tenu de la décote sur actifs et du potentiel de redressement. **Niveau de confiance : Moyen** (les données sont contradictoires entre technique et fondamental). **Niveau de risque global : Élevé** (volatilité 52%, trésorerie négative, rentabilité anémique). **Horizon d'investissement optimal : Moyen terme (3-12 mois)** — le temps que les effets de la restructuration (division Équipement, showroom Technibat KM4) se matérialisent dans les résultats, avec une surveillance rapprochée des prochains trimestres pour confirmer ou infirmer la reprise.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381.27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5,503 titres</w:t>
            </w:r>
          </w:p>
        </w:tc>
        <w:tc>
          <w:tcPr>
            <w:tcW w:type="dxa" w:w="2268"/>
            <w:shd w:fill="FFF2CC" w:val="clear"/>
          </w:tcPr>
          <w:p>
            <w:r>
              <w:rPr>
                <w:b/>
                <w:color w:val="503200"/>
                <w:sz w:val="16"/>
              </w:rPr>
              <w:t xml:space="preserve">Cours actuel : </w:t>
            </w:r>
            <w:r>
              <w:rPr>
                <w:color w:val="000000"/>
                <w:sz w:val="17"/>
              </w:rPr>
              <w:t>9,400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μ=9,174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β=0.5328 (Défensif) — Cov=0.000039, Var(idx)=0.000073, ρ=0.250,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9,049</w:t>
            </w:r>
          </w:p>
        </w:tc>
        <w:tc>
          <w:tcPr>
            <w:tcW w:type="dxa" w:w="1440"/>
            <w:shd w:fill="FAFAFA" w:val="clear"/>
          </w:tcPr>
          <w:p>
            <w:r>
              <w:rPr>
                <w:b/>
                <w:sz w:val="17"/>
              </w:rPr>
              <w:t>9,344</w:t>
            </w:r>
          </w:p>
        </w:tc>
        <w:tc>
          <w:tcPr>
            <w:tcW w:type="dxa" w:w="1440"/>
            <w:shd w:fill="FAFAFA" w:val="clear"/>
          </w:tcPr>
          <w:p>
            <w:r>
              <w:rPr>
                <w:sz w:val="17"/>
              </w:rPr>
              <w:t>9,638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8,897</w:t>
            </w:r>
          </w:p>
        </w:tc>
        <w:tc>
          <w:tcPr>
            <w:tcW w:type="dxa" w:w="1440"/>
            <w:shd w:fill="FAFAFA" w:val="clear"/>
          </w:tcPr>
          <w:p>
            <w:r>
              <w:rPr>
                <w:b/>
                <w:sz w:val="17"/>
              </w:rPr>
              <w:t>9,312</w:t>
            </w:r>
          </w:p>
        </w:tc>
        <w:tc>
          <w:tcPr>
            <w:tcW w:type="dxa" w:w="1440"/>
            <w:shd w:fill="FAFAFA" w:val="clear"/>
          </w:tcPr>
          <w:p>
            <w:r>
              <w:rPr>
                <w:sz w:val="17"/>
              </w:rPr>
              <w:t>9,728</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8,778</w:t>
            </w:r>
          </w:p>
        </w:tc>
        <w:tc>
          <w:tcPr>
            <w:tcW w:type="dxa" w:w="1440"/>
            <w:shd w:fill="FAFAFA" w:val="clear"/>
          </w:tcPr>
          <w:p>
            <w:r>
              <w:rPr>
                <w:b/>
                <w:sz w:val="17"/>
              </w:rPr>
              <w:t>9,285</w:t>
            </w:r>
          </w:p>
        </w:tc>
        <w:tc>
          <w:tcPr>
            <w:tcW w:type="dxa" w:w="1440"/>
            <w:shd w:fill="FAFAFA" w:val="clear"/>
          </w:tcPr>
          <w:p>
            <w:r>
              <w:rPr>
                <w:sz w:val="17"/>
              </w:rPr>
              <w:t>9,792</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8,678</w:t>
            </w:r>
          </w:p>
        </w:tc>
        <w:tc>
          <w:tcPr>
            <w:tcW w:type="dxa" w:w="1440"/>
            <w:shd w:fill="FAFAFA" w:val="clear"/>
          </w:tcPr>
          <w:p>
            <w:r>
              <w:rPr>
                <w:b/>
                <w:sz w:val="17"/>
              </w:rPr>
              <w:t>9,262</w:t>
            </w:r>
          </w:p>
        </w:tc>
        <w:tc>
          <w:tcPr>
            <w:tcW w:type="dxa" w:w="1440"/>
            <w:shd w:fill="FAFAFA" w:val="clear"/>
          </w:tcPr>
          <w:p>
            <w:r>
              <w:rPr>
                <w:sz w:val="17"/>
              </w:rPr>
              <w:t>9,846</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8,590</w:t>
            </w:r>
          </w:p>
        </w:tc>
        <w:tc>
          <w:tcPr>
            <w:tcW w:type="dxa" w:w="1440"/>
            <w:shd w:fill="FAFAFA" w:val="clear"/>
          </w:tcPr>
          <w:p>
            <w:r>
              <w:rPr>
                <w:b/>
                <w:sz w:val="17"/>
              </w:rPr>
              <w:t>9,241</w:t>
            </w:r>
          </w:p>
        </w:tc>
        <w:tc>
          <w:tcPr>
            <w:tcW w:type="dxa" w:w="1440"/>
            <w:shd w:fill="FAFAFA" w:val="clear"/>
          </w:tcPr>
          <w:p>
            <w:r>
              <w:rPr>
                <w:sz w:val="17"/>
              </w:rPr>
              <w:t>9,893</w:t>
            </w:r>
          </w:p>
        </w:tc>
        <w:tc>
          <w:tcPr>
            <w:tcW w:type="dxa" w:w="1440"/>
            <w:shd w:fill="FAFAFA" w:val="clear"/>
          </w:tcPr>
          <w:p>
            <w:r>
              <w:rPr>
                <w:b/>
                <w:color w:val="C00000"/>
                <w:sz w:val="17"/>
              </w:rPr>
              <w:t>-1.7%</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8,510</w:t>
            </w:r>
          </w:p>
        </w:tc>
        <w:tc>
          <w:tcPr>
            <w:tcW w:type="dxa" w:w="1440"/>
            <w:shd w:fill="FAFAFA" w:val="clear"/>
          </w:tcPr>
          <w:p>
            <w:r>
              <w:rPr>
                <w:b/>
                <w:sz w:val="17"/>
              </w:rPr>
              <w:t>9,222</w:t>
            </w:r>
          </w:p>
        </w:tc>
        <w:tc>
          <w:tcPr>
            <w:tcW w:type="dxa" w:w="1440"/>
            <w:shd w:fill="FAFAFA" w:val="clear"/>
          </w:tcPr>
          <w:p>
            <w:r>
              <w:rPr>
                <w:sz w:val="17"/>
              </w:rPr>
              <w:t>9,934</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2026-10-20</w:t>
            </w:r>
          </w:p>
        </w:tc>
        <w:tc>
          <w:tcPr>
            <w:tcW w:type="dxa" w:w="1440"/>
            <w:shd w:fill="FFDCE0" w:val="clear"/>
          </w:tcPr>
          <w:p>
            <w:r>
              <w:rPr>
                <w:sz w:val="17"/>
              </w:rPr>
              <w:t>8,436</w:t>
            </w:r>
          </w:p>
        </w:tc>
        <w:tc>
          <w:tcPr>
            <w:tcW w:type="dxa" w:w="1440"/>
            <w:shd w:fill="FFDCE0" w:val="clear"/>
          </w:tcPr>
          <w:p>
            <w:r>
              <w:rPr>
                <w:b/>
                <w:sz w:val="17"/>
              </w:rPr>
              <w:t>9,204</w:t>
            </w:r>
          </w:p>
        </w:tc>
        <w:tc>
          <w:tcPr>
            <w:tcW w:type="dxa" w:w="1440"/>
            <w:shd w:fill="FFDCE0" w:val="clear"/>
          </w:tcPr>
          <w:p>
            <w:r>
              <w:rPr>
                <w:sz w:val="17"/>
              </w:rPr>
              <w:t>9,971</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2026-10-21</w:t>
            </w:r>
          </w:p>
        </w:tc>
        <w:tc>
          <w:tcPr>
            <w:tcW w:type="dxa" w:w="1440"/>
            <w:shd w:fill="FFDCE0" w:val="clear"/>
          </w:tcPr>
          <w:p>
            <w:r>
              <w:rPr>
                <w:sz w:val="17"/>
              </w:rPr>
              <w:t>8,367</w:t>
            </w:r>
          </w:p>
        </w:tc>
        <w:tc>
          <w:tcPr>
            <w:tcW w:type="dxa" w:w="1440"/>
            <w:shd w:fill="FFDCE0" w:val="clear"/>
          </w:tcPr>
          <w:p>
            <w:r>
              <w:rPr>
                <w:b/>
                <w:sz w:val="17"/>
              </w:rPr>
              <w:t>9,186</w:t>
            </w:r>
          </w:p>
        </w:tc>
        <w:tc>
          <w:tcPr>
            <w:tcW w:type="dxa" w:w="1440"/>
            <w:shd w:fill="FFDCE0" w:val="clear"/>
          </w:tcPr>
          <w:p>
            <w:r>
              <w:rPr>
                <w:sz w:val="17"/>
              </w:rPr>
              <w:t>10,005</w:t>
            </w:r>
          </w:p>
        </w:tc>
        <w:tc>
          <w:tcPr>
            <w:tcW w:type="dxa" w:w="1440"/>
            <w:shd w:fill="FFDCE0" w:val="clear"/>
          </w:tcPr>
          <w:p>
            <w:r>
              <w:rPr>
                <w:b/>
                <w:color w:val="C00000"/>
                <w:sz w:val="17"/>
              </w:rPr>
              <w:t>-2.3%</w:t>
            </w:r>
          </w:p>
        </w:tc>
      </w:tr>
      <w:tr>
        <w:tc>
          <w:tcPr>
            <w:tcW w:type="dxa" w:w="1440"/>
            <w:shd w:fill="FFDCE0" w:val="clear"/>
          </w:tcPr>
          <w:p>
            <w:r>
              <w:rPr>
                <w:sz w:val="17"/>
              </w:rPr>
              <w:t>J+9  Moyenne</w:t>
            </w:r>
          </w:p>
        </w:tc>
        <w:tc>
          <w:tcPr>
            <w:tcW w:type="dxa" w:w="1440"/>
            <w:shd w:fill="FFDCE0" w:val="clear"/>
          </w:tcPr>
          <w:p>
            <w:r>
              <w:rPr>
                <w:sz w:val="17"/>
              </w:rPr>
              <w:t>2026-10-22</w:t>
            </w:r>
          </w:p>
        </w:tc>
        <w:tc>
          <w:tcPr>
            <w:tcW w:type="dxa" w:w="1440"/>
            <w:shd w:fill="FFDCE0" w:val="clear"/>
          </w:tcPr>
          <w:p>
            <w:r>
              <w:rPr>
                <w:sz w:val="17"/>
              </w:rPr>
              <w:t>8,302</w:t>
            </w:r>
          </w:p>
        </w:tc>
        <w:tc>
          <w:tcPr>
            <w:tcW w:type="dxa" w:w="1440"/>
            <w:shd w:fill="FFDCE0" w:val="clear"/>
          </w:tcPr>
          <w:p>
            <w:r>
              <w:rPr>
                <w:b/>
                <w:sz w:val="17"/>
              </w:rPr>
              <w:t>9,170</w:t>
            </w:r>
          </w:p>
        </w:tc>
        <w:tc>
          <w:tcPr>
            <w:tcW w:type="dxa" w:w="1440"/>
            <w:shd w:fill="FFDCE0" w:val="clear"/>
          </w:tcPr>
          <w:p>
            <w:r>
              <w:rPr>
                <w:sz w:val="17"/>
              </w:rPr>
              <w:t>10,037</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8,241</w:t>
            </w:r>
          </w:p>
        </w:tc>
        <w:tc>
          <w:tcPr>
            <w:tcW w:type="dxa" w:w="1440"/>
            <w:shd w:fill="FFDCE0" w:val="clear"/>
          </w:tcPr>
          <w:p>
            <w:r>
              <w:rPr>
                <w:b/>
                <w:sz w:val="17"/>
              </w:rPr>
              <w:t>9,154</w:t>
            </w:r>
          </w:p>
        </w:tc>
        <w:tc>
          <w:tcPr>
            <w:tcW w:type="dxa" w:w="1440"/>
            <w:shd w:fill="FFDCE0" w:val="clear"/>
          </w:tcPr>
          <w:p>
            <w:r>
              <w:rPr>
                <w:sz w:val="17"/>
              </w:rPr>
              <w:t>10,066</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BOAB (Bank of Africa Bénin)</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381,27 milliards FCFA, BOAB s'impose comme l'une des valeurs bancaires les plus capitalisées de la BRVM, ce qui témoigne de sa liquidité relative et de son poids dans l'indice sectoriel. Le BPA de 496 FCFA/action signifie que chaque titre génère près de 500 FCFA de bénéfice net, un niveau appréciable pour le marché régional. Le PER de 19,0x traduit une valorisation nettement supérieure à la moyenne BRVM (~8-12x), les investisseurs acceptant de payer une prime pour la qualité et la régularité des résultats de la banque. Le P/B de 3,24x confirme cette prime de croissance : le marché valorise l'établissement à plus de trois fois ses fonds propres comptables (117,5 Mds FCFA), ce qui est exigeant mais cohérent avec un ROE de 17,1%. Enfin, l'EV/EBITDA de 19,5x (&gt;15x) signale une valorisation tendue par rapport à la capacité opérationnelle, laissant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BOAB affiche une variation totale de +0,00% et une variation J-1 de +0,00%, traduisant une phase de stagnation complète autour de 9 400 FCFA, sans dynamique directionnelle claire. Le range de trading est significatif, avec un plus haut à 10 350 FCFA et un plus bas à 8 520 FCFA, soit une amplitude de 1 830 FCFA (≈21%) qui révèle une réelle agitation intra-période malgré l'immobilité du point de départ et d'arrivée. La tendance générale est donc stable, avec une oscillation en dents de scie autour d'un pivot moyen de 9 174 FCFA. Les statistiques descriptives confirment cette asymétrie : la moyenne (9 174 FCFA) est supérieure à la médiane (8 950 FCFA), et le mode se situe à 8 700 FCFA, ce qui indique que le titre a passé davantage de séances sous sa moyenne — cohérent avec le skewness positif de 0,933 (plus de journées sous la moyenne, mais quelques pics haussiers marqués). L'écart-type de 557 FCFA et le coefficient de variation de 6,1% traduisent une dispersion modérée du cours, tandis que le kurtosis de -0,543 (mésokurtique) suggère une distribution proche de la normale, sans risque extrême de pics violents. La volatilité annualisée de 28,7% positionne le titre dans la catégorie **modérée à élevée** (15-30%), typique d'une valeur bancaire de la BRVM avec un flottant limité.</w:t>
      </w:r>
    </w:p>
    <w:p>
      <w:pPr>
        <w:spacing w:after="120" w:line="276" w:lineRule="auto"/>
      </w:pPr>
      <w:r>
        <w:t>---</w:t>
      </w:r>
    </w:p>
    <w:p>
      <w:pPr>
        <w:spacing w:after="120" w:line="276" w:lineRule="auto"/>
      </w:pPr>
      <w:r>
        <w:t>## PARTIE 2 : ANALYSE TECHNIQUE DÉTAILLÉE</w:t>
      </w:r>
    </w:p>
    <w:p>
      <w:pPr>
        <w:spacing w:after="120" w:line="276" w:lineRule="auto"/>
      </w:pPr>
      <w:r>
        <w:t>**Moyennes Mobiles** : La MM20 (9 519,5 FCFA) et la MM50 (9 482,9 FCFA) se situent toutes deux **au-dessus** du cours actuel (9 400 FCFA), ce qui place le titre en position de faiblesse relative à court et moyen terme. Toutefois, la MM20 étant légèrement supérieure à la MM50, la configuration reste haussière sur la structure, ce qui justifie la décision « Achat » fournie, mais avec prudence car le cours doit reconquérir ces niveaux pour confirmer.</w:t>
      </w:r>
    </w:p>
    <w:p>
      <w:pPr>
        <w:spacing w:after="120" w:line="276" w:lineRule="auto"/>
      </w:pPr>
      <w:r>
        <w:t>**Bandes de Bollinger** : Le cours (9 400 FCFA) évolue dans la partie basse de la bande, entre la borne inférieure (8 652,8 FCFA) et la borne supérieure (10 386,2 FCFA), sans toucher les extrêmes. Cette position médiane-basse, couplée à un écart-type modéré, indique une volatilité contenue et l'absence de signal directionnel fort — d'où la décision « Neutre ».</w:t>
      </w:r>
    </w:p>
    <w:p>
      <w:pPr>
        <w:spacing w:after="120" w:line="276" w:lineRule="auto"/>
      </w:pPr>
      <w:r>
        <w:t>**MACD** : La valeur du MACD (-85,531) est inférieure à son signal (-74,217), confirmant un momentum baissier à court terme. Le croisement négatif persistant plaide pour la prudence, justifiant la décision « Vente » qui contredit partiellement les moyennes mobiles.</w:t>
      </w:r>
    </w:p>
    <w:p>
      <w:pPr>
        <w:spacing w:after="120" w:line="276" w:lineRule="auto"/>
      </w:pPr>
      <w:r>
        <w:t>**RSI** : À 40,964, le RSI se situe dans la zone neutre (30-70), sans atteindre la survente (&lt;30). Cela signifie que le titre n'est ni survendu ni suracheté, laissant la porte ouverte à une reprise comme à une poursuite de la consolidation — décision « Neutre » cohérente.</w:t>
      </w:r>
    </w:p>
    <w:p>
      <w:pPr>
        <w:spacing w:after="120" w:line="276" w:lineRule="auto"/>
      </w:pPr>
      <w:r>
        <w:t>**Stochastique** : Le %K (63,542) est supérieur au %D (54,867), avec un croisement récent à la hausse en zone médiane. Ce signal haussier naissant contraste avec le MACD baissier, ce qui explique la décision « Neutre » et suggère une possible inflexion à court terme.</w:t>
      </w:r>
    </w:p>
    <w:p>
      <w:pPr>
        <w:spacing w:after="120" w:line="276" w:lineRule="auto"/>
      </w:pPr>
      <w:r>
        <w:t>**Conclusion technique** : Les indicateurs sont **divergents** — les moyennes mobiles et le stochastique suggèrent un potentiel de rebond, tandis que le MACD confirme une pression baissière et que le RSI/Bollinger restent neutres. Le titre se trouve dans une zone de consolidation sans signal fort, et la prudence est de mise tant que le cours n'aura pas reconquis la MM20 (9 519 FCFA) avec un MACD repassant au-dessus de son signal.</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 affiche un Produit Net Bancaire (PNB, équivalent du chiffre d'affaires) de 51,274 Mds FCFA, en croissance de 10,20% sur un an, et un résultat net de 20,107 Mds FCFA, soit une marge nette élevée de 39,22%. Le ROE s'établit à 17,11% (&gt;15% = excellent) et le ROA à 2,08%, confirmant une rentabilité solide. Le coefficient d'exploitation de 49,53% (&lt;50%) classe la banque parmi les établissements **très efficaces** du secteur. Le coût du risque (provisions/charges financières) de 22,50% reste élevé et constitue un point de vigilance sur la qualité du portefeuille de crédit. La structure bilancielle montre des dépôts clientèle de 711,642 Mds FCFA face à des créances clientèle de 391,724 Mds FCFA, soit un ratio de transformation (crédits/dépôts) de 55%, traduisant une gestion prudente et liquide. L'autonomie financière (12,18%) est faible mais normale pour une banque, dont le modèle repose sur le levier des dépôts.</w:t>
      </w:r>
    </w:p>
    <w:p>
      <w:pPr>
        <w:spacing w:after="120" w:line="276" w:lineRule="auto"/>
      </w:pPr>
      <w:r>
        <w:t>**Évolution et estimations issues des rapports trimestriels** : Le rapport du **T1 2026 (publié en 2026)** indique un PNB de 12,329 Mds FCFA (+11% en glissement annuel), un résultat net de 4,502 Mds FCFA (+1%) et des dépôts clientèle de 753,7 Mds FCFA (+3,5%). Le rapport du **T3 2025 (30/09/2025)** faisait état d'un PNB de 37,065 Mds FCFA (+9%) et d'un résultat net de 15,880 Mds FCFA (+13%), avec une contraction des crédits (-10%) et des dépôts (-5%) liée à des remboursements anticipés. Le rapport du **S1 2025 (30/06/2025)** affichait un PNB de 24,556 Mds FCFA (+5,91%) et un résultat net de 11,012 Mds FCFA (+0,75%), pénalisé par une explosion du coût du risque (+394,66%). Sur la base du T1 2026 (PNB +11%, commissions +18,9%), on peut **estimer** que l'exercice 2026 devrait enregistrer une croissance du PNB de l'ordre de 8-10%, avec un résultat net en progression modérée (3-6%) sous l'effet persistant des provisions. La dynamique des commissions (+18,9%) et de la marge nette bancaire (+8,5%) constitue un moteur de diversification positif.</w:t>
      </w:r>
    </w:p>
    <w:p>
      <w:pPr>
        <w:spacing w:after="120" w:line="276" w:lineRule="auto"/>
      </w:pPr>
      <w:r>
        <w:t>**Recommandation fondamentale** : BOAB présente des fondamentaux **solides et réguliers** — rentabilité élevée (ROE 17,1%), efficacité opérationnelle remarquable (coefficient &lt;50%), base de dépôts en croissance et structure financière saine. Les principaux risques résident dans le coût du risque élevé (22,5%), la stagnation des créances clientèle et la valorisation boursière exigeante (PER 19x). La recommandation fondamentale est **CONSERVER**, avec un biais positif pour les investisseurs de long terme recherchant la qualité et la régularité.</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**contrasté**. Sur le plan de la **valorisation (Partie 0)**, les ratios PER (19,0x), P/B (3,24x) et EV/EBITDA (19,5x) indiquent une **surévaluation relative** par rapport à la moyenne BRVM, la prime de qualité étant déjà pleinement intégrée dans le cours. Le **comportement du cours (Partie 1)** montre une stagnation totale (+0,00%) sur 100 jours, avec une volatilité modérée (28,7%) et une distribution asymétrique positive (skewness 0,933) — peu favorable à une dynamique haussière immédiate. Les **signaux techniques (Partie 2)** sont divergents : les moyennes mobiles et le stochastique suggèrent un rebond potentiel, mais le MACD baissier et le RSI neutre incitent à la prudence, sans convergence claire. Les **fondamentaux (Partie 3)** demeurent solides (ROE 17,1%, coefficient d'exploitation 49,5%, PNB +10,2% en 2025), mais la croissance du résultat net ralentit (+1% au T1 2026) sous l'effet du coût du risque. Enfin, les **prédictions IA (J+1 à J+10)** anticipent une trajectoire baissière graduelle de 9 344 FCFA (J+1) à 9 241 FCFA (J+10), soit une baisse d'environ 1,7% — ce qui **contredit** le signal d'achat des moyennes mobiles et **confirme** le momentum baissier du MACD.</w:t>
      </w:r>
    </w:p>
    <w:p>
      <w:pPr>
        <w:spacing w:after="120" w:line="276" w:lineRule="auto"/>
      </w:pPr>
      <w:r>
        <w:t>**Recommandation finale : CONSERVER** — Le titre présente une qualité fondamentale indéniable mais une valorisation tendue et un momentum technique incertain. La convergence entre la surévaluation (Partie 0), la stagnation du cours (Partie 1), le MACD baissier (Partie 2) et les prédictions IA baissières (J+1 à J+10) plaide contre un achat immédiat, tandis que la solidité des fondamentaux (Partie 3) interdit une vente. **Niveau de confiance : Moyen** (les signaux sont divergents). **Niveau de risque global : Moyen** (volatilité modérée, valorisation exigeante, coût du risque élevé). **Horizon d'investissement optimal : Moyen à long terme (6-18 mois)**, en attendant une correction vers la zone de support des 8 700-8 950 FCFA (médiane/mode) qui offrirait un point d'entrée plus attractif, ou une reconquête confirmée de la MM20 (9 519 FCFA) avec un MACD repassant positif.</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6,404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007800"/>
                <w:sz w:val="17"/>
              </w:rPr>
              <w:t>+48.24%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17.36% (Élevée) — μ=6,966 FCFA, σ=1,209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β=0.7522 (Défensif) — Cov=0.000055, Var(idx)=0.000073, ρ=0.283,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7,664</w:t>
            </w:r>
          </w:p>
        </w:tc>
        <w:tc>
          <w:tcPr>
            <w:tcW w:type="dxa" w:w="1440"/>
            <w:shd w:fill="FAFAFA" w:val="clear"/>
          </w:tcPr>
          <w:p>
            <w:r>
              <w:rPr>
                <w:b/>
                <w:sz w:val="17"/>
              </w:rPr>
              <w:t>7,958</w:t>
            </w:r>
          </w:p>
        </w:tc>
        <w:tc>
          <w:tcPr>
            <w:tcW w:type="dxa" w:w="1440"/>
            <w:shd w:fill="FAFAFA" w:val="clear"/>
          </w:tcPr>
          <w:p>
            <w:r>
              <w:rPr>
                <w:sz w:val="17"/>
              </w:rPr>
              <w:t>8,252</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7,509</w:t>
            </w:r>
          </w:p>
        </w:tc>
        <w:tc>
          <w:tcPr>
            <w:tcW w:type="dxa" w:w="1440"/>
            <w:shd w:fill="FAFAFA" w:val="clear"/>
          </w:tcPr>
          <w:p>
            <w:r>
              <w:rPr>
                <w:b/>
                <w:sz w:val="17"/>
              </w:rPr>
              <w:t>7,923</w:t>
            </w:r>
          </w:p>
        </w:tc>
        <w:tc>
          <w:tcPr>
            <w:tcW w:type="dxa" w:w="1440"/>
            <w:shd w:fill="FAFAFA" w:val="clear"/>
          </w:tcPr>
          <w:p>
            <w:r>
              <w:rPr>
                <w:sz w:val="17"/>
              </w:rPr>
              <w:t>8,337</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7,387</w:t>
            </w:r>
          </w:p>
        </w:tc>
        <w:tc>
          <w:tcPr>
            <w:tcW w:type="dxa" w:w="1440"/>
            <w:shd w:fill="FAFAFA" w:val="clear"/>
          </w:tcPr>
          <w:p>
            <w:r>
              <w:rPr>
                <w:b/>
                <w:sz w:val="17"/>
              </w:rPr>
              <w:t>7,892</w:t>
            </w:r>
          </w:p>
        </w:tc>
        <w:tc>
          <w:tcPr>
            <w:tcW w:type="dxa" w:w="1440"/>
            <w:shd w:fill="FAFAFA" w:val="clear"/>
          </w:tcPr>
          <w:p>
            <w:r>
              <w:rPr>
                <w:sz w:val="17"/>
              </w:rPr>
              <w:t>8,397</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7,287</w:t>
            </w:r>
          </w:p>
        </w:tc>
        <w:tc>
          <w:tcPr>
            <w:tcW w:type="dxa" w:w="1440"/>
            <w:shd w:fill="FAFAFA" w:val="clear"/>
          </w:tcPr>
          <w:p>
            <w:r>
              <w:rPr>
                <w:b/>
                <w:sz w:val="17"/>
              </w:rPr>
              <w:t>7,868</w:t>
            </w:r>
          </w:p>
        </w:tc>
        <w:tc>
          <w:tcPr>
            <w:tcW w:type="dxa" w:w="1440"/>
            <w:shd w:fill="FAFAFA" w:val="clear"/>
          </w:tcPr>
          <w:p>
            <w:r>
              <w:rPr>
                <w:sz w:val="17"/>
              </w:rPr>
              <w:t>8,449</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7,200</w:t>
            </w:r>
          </w:p>
        </w:tc>
        <w:tc>
          <w:tcPr>
            <w:tcW w:type="dxa" w:w="1440"/>
            <w:shd w:fill="FAFAFA" w:val="clear"/>
          </w:tcPr>
          <w:p>
            <w:r>
              <w:rPr>
                <w:b/>
                <w:sz w:val="17"/>
              </w:rPr>
              <w:t>7,848</w:t>
            </w:r>
          </w:p>
        </w:tc>
        <w:tc>
          <w:tcPr>
            <w:tcW w:type="dxa" w:w="1440"/>
            <w:shd w:fill="FAFAFA" w:val="clear"/>
          </w:tcPr>
          <w:p>
            <w:r>
              <w:rPr>
                <w:sz w:val="17"/>
              </w:rPr>
              <w:t>8,496</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7,121</w:t>
            </w:r>
          </w:p>
        </w:tc>
        <w:tc>
          <w:tcPr>
            <w:tcW w:type="dxa" w:w="1440"/>
            <w:shd w:fill="FFDCE0" w:val="clear"/>
          </w:tcPr>
          <w:p>
            <w:r>
              <w:rPr>
                <w:b/>
                <w:sz w:val="17"/>
              </w:rPr>
              <w:t>7,830</w:t>
            </w:r>
          </w:p>
        </w:tc>
        <w:tc>
          <w:tcPr>
            <w:tcW w:type="dxa" w:w="1440"/>
            <w:shd w:fill="FFDCE0" w:val="clear"/>
          </w:tcPr>
          <w:p>
            <w:r>
              <w:rPr>
                <w:sz w:val="17"/>
              </w:rPr>
              <w:t>8,538</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7,049</w:t>
            </w:r>
          </w:p>
        </w:tc>
        <w:tc>
          <w:tcPr>
            <w:tcW w:type="dxa" w:w="1440"/>
            <w:shd w:fill="FFDCE0" w:val="clear"/>
          </w:tcPr>
          <w:p>
            <w:r>
              <w:rPr>
                <w:b/>
                <w:sz w:val="17"/>
              </w:rPr>
              <w:t>7,813</w:t>
            </w:r>
          </w:p>
        </w:tc>
        <w:tc>
          <w:tcPr>
            <w:tcW w:type="dxa" w:w="1440"/>
            <w:shd w:fill="FFDCE0" w:val="clear"/>
          </w:tcPr>
          <w:p>
            <w:r>
              <w:rPr>
                <w:sz w:val="17"/>
              </w:rPr>
              <w:t>8,576</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6,982</w:t>
            </w:r>
          </w:p>
        </w:tc>
        <w:tc>
          <w:tcPr>
            <w:tcW w:type="dxa" w:w="1440"/>
            <w:shd w:fill="FFDCE0" w:val="clear"/>
          </w:tcPr>
          <w:p>
            <w:r>
              <w:rPr>
                <w:b/>
                <w:sz w:val="17"/>
              </w:rPr>
              <w:t>7,796</w:t>
            </w:r>
          </w:p>
        </w:tc>
        <w:tc>
          <w:tcPr>
            <w:tcW w:type="dxa" w:w="1440"/>
            <w:shd w:fill="FFDCE0" w:val="clear"/>
          </w:tcPr>
          <w:p>
            <w:r>
              <w:rPr>
                <w:sz w:val="17"/>
              </w:rPr>
              <w:t>8,611</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6,919</w:t>
            </w:r>
          </w:p>
        </w:tc>
        <w:tc>
          <w:tcPr>
            <w:tcW w:type="dxa" w:w="1440"/>
            <w:shd w:fill="FFDCE0" w:val="clear"/>
          </w:tcPr>
          <w:p>
            <w:r>
              <w:rPr>
                <w:b/>
                <w:sz w:val="17"/>
              </w:rPr>
              <w:t>7,781</w:t>
            </w:r>
          </w:p>
        </w:tc>
        <w:tc>
          <w:tcPr>
            <w:tcW w:type="dxa" w:w="1440"/>
            <w:shd w:fill="FFDCE0" w:val="clear"/>
          </w:tcPr>
          <w:p>
            <w:r>
              <w:rPr>
                <w:sz w:val="17"/>
              </w:rPr>
              <w:t>8,643</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6,859</w:t>
            </w:r>
          </w:p>
        </w:tc>
        <w:tc>
          <w:tcPr>
            <w:tcW w:type="dxa" w:w="1440"/>
            <w:shd w:fill="FFDCE0" w:val="clear"/>
          </w:tcPr>
          <w:p>
            <w:r>
              <w:rPr>
                <w:b/>
                <w:sz w:val="17"/>
              </w:rPr>
              <w:t>7,765</w:t>
            </w:r>
          </w:p>
        </w:tc>
        <w:tc>
          <w:tcPr>
            <w:tcW w:type="dxa" w:w="1440"/>
            <w:shd w:fill="FFDCE0" w:val="clear"/>
          </w:tcPr>
          <w:p>
            <w:r>
              <w:rPr>
                <w:sz w:val="17"/>
              </w:rPr>
              <w:t>8,672</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BOABF (Bank of Africa Burkina Faso)</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352,22 milliards FCFA, BOABF s'impose comme l'une des valeurs bancaires de référence de la cote BRVM, reflétant la solidité d'un établissement de premier plan au Burkina Faso. Le BPA de 438 FCFA/action signifie que chaque titre génère près de 438 FCFA de bénéfice net, un niveau confortable qui soutient la distribution de dividendes (397 FCFA/action versés en avril 2026 au titre de l'exercice 2025). Le PER de 18,3x se situe nettement au-dessus de la moyenne BRVM (~8-12x), traduisant une prime de qualité que le marché accorde à la banque — mais qui laisse peu de marge d'erreur en cas de déception sur les résultats. Le P/B de 2,78x confirme cette prime de croissance (le marché valorise près de 3 fois les fonds propres comptables), tandis que l'EV/EBITDA de 8,1x reste dans la fourchette raisonnable de 5-10x, indiquant que la valeur d'entreprise reste cohérente avec la capacité opérationnelle. Globalement, la valorisation est **exigeante mais justifiée** par la qualité des fondamentaux, à condition que la dynamique commerciale se redresse.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BOABF affiche une performance remarquable de **+48,24%**, avec une dernière séance en légère hausse de +0,69% à 8 005 FCFA, confirmant un momentum haussier toujours intact. Le titre a évolué dans un range très large de 5 300 FCFA (plus bas) à 9 090 FCFA (plus haut), soit un écart de plus de 71%, illustrant une phase de revalorisation puissante portée par le retour de la confiance des investisseurs. La tendance générale est clairement **haussière**, le cours actuel (8 005 FCFA) se maintenant au-dessus de la moyenne (6 966 FCFA) et de la médiane (7 148 FCFA), bien qu'il se soit replié de son sommet récent. Les statistiques descriptives révèlent une distribution **symétrique** (skewness = 0,168) mais **aplatie** (kurtosis = -1,272, distribution platykurtique), ce qui signifie que le cours a évolué de manière régulière sans pics extrêmes violents — un comportement rassurant pour la gestion du risque. L'écart-type de 1 215 FCFA avec un coefficient de variation de 17,4% indique une dispersion modérée autour de la moyenne, tandis que la volatilité annualisée de **35,9%** classe le titre dans la catégorie **élevée** (&gt;30%), typique des valeurs bancaires africaines en phase de revalorisation.</w:t>
      </w:r>
    </w:p>
    <w:p>
      <w:pPr>
        <w:spacing w:after="120" w:line="276" w:lineRule="auto"/>
      </w:pPr>
      <w:r>
        <w:t>---</w:t>
      </w:r>
    </w:p>
    <w:p>
      <w:pPr>
        <w:spacing w:after="120" w:line="276" w:lineRule="auto"/>
      </w:pPr>
      <w:r>
        <w:t>## PARTIE 2 : ANALYSE TECHNIQUE DÉTAILLÉE</w:t>
      </w:r>
    </w:p>
    <w:p>
      <w:pPr>
        <w:spacing w:after="120" w:line="276" w:lineRule="auto"/>
      </w:pPr>
      <w:r>
        <w:t>**Moyennes Mobiles** : La MM20 (8 056,75 FCFA) et la MM50 (7 986,70 FCFA) encadrent le cours actuel (8 005 FCFA), qui se situe légèrement sous la MM20 mais au-dessus de la MM50. Cette configuration indique que la tendance de moyen terme reste haussière (MM20 &gt; MM50), mais que le titre subit une légère consolidation court terme. La décision technique est **Achat**, soutenue par la structure haussière des moyennes.</w:t>
      </w:r>
    </w:p>
    <w:p>
      <w:pPr>
        <w:spacing w:after="120" w:line="276" w:lineRule="auto"/>
      </w:pPr>
      <w:r>
        <w:t>**Bandes de Bollinger** : Le cours (8 005 FCFA) évolue dans la partie médiane de la bande, entre la borne inférieure (7 305,84 FCFA) et la borne supérieure (8 807,66 FCFA), sans contact avec les extrêmes. Cette position centrale traduit une **absence de signal directionnel fort** et une volatilité en normalisation après la forte hausse. La décision est **Neutre**, le titre n'étant ni suracheté ni survendu selon ce critère.</w:t>
      </w:r>
    </w:p>
    <w:p>
      <w:pPr>
        <w:spacing w:after="120" w:line="276" w:lineRule="auto"/>
      </w:pPr>
      <w:r>
        <w:t>**MACD** : La valeur du MACD (-45,611) est nettement inférieure à son signal (-16,21), générant un croisement baissier qui signale un **essoufflement du momentum haussier**. Cette divergence négative suggère que la dynamique de court terme s'affaiblit, bien que le MACD reste en territoire négatif modéré. La décision est **Vente**, appelant à la prudence sur les positions court terme.</w:t>
      </w:r>
    </w:p>
    <w:p>
      <w:pPr>
        <w:spacing w:after="120" w:line="276" w:lineRule="auto"/>
      </w:pPr>
      <w:r>
        <w:t>**RSI** : À 55,616, le RSI se situe en zone **neutre** (30-70), sans signal de surachat (&gt;70) ni de survente (&lt;30). Cette valeur indique un équilibre entre acheteurs et vendeurs, avec une légère prédominance haussière. La décision est **Neutre**, le titre disposant encore d'un potentiel de hausse sans être excessif.</w:t>
      </w:r>
    </w:p>
    <w:p>
      <w:pPr>
        <w:spacing w:after="120" w:line="276" w:lineRule="auto"/>
      </w:pPr>
      <w:r>
        <w:t>**Stochastique** : Le %K (67,222) est légèrement supérieur au %D (61,296), sans croisement significatif récent. Les deux lignes évoluent en zone haute mais sans atteindre la zone de surachat (&gt;80), suggérant une **pression acheteuse modérée mais persistante**. La décision est **Neutre**, en attente d'un signal plus clair.</w:t>
      </w:r>
    </w:p>
    <w:p>
      <w:pPr>
        <w:spacing w:after="120" w:line="276" w:lineRule="auto"/>
      </w:pPr>
      <w:r>
        <w:t>**Conclusion technique** : Les indicateurs présentent une **configuration mitigée** — les moyennes mobiles restent haussières (Achat), mais le MACD signale un essoufflement (Vente), tandis que Bollinger, RSI et Stochastique restent neutres. Cette divergence suggère une **phase de consolidation** après la forte hausse de +48%, avec un risque de correction court terme mais une tendance de fond toujours positive. La prudence est de mise à court terme, mais la structure technique globale reste favorable à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BOABF affiche un Produit Net Bancaire (PNB) de **57 820 millions FCFA**, quasi stable par rapport à 2024 (+0,6%), et un résultat net de **19 252 millions FCFA**, en recul de -14,1% sur un an. Cette baisse s'explique principalement par un **coût du risque quasi doublé** (8 355 millions FCFA contre 4 303 millions en 2024), reflétant une dégradation temporaire de la qualité du portefeuille de crédits. Le ROE de 15,22% reste **excellent** (&gt;15%), témoignant d'une rentabilité des fonds propres solide, tandis que le ROA de 1,68% est conforme aux standards bancaires. Le coefficient d'exploitation de **47,19%** est **excellent** (&lt;50%), confirmant une grande efficacité opérationnelle. Le ratio dépôts/crédits (877 822 / 474 064 = 1,85x) indique une **sur-liquidité** — la banque collecte près de deux fois plus qu'elle ne prête, ce qui limite le risque mais pèse sur la marge d'intérêt. Le coût du risque/charges financières de 33,92% reste **élevé**, signalant un portefeuille de crédits sous pression.</w:t>
      </w:r>
    </w:p>
    <w:p>
      <w:pPr>
        <w:spacing w:after="120" w:line="276" w:lineRule="auto"/>
      </w:pPr>
      <w:r>
        <w:t>**Estimations basées sur les rapports trimestriels** : Le rapport du **T1 2026 (31/03/2026)** révèle un PNB de 12 694 millions FCFA (-10,75% sur un an) et un résultat net de 4 520 millions FCFA (-12,99%), confirmant la pression sur l'activité. Cependant, le rapport du **S1 2026 (30/06/2026)** montre un **net redressement** : le résultat net bondit de +31,0% à 10 770 millions FCFA, porté par une amélioration spectaculaire du coût du risque (-65,2% à -2 396 millions). Les dépôts clientèle progressent de +7,4% à 942 692 millions FCFA, tandis que les crédits nets augmentent légèrement (+1,3% à 479 993 millions). **On estime donc que l'exercice 2026 devrait afficher un résultat net en nette amélioration** (potentiellement &gt;22 000 millions FCFA), grâce à la normalisation du coût du risque, malgré un PNB toujours sous pression (-5,2% au S1 2026).</w:t>
      </w:r>
    </w:p>
    <w:p>
      <w:pPr>
        <w:spacing w:after="120" w:line="276" w:lineRule="auto"/>
      </w:pPr>
      <w:r>
        <w:t>**Recommandation fondamentale** : La solidité financière de BOABF reste **incontestable** (ROE &gt;15%, coefficient d'exploitation &lt;50%, autonomie financière correcte), mais les **risques sont réels** : contraction du PNB, dépendance à la normalisation du coût du risque, et exposition au contexte sécuritaire burkinabè. La recommandation fondamentale est **CONSERVER**, avec un biais positif à moyen terme si la dynamique commerciale se redresse.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**exigeante** (PER 18,3x vs moyenne BRVM 8-12x, P/B 2,78x), mais justifiée par la qualité des fondamentaux et la prime de croissance accordée au secteur bancaire burkinabè. Le comportement du cours (Partie 1) est **haussier** (+48,24% sur 100 jours) avec une volatilité élevée (35,9%) mais une distribution symétrique et sans pics extrêmes (kurtosis -1,272), ce qui est rassurant. Les signaux techniques (Partie 2) sont **mitigés** : les moyennes mobiles restent haussières, mais le MACD signale un essoufflement, et les autres indicateurs sont neutres — suggérant une consolidation court terme. Les fondamentaux (Partie 3) sont **solides mais sous pression** : ROE excellent (15,22%), coefficient d'exploitation remarquable (47,19%), mais PNB en contraction et coût du risque élevé en 2025, avec une **nette amélioration attendue en 2026** selon les rapports S1 2026 (+31% de résultat net). Les **prédictions IA** (J+1 à J+10) anticipent une **légère correction** de 7 958 FCFA à 7 848 FCFA (-2%), confirmant la phase de consolidation technique.</w:t>
      </w:r>
    </w:p>
    <w:p>
      <w:pPr>
        <w:spacing w:after="120" w:line="276" w:lineRule="auto"/>
      </w:pPr>
      <w:r>
        <w:t>**Recommandation finale** : **CONSERVER**</w:t>
        <w:br/>
        <w:t>- **Justification** : La convergence entre une valorisation exigeante, des signaux techniques mitigés (MACD baissier) et des fondamentaux en amélioration mais fragiles (PNB en baisse) plaide pour une **position attentiste**. Le potentiel de hausse à moyen terme est réel (normalisation du coût du risque, dividende attractif de 397 FCFA/action), mais le risque de correction court terme (prédictions IA baissières, MACD négatif) invite à la prudence.</w:t>
        <w:br/>
        <w:t>- **Niveau de confiance** : **Moyen** — les fondamentaux sont solides, mais l'incertitude sur la dynamique commerciale et le contexte sécuritaire limite la visibilité.</w:t>
        <w:br/>
        <w:t>- **Niveau de risque global** : **Moyen à Élevé** — volatilité élevée (35,9%), exposition géographique au Burkina Faso, et valorisation tendue.</w:t>
        <w:br/>
        <w:t>- **Horizon d'investissement optimal** : **Moyen terme (3-12 mois)** — pour capturer la normalisation du coût du risque et la reprise progressive de l'activité, tout en surveillant les prochains rapports trimestriels (T3 2026) pour confirmer la tendance.</w:t>
      </w:r>
    </w:p>
    <w:p>
      <w:pPr>
        <w:spacing w:after="120" w:line="276" w:lineRule="auto"/>
      </w:pPr>
      <w:r>
        <w:t>---</w:t>
      </w:r>
    </w:p>
    <w:p>
      <w:pPr>
        <w:spacing w:after="120" w:line="276" w:lineRule="auto"/>
      </w:pPr>
      <w:r>
        <w:t>*Rapport généré le 12 octobre 2026 — Sources : BRVM, états financiers BOABF 2025, rapports trimestriels T1/S1 2026, calendrier des dividendes 2025.*</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20261009   calendrier de paiement des dividendes   exercice 2025</w:t>
      </w:r>
    </w:p>
    <w:p>
      <w:pPr>
        <w:spacing w:before="20"/>
        <w:ind w:left="400"/>
      </w:pPr>
      <w:r>
        <w:rPr>
          <w:color w:val="505050"/>
          <w:sz w:val="17"/>
        </w:rPr>
        <w:t xml:space="preserve">Date : 12/10/2026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avec les montants nets par action, les dates de publication d'avis, les dates ex-dividende et les dates de paiement. Le document couvre plus de trente sociétés de la zone UEMOA, avec des paiements échelonnés d'avril à octobre 2026. Les montants indiqués sont nets, sauf pour les sociétés marquées d'un astérisque dont le dividende est brut avec application de l'IRVM.</w:t>
      </w:r>
    </w:p>
    <w:p>
      <w:pPr>
        <w:spacing w:before="60"/>
        <w:ind w:left="400"/>
      </w:pPr>
      <w:r>
        <w:rPr>
          <w:b/>
          <w:sz w:val="18"/>
        </w:rPr>
        <w:t>Points clés :</w:t>
      </w:r>
    </w:p>
    <w:p>
      <w:pPr>
        <w:pStyle w:val="ListBullet"/>
        <w:spacing w:before="20" w:after="20"/>
        <w:ind w:left="700"/>
      </w:pPr>
      <w:r>
        <w:rPr>
          <w:sz w:val="18"/>
        </w:rPr>
        <w:t>Le calendrier couvre les dividendes de l'exercice 2025 pour plus de 30 sociétés cotées à la BRVM</w:t>
      </w:r>
    </w:p>
    <w:p>
      <w:pPr>
        <w:pStyle w:val="ListBullet"/>
        <w:spacing w:before="20" w:after="20"/>
        <w:ind w:left="700"/>
      </w:pPr>
      <w:r>
        <w:rPr>
          <w:sz w:val="18"/>
        </w:rPr>
        <w:t>Les paiements s'échelonnent du 23 avril 2026 (BOA Burkina Faso) au 27 octobre 2026 (Africa Global Logistics CI)</w:t>
      </w:r>
    </w:p>
    <w:p>
      <w:pPr>
        <w:pStyle w:val="ListBullet"/>
        <w:spacing w:before="20" w:after="20"/>
        <w:ind w:left="700"/>
      </w:pPr>
      <w:r>
        <w:rPr>
          <w:sz w:val="18"/>
        </w:rPr>
        <w:t>Les montants nets par action varient de 0,9184 FCFA (Ecobank Transnational Incorporated) à 2 606 FCFA (Société Générale CI)</w:t>
      </w:r>
    </w:p>
    <w:p>
      <w:pPr>
        <w:pStyle w:val="ListBullet"/>
        <w:spacing w:before="20" w:after="20"/>
        <w:ind w:left="700"/>
      </w:pPr>
      <w:r>
        <w:rPr>
          <w:sz w:val="18"/>
        </w:rPr>
        <w:t>Les sociétés marquées d'un astérisque affichent un dividende brut soumis à l'IRVM de 12% pour les personnes physiques et 10% pour les personnes morales</w:t>
      </w:r>
    </w:p>
    <w:p>
      <w:pPr>
        <w:pStyle w:val="ListBullet"/>
        <w:spacing w:before="20" w:after="20"/>
        <w:ind w:left="700"/>
      </w:pPr>
      <w:r>
        <w:rPr>
          <w:sz w:val="18"/>
        </w:rPr>
        <w:t>Chaque ligne précise le numéro d'avis, la date de publication au BOC, la date ex-dividende (T-1) et la date de paiement (T)</w:t>
      </w:r>
    </w:p>
    <w:p>
      <w:pPr>
        <w:ind w:left="400"/>
      </w:pPr>
      <w:r>
        <w:rPr>
          <w:color w:val="B4B4B4"/>
          <w:sz w:val="14"/>
        </w:rPr>
        <w:t xml:space="preserve">· · · · · · · · · · · · · · · · · · · · · · · · · · · · · · </w:t>
      </w:r>
    </w:p>
    <w:p>
      <w:pPr>
        <w:spacing w:before="160"/>
      </w:pPr>
      <w:r>
        <w:rPr>
          <w:b/>
          <w:color w:val="0066CC"/>
          <w:sz w:val="20"/>
        </w:rPr>
        <w:t xml:space="preserve">[3]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[5]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451.80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10,736 titres</w:t>
            </w:r>
          </w:p>
        </w:tc>
        <w:tc>
          <w:tcPr>
            <w:tcW w:type="dxa" w:w="2268"/>
            <w:shd w:fill="FFF2CC" w:val="clear"/>
          </w:tcPr>
          <w:p>
            <w:r>
              <w:rPr>
                <w:b/>
                <w:color w:val="503200"/>
                <w:sz w:val="16"/>
              </w:rPr>
              <w:t xml:space="preserve">Cours actuel : </w:t>
            </w:r>
            <w:r>
              <w:rPr>
                <w:color w:val="000000"/>
                <w:sz w:val="17"/>
              </w:rPr>
              <w:t>11,295 FCFA</w:t>
            </w:r>
          </w:p>
          <w:p>
            <w:r>
              <w:rPr>
                <w:b/>
                <w:color w:val="503200"/>
                <w:sz w:val="16"/>
              </w:rPr>
              <w:t xml:space="preserve">Var. 100 jours : </w:t>
            </w:r>
            <w:r>
              <w:rPr>
                <w:b/>
                <w:color w:val="007800"/>
                <w:sz w:val="17"/>
              </w:rPr>
              <w:t>+30.50%</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8,655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14.16% (Moyenne) — μ=10,663 FCFA, σ=1,510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β=0.7476 (Défensif) — Cov=0.000055, Var(idx)=0.000073, ρ=0.361,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10,736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10,992</w:t>
            </w:r>
          </w:p>
        </w:tc>
        <w:tc>
          <w:tcPr>
            <w:tcW w:type="dxa" w:w="1440"/>
            <w:shd w:fill="FAFAFA" w:val="clear"/>
          </w:tcPr>
          <w:p>
            <w:r>
              <w:rPr>
                <w:b/>
                <w:sz w:val="17"/>
              </w:rPr>
              <w:t>11,317</w:t>
            </w:r>
          </w:p>
        </w:tc>
        <w:tc>
          <w:tcPr>
            <w:tcW w:type="dxa" w:w="1440"/>
            <w:shd w:fill="FAFAFA" w:val="clear"/>
          </w:tcPr>
          <w:p>
            <w:r>
              <w:rPr>
                <w:sz w:val="17"/>
              </w:rPr>
              <w:t>11,641</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10,873</w:t>
            </w:r>
          </w:p>
        </w:tc>
        <w:tc>
          <w:tcPr>
            <w:tcW w:type="dxa" w:w="1440"/>
            <w:shd w:fill="FAFAFA" w:val="clear"/>
          </w:tcPr>
          <w:p>
            <w:r>
              <w:rPr>
                <w:b/>
                <w:sz w:val="17"/>
              </w:rPr>
              <w:t>11,333</w:t>
            </w:r>
          </w:p>
        </w:tc>
        <w:tc>
          <w:tcPr>
            <w:tcW w:type="dxa" w:w="1440"/>
            <w:shd w:fill="FAFAFA" w:val="clear"/>
          </w:tcPr>
          <w:p>
            <w:r>
              <w:rPr>
                <w:sz w:val="17"/>
              </w:rPr>
              <w:t>11,792</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10,787</w:t>
            </w:r>
          </w:p>
        </w:tc>
        <w:tc>
          <w:tcPr>
            <w:tcW w:type="dxa" w:w="1440"/>
            <w:shd w:fill="FAFAFA" w:val="clear"/>
          </w:tcPr>
          <w:p>
            <w:r>
              <w:rPr>
                <w:b/>
                <w:sz w:val="17"/>
              </w:rPr>
              <w:t>11,350</w:t>
            </w:r>
          </w:p>
        </w:tc>
        <w:tc>
          <w:tcPr>
            <w:tcW w:type="dxa" w:w="1440"/>
            <w:shd w:fill="FAFAFA" w:val="clear"/>
          </w:tcPr>
          <w:p>
            <w:r>
              <w:rPr>
                <w:sz w:val="17"/>
              </w:rPr>
              <w:t>11,914</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10,716</w:t>
            </w:r>
          </w:p>
        </w:tc>
        <w:tc>
          <w:tcPr>
            <w:tcW w:type="dxa" w:w="1440"/>
            <w:shd w:fill="FAFAFA" w:val="clear"/>
          </w:tcPr>
          <w:p>
            <w:r>
              <w:rPr>
                <w:b/>
                <w:sz w:val="17"/>
              </w:rPr>
              <w:t>11,368</w:t>
            </w:r>
          </w:p>
        </w:tc>
        <w:tc>
          <w:tcPr>
            <w:tcW w:type="dxa" w:w="1440"/>
            <w:shd w:fill="FAFAFA" w:val="clear"/>
          </w:tcPr>
          <w:p>
            <w:r>
              <w:rPr>
                <w:sz w:val="17"/>
              </w:rPr>
              <w:t>12,019</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10,654</w:t>
            </w:r>
          </w:p>
        </w:tc>
        <w:tc>
          <w:tcPr>
            <w:tcW w:type="dxa" w:w="1440"/>
            <w:shd w:fill="FAFAFA" w:val="clear"/>
          </w:tcPr>
          <w:p>
            <w:r>
              <w:rPr>
                <w:b/>
                <w:sz w:val="17"/>
              </w:rPr>
              <w:t>11,384</w:t>
            </w:r>
          </w:p>
        </w:tc>
        <w:tc>
          <w:tcPr>
            <w:tcW w:type="dxa" w:w="1440"/>
            <w:shd w:fill="FAFAFA" w:val="clear"/>
          </w:tcPr>
          <w:p>
            <w:r>
              <w:rPr>
                <w:sz w:val="17"/>
              </w:rPr>
              <w:t>12,114</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10,600</w:t>
            </w:r>
          </w:p>
        </w:tc>
        <w:tc>
          <w:tcPr>
            <w:tcW w:type="dxa" w:w="1440"/>
            <w:shd w:fill="FAFAFA" w:val="clear"/>
          </w:tcPr>
          <w:p>
            <w:r>
              <w:rPr>
                <w:b/>
                <w:sz w:val="17"/>
              </w:rPr>
              <w:t>11,400</w:t>
            </w:r>
          </w:p>
        </w:tc>
        <w:tc>
          <w:tcPr>
            <w:tcW w:type="dxa" w:w="1440"/>
            <w:shd w:fill="FAFAFA" w:val="clear"/>
          </w:tcPr>
          <w:p>
            <w:r>
              <w:rPr>
                <w:sz w:val="17"/>
              </w:rPr>
              <w:t>12,201</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10,550</w:t>
            </w:r>
          </w:p>
        </w:tc>
        <w:tc>
          <w:tcPr>
            <w:tcW w:type="dxa" w:w="1440"/>
            <w:shd w:fill="FAFAFA" w:val="clear"/>
          </w:tcPr>
          <w:p>
            <w:r>
              <w:rPr>
                <w:b/>
                <w:sz w:val="17"/>
              </w:rPr>
              <w:t>11,416</w:t>
            </w:r>
          </w:p>
        </w:tc>
        <w:tc>
          <w:tcPr>
            <w:tcW w:type="dxa" w:w="1440"/>
            <w:shd w:fill="FAFAFA" w:val="clear"/>
          </w:tcPr>
          <w:p>
            <w:r>
              <w:rPr>
                <w:sz w:val="17"/>
              </w:rPr>
              <w:t>12,281</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10,504</w:t>
            </w:r>
          </w:p>
        </w:tc>
        <w:tc>
          <w:tcPr>
            <w:tcW w:type="dxa" w:w="1440"/>
            <w:shd w:fill="FAFAFA" w:val="clear"/>
          </w:tcPr>
          <w:p>
            <w:r>
              <w:rPr>
                <w:b/>
                <w:sz w:val="17"/>
              </w:rPr>
              <w:t>11,430</w:t>
            </w:r>
          </w:p>
        </w:tc>
        <w:tc>
          <w:tcPr>
            <w:tcW w:type="dxa" w:w="1440"/>
            <w:shd w:fill="FAFAFA" w:val="clear"/>
          </w:tcPr>
          <w:p>
            <w:r>
              <w:rPr>
                <w:sz w:val="17"/>
              </w:rPr>
              <w:t>12,357</w:t>
            </w:r>
          </w:p>
        </w:tc>
        <w:tc>
          <w:tcPr>
            <w:tcW w:type="dxa" w:w="1440"/>
            <w:shd w:fill="FAFAFA" w:val="clear"/>
          </w:tcPr>
          <w:p>
            <w:r>
              <w:rPr>
                <w:b/>
                <w:color w:val="008000"/>
                <w:sz w:val="17"/>
              </w:rPr>
              <w:t>+1.2%</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10,460</w:t>
            </w:r>
          </w:p>
        </w:tc>
        <w:tc>
          <w:tcPr>
            <w:tcW w:type="dxa" w:w="1440"/>
            <w:shd w:fill="FAFAFA" w:val="clear"/>
          </w:tcPr>
          <w:p>
            <w:r>
              <w:rPr>
                <w:b/>
                <w:sz w:val="17"/>
              </w:rPr>
              <w:t>11,445</w:t>
            </w:r>
          </w:p>
        </w:tc>
        <w:tc>
          <w:tcPr>
            <w:tcW w:type="dxa" w:w="1440"/>
            <w:shd w:fill="FAFAFA" w:val="clear"/>
          </w:tcPr>
          <w:p>
            <w:r>
              <w:rPr>
                <w:sz w:val="17"/>
              </w:rPr>
              <w:t>12,429</w:t>
            </w:r>
          </w:p>
        </w:tc>
        <w:tc>
          <w:tcPr>
            <w:tcW w:type="dxa" w:w="1440"/>
            <w:shd w:fill="FAFAFA" w:val="clear"/>
          </w:tcPr>
          <w:p>
            <w:r>
              <w:rPr>
                <w:b/>
                <w:color w:val="008000"/>
                <w:sz w:val="17"/>
              </w:rPr>
              <w:t>+1.3%</w:t>
            </w:r>
          </w:p>
        </w:tc>
      </w:tr>
      <w:tr>
        <w:tc>
          <w:tcPr>
            <w:tcW w:type="dxa" w:w="1440"/>
            <w:shd w:fill="FAFAFA" w:val="clear"/>
          </w:tcPr>
          <w:p>
            <w:r>
              <w:rPr>
                <w:sz w:val="17"/>
              </w:rPr>
              <w:t>J+10  Moyenne</w:t>
            </w:r>
          </w:p>
        </w:tc>
        <w:tc>
          <w:tcPr>
            <w:tcW w:type="dxa" w:w="1440"/>
            <w:shd w:fill="FAFAFA" w:val="clear"/>
          </w:tcPr>
          <w:p>
            <w:r>
              <w:rPr>
                <w:sz w:val="17"/>
              </w:rPr>
              <w:t>2026-10-23</w:t>
            </w:r>
          </w:p>
        </w:tc>
        <w:tc>
          <w:tcPr>
            <w:tcW w:type="dxa" w:w="1440"/>
            <w:shd w:fill="FAFAFA" w:val="clear"/>
          </w:tcPr>
          <w:p>
            <w:r>
              <w:rPr>
                <w:sz w:val="17"/>
              </w:rPr>
              <w:t>10,420</w:t>
            </w:r>
          </w:p>
        </w:tc>
        <w:tc>
          <w:tcPr>
            <w:tcW w:type="dxa" w:w="1440"/>
            <w:shd w:fill="FAFAFA" w:val="clear"/>
          </w:tcPr>
          <w:p>
            <w:r>
              <w:rPr>
                <w:b/>
                <w:sz w:val="17"/>
              </w:rPr>
              <w:t>11,458</w:t>
            </w:r>
          </w:p>
        </w:tc>
        <w:tc>
          <w:tcPr>
            <w:tcW w:type="dxa" w:w="1440"/>
            <w:shd w:fill="FAFAFA" w:val="clear"/>
          </w:tcPr>
          <w:p>
            <w:r>
              <w:rPr>
                <w:sz w:val="17"/>
              </w:rPr>
              <w:t>12,497</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 RAPPORT D'ANALYSE FINANCIÈRE — BOAC (Bank of Africa Côte d'Ivoire)</w:t>
        <w:br/>
        <w:t>### BRVM | Secteur Bancaire | Cours de référence : 11 295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451,80 milliards FCFA, BOAC s'impose comme l'une des valeurs bancaires les plus capitalisées de la BRVM, ce qui lui confère une liquidité relative et une visibilité institutionnelle appréciables. Le BPA de 888 FCFA/action signifie que chaque titre génère près de neuf cents francs de bénéfice net, un niveau de rentabilité par action solide. Le PER de 12,7x se situe légèrement au-dessus de la moyenne BRVM (~8-12x), traduisant une valorisation modérément exigeante mais justifiée par la qualité des fondamentaux. Le P/B de 3,55x indique que le marché valorise la banque à plus de trois fois sa valeur comptable — une prime de croissance significative, cohérente avec un ROE de 27,9%. En revanche, l'EV/EBITDA de 26,4x apparaît très exigeant (&gt;15x), signalant que la valeur d'entreprise intègre déjà une anticipation de croissance soutenue ; cet indicateur est toutefois moins pertinent pour une banque, dont la structure bilancielle diffère d'une entreprise industrielle.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progression remarquable de **+30,50%**, avec un cours actuel de 11 295 FCFA et une variation nulle sur la dernière séance (J-1 : +0,00%), signe d'une pause dans le mouvement haussier. Le range de trading est large, entre un plus bas de 8 655 FCFA et un plus haut de 13 450 FCFA, soit une amplitude de près de 55% — reflétant une dynamique haussière forte mais ponctuée de corrections. La moyenne (10 663 FCFA) est légèrement inférieure à la médiane (10 800 FCFA), ce qui suggère une asymétrie marginale vers les valeurs basses, bien que le skewness de 0,184 confirme une distribution quasi symétrique. L'écart-type de 1 517 FCFA (CV = 14,2%) indique une dispersion modérée du cours autour de sa moyenne, tandis que le kurtosis négatif (-1,463, distribution platykurtique) signale une faible concentration des rendements et un risque de pics extrêmes limité. La volatilité annualisée de 27,9% positionne le titre dans la catégorie **modérée à élevée** (15-30%), ce qui est cohérent avec un titre bancaire de croissance sur 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(11 619,25 FCFA) et la MM50 (12 045,70 FCFA) se situent toutes deux **au-dessus** du cours actuel (11 295 FCFA), ce qui place le titre en configuration baissière de court terme. La MM20 étant inférieure à la MM50, on observe un croisement baissier (death cross) confirmant la pression vendeuse. La décision technique est donc logiquement **Vente**.</w:t>
      </w:r>
    </w:p>
    <w:p>
      <w:pPr>
        <w:spacing w:after="120" w:line="276" w:lineRule="auto"/>
      </w:pPr>
      <w:r>
        <w:t>**Bandes de Bollinger** : Le cours (11 295 FCFA) évolue dans la partie basse du canal, entre la borne inférieure (10 781,78 FCFA) et la borne supérieure (12 456,72 FCFA). Cette position médiane-basse, sans franchissement des bornes, traduit une absence de signal extrême. La décision est **Neutre**, le marché étant en phase de consolidation.</w:t>
      </w:r>
    </w:p>
    <w:p>
      <w:pPr>
        <w:spacing w:after="120" w:line="276" w:lineRule="auto"/>
      </w:pPr>
      <w:r>
        <w:t>**MACD** : Le MACD (-209,898) est inférieur à son signal (-177,951), avec un histogramme négatif — configuration baissière classique. Le momentum reste négatif, bien que l'écart entre les deux lignes se réduise légèrement, ce qui pourrait annoncer un ralentissement de la pression vendeuse. La décision reste **Vente**.</w:t>
      </w:r>
    </w:p>
    <w:p>
      <w:pPr>
        <w:spacing w:after="120" w:line="276" w:lineRule="auto"/>
      </w:pPr>
      <w:r>
        <w:t>**RSI** : À 39,056, le RSI se situe dans la zone neutre basse (30-70), sans atteindre la zone de survente (&lt;30). Cela indique que le titre n'est ni suracheté ni survendu, mais penche vers la faiblesse. La décision est **Neutre**, avec un biais baissier modéré.</w:t>
      </w:r>
    </w:p>
    <w:p>
      <w:pPr>
        <w:spacing w:after="120" w:line="276" w:lineRule="auto"/>
      </w:pPr>
      <w:r>
        <w:t>**Stochastique** : Le %K (61,875) est supérieur au %D (50,932), ce qui constitue un signal haussier de court terme (croisement positif). Toutefois, les deux lignes restent en zone médiane, sans divergence marquée. La décision est **Neutre**, ce qui contraste avec les signaux baissiers des MM et du MACD.</w:t>
      </w:r>
    </w:p>
    <w:p>
      <w:pPr>
        <w:spacing w:after="120" w:line="276" w:lineRule="auto"/>
      </w:pPr>
      <w:r>
        <w:t>**Conclusion technique** : Les indicateurs sont majoritairement baissiers (MM, MACD) ou neutres (Bollinger, RSI, Stochastique), avec un seul signal haussier marginal (Stochastique). Le titre est en phase de correction après une forte hausse de +30,5%, et la convergence des signaux baissiers suggère une prudence à court terme. Un retournement haussier nécessiterait un franchissement de la MM20 (11 619 FCFA) et un croisement positif du MACD.</w:t>
      </w:r>
    </w:p>
    <w:p>
      <w:pPr>
        <w:spacing w:after="120" w:line="276" w:lineRule="auto"/>
      </w:pPr>
      <w:r>
        <w:t>---</w:t>
      </w:r>
    </w:p>
    <w:p>
      <w:pPr>
        <w:spacing w:after="120" w:line="276" w:lineRule="auto"/>
      </w:pPr>
      <w:r>
        <w:t>## PARTIE 3 : ANALYSE FONDAMENTALE</w:t>
      </w:r>
    </w:p>
    <w:p>
      <w:pPr>
        <w:spacing w:after="120" w:line="276" w:lineRule="auto"/>
      </w:pPr>
      <w:r>
        <w:t>**Données structurées (exercice 2025)** : BOAC affiche un Produit Net Bancaire (PNB) de **73 545 millions FCFA** en 2025, en légère hausse de +1,1% par rapport à 2024 (72 724 millions). Le résultat net s'établit à **35 540 millions FCFA**, en progression de +10,9% (vs 32 045 millions en 2024), porté par une amélioration du coût du risque (-27,8%, à -4 902 millions). Le ROE atteint **27,91%** (excellent, &gt;15%) et le ROA **3,22%**, confirmant une rentabilité exceptionnelle. Le coefficient d'exploitation de **36,70%** (&lt;60%) témoigne d'une efficacité opérationnelle remarquable. La marge nette de **48,32%** est très élevée, signe d'une excellente transformation du PNB en bénéfice. Le ratio dépôts/crédits (850 548 / 430 433 = **197,6%**) indique une surliquidité structurelle, avec des dépôts clientèle (850,5 Mds FCFA) largement supérieurs aux créances clientèle (430,4 Mds FCFA) — une situation prudente mais qui limite la marge d'intérêt. Le coût du risque (6,67% des charges financières) reste modéré, bien que les créances en souffrance aient augmenté de +52,1% sur l'année, un point de vigilance.</w:t>
      </w:r>
    </w:p>
    <w:p>
      <w:pPr>
        <w:spacing w:after="120" w:line="276" w:lineRule="auto"/>
      </w:pPr>
      <w:r>
        <w:t>**Estimations basées sur les rapports trimestriels** : Le rapport T1 2026 (publié le 31/03/2026, analysé le 05/09/2026) indique un PNB de 18 960 millions FCFA (+3,09% vs T1 2025) et un résultat net de 10 801 millions (+0,91%), mais avec un coût du risque en bond de +314,75% (-652 vs -157 millions). Le rapport S1 2025 (30/06/2025) montrait un PNB de 36,21 Mds FCFA (-0,35%) et un résultat net de 18,40 Mds (+4,29%). Sur la base de ces tendances, on estime que l'exercice 2026 devrait enregistrer une croissance modérée du PNB (+2 à +4%) et un résultat net stable à légèrement croissant (+1 à +3%), sous réserve que la dégradation du coût du risque au T1 2026 ne se confirme pas. Le rapport annuel 2025 (publié le 31/12/2025, analysé le 05/09/2026) confirme une recommandation **ACHAT** avec un dividende en hausse (684 FCFA/action au titre de 2024, soit un rendement de ~6,1% au cours actuel).</w:t>
      </w:r>
    </w:p>
    <w:p>
      <w:pPr>
        <w:spacing w:after="120" w:line="276" w:lineRule="auto"/>
      </w:pPr>
      <w:r>
        <w:t>**Conclusion fondamentale** : BOAC présente des fondamentaux solides (ROE &gt;27%, coefficient d'exploitation &lt;37%, marge nette &gt;48%), une structure financière saine (autonomie financière de 11,54%, solvabilité générale de 113%), et une politique de dividende attractive. Les risques principaux résident dans la hausse des créances en souffrance (+52,1%) et la dégradation du coût du risque au T1 2026. La recommandation fondamentale est **ACHAT** pour un investisseur de long terme, avec un suivi attentif de la qualité du portefeuille de crédit.</w:t>
      </w:r>
    </w:p>
    <w:p>
      <w:pPr>
        <w:spacing w:after="120" w:line="276" w:lineRule="auto"/>
      </w:pPr>
      <w:r>
        <w:t>---</w:t>
      </w:r>
    </w:p>
    <w:p>
      <w:pPr>
        <w:spacing w:after="120" w:line="276" w:lineRule="auto"/>
      </w:pPr>
      <w:r>
        <w:t>## PARTIE 4 : CONCLUSION D'INVESTISSEMENT</w:t>
      </w:r>
    </w:p>
    <w:p>
      <w:pPr>
        <w:spacing w:after="120" w:line="276" w:lineRule="auto"/>
      </w:pPr>
      <w:r>
        <w:t>La valorisation de BOAC (PER 12,7x, P/B 3,55x, EV/EBITDA 26,4x) indique une **surévaluation modérée** par rapport à la moyenne BRVM, mais justifiée par un ROE exceptionnel de 27,9% et une marge nette de 48,3%. Le comportement du cours sur 100 jours (+30,5%) reflète une tendance haussière forte, mais la volatilité modérée (27,9%) et la distribution platykurtique (kurtosis -1,463) suggèrent un risque de correction limité. Les signaux techniques sont majoritairement baissiers (MM20/MM50 au-dessus du cours, MACD négatif), avec un RSI neutre (39,06) et un Stochastique légèrement haussier — une divergence qui plaide pour une consolidation avant une reprise. Les fondamentaux restent solides (PNB 73,5 Mds FCFA en 2025, résultat net 35,5 Mds, ROE 27,9%), mais le T1 2026 montre un ralentissement de la croissance et une dégradation du coût du risque. Les prédictions IA (11 317 → 11 384 FCFA sur 10 jours) anticipent une **légère reprise** (+0,8%), ce qui contredit les signaux techniques baissiers mais s'aligne sur la solidité fondamentale. **Recommandation finale : CONSERVER**, avec un biais haussier pour les investisseurs déjà positionnés. Le niveau de confiance est **Moyen** (divergence technique/fondamental), le risque global est **Modéré** (volatilité 27,9%, exposition au risque de crédit), et l'horizon optimal est **moyen terme (3-12 mois)** pour capturer la reprise post-consolidation et le dividende attractif (~6,1%).</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6,405 titres</w:t>
            </w:r>
          </w:p>
        </w:tc>
        <w:tc>
          <w:tcPr>
            <w:tcW w:type="dxa" w:w="2268"/>
            <w:shd w:fill="FFF2CC" w:val="clear"/>
          </w:tcPr>
          <w:p>
            <w:r>
              <w:rPr>
                <w:b/>
                <w:color w:val="503200"/>
                <w:sz w:val="16"/>
              </w:rPr>
              <w:t xml:space="preserve">Cours actuel : </w:t>
            </w:r>
            <w:r>
              <w:rPr>
                <w:color w:val="000000"/>
                <w:sz w:val="17"/>
              </w:rPr>
              <w:t>6,100 FCFA</w:t>
            </w:r>
          </w:p>
          <w:p>
            <w:r>
              <w:rPr>
                <w:b/>
                <w:color w:val="503200"/>
                <w:sz w:val="16"/>
              </w:rPr>
              <w:t xml:space="preserve">Var. 100 jours : </w:t>
            </w:r>
            <w:r>
              <w:rPr>
                <w:b/>
                <w:color w:val="007800"/>
                <w:sz w:val="17"/>
              </w:rPr>
              <w:t>+30.06%</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13.41% (Moyenne) — μ=5,659 FCFA, σ=759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β=1.3514 (Agressif) — Cov=0.000099, Var(idx)=0.000073, ρ=0.419,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5,703</w:t>
            </w:r>
          </w:p>
        </w:tc>
        <w:tc>
          <w:tcPr>
            <w:tcW w:type="dxa" w:w="1440"/>
            <w:shd w:fill="FAFAFA" w:val="clear"/>
          </w:tcPr>
          <w:p>
            <w:r>
              <w:rPr>
                <w:b/>
                <w:sz w:val="17"/>
              </w:rPr>
              <w:t>6,041</w:t>
            </w:r>
          </w:p>
        </w:tc>
        <w:tc>
          <w:tcPr>
            <w:tcW w:type="dxa" w:w="1440"/>
            <w:shd w:fill="FAFAFA" w:val="clear"/>
          </w:tcPr>
          <w:p>
            <w:r>
              <w:rPr>
                <w:sz w:val="17"/>
              </w:rPr>
              <w:t>6,379</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2026-10-13</w:t>
            </w:r>
          </w:p>
        </w:tc>
        <w:tc>
          <w:tcPr>
            <w:tcW w:type="dxa" w:w="1440"/>
            <w:shd w:fill="FFDCE0" w:val="clear"/>
          </w:tcPr>
          <w:p>
            <w:r>
              <w:rPr>
                <w:sz w:val="17"/>
              </w:rPr>
              <w:t>5,490</w:t>
            </w:r>
          </w:p>
        </w:tc>
        <w:tc>
          <w:tcPr>
            <w:tcW w:type="dxa" w:w="1440"/>
            <w:shd w:fill="FFDCE0" w:val="clear"/>
          </w:tcPr>
          <w:p>
            <w:r>
              <w:rPr>
                <w:b/>
                <w:sz w:val="17"/>
              </w:rPr>
              <w:t>5,962</w:t>
            </w:r>
          </w:p>
        </w:tc>
        <w:tc>
          <w:tcPr>
            <w:tcW w:type="dxa" w:w="1440"/>
            <w:shd w:fill="FFDCE0" w:val="clear"/>
          </w:tcPr>
          <w:p>
            <w:r>
              <w:rPr>
                <w:sz w:val="17"/>
              </w:rPr>
              <w:t>6,434</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5,315</w:t>
            </w:r>
          </w:p>
        </w:tc>
        <w:tc>
          <w:tcPr>
            <w:tcW w:type="dxa" w:w="1440"/>
            <w:shd w:fill="FFDCE0" w:val="clear"/>
          </w:tcPr>
          <w:p>
            <w:r>
              <w:rPr>
                <w:b/>
                <w:sz w:val="17"/>
              </w:rPr>
              <w:t>5,886</w:t>
            </w:r>
          </w:p>
        </w:tc>
        <w:tc>
          <w:tcPr>
            <w:tcW w:type="dxa" w:w="1440"/>
            <w:shd w:fill="FFDCE0" w:val="clear"/>
          </w:tcPr>
          <w:p>
            <w:r>
              <w:rPr>
                <w:sz w:val="17"/>
              </w:rPr>
              <w:t>6,456</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5,167</w:t>
            </w:r>
          </w:p>
        </w:tc>
        <w:tc>
          <w:tcPr>
            <w:tcW w:type="dxa" w:w="1440"/>
            <w:shd w:fill="FFDCE0" w:val="clear"/>
          </w:tcPr>
          <w:p>
            <w:r>
              <w:rPr>
                <w:b/>
                <w:sz w:val="17"/>
              </w:rPr>
              <w:t>5,818</w:t>
            </w:r>
          </w:p>
        </w:tc>
        <w:tc>
          <w:tcPr>
            <w:tcW w:type="dxa" w:w="1440"/>
            <w:shd w:fill="FFDCE0" w:val="clear"/>
          </w:tcPr>
          <w:p>
            <w:r>
              <w:rPr>
                <w:sz w:val="17"/>
              </w:rPr>
              <w:t>6,470</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5,037</w:t>
            </w:r>
          </w:p>
        </w:tc>
        <w:tc>
          <w:tcPr>
            <w:tcW w:type="dxa" w:w="1440"/>
            <w:shd w:fill="FFDCE0" w:val="clear"/>
          </w:tcPr>
          <w:p>
            <w:r>
              <w:rPr>
                <w:b/>
                <w:sz w:val="17"/>
              </w:rPr>
              <w:t>5,758</w:t>
            </w:r>
          </w:p>
        </w:tc>
        <w:tc>
          <w:tcPr>
            <w:tcW w:type="dxa" w:w="1440"/>
            <w:shd w:fill="FFDCE0" w:val="clear"/>
          </w:tcPr>
          <w:p>
            <w:r>
              <w:rPr>
                <w:sz w:val="17"/>
              </w:rPr>
              <w:t>6,479</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4,921</w:t>
            </w:r>
          </w:p>
        </w:tc>
        <w:tc>
          <w:tcPr>
            <w:tcW w:type="dxa" w:w="1440"/>
            <w:shd w:fill="FFDCE0" w:val="clear"/>
          </w:tcPr>
          <w:p>
            <w:r>
              <w:rPr>
                <w:b/>
                <w:sz w:val="17"/>
              </w:rPr>
              <w:t>5,703</w:t>
            </w:r>
          </w:p>
        </w:tc>
        <w:tc>
          <w:tcPr>
            <w:tcW w:type="dxa" w:w="1440"/>
            <w:shd w:fill="FFDCE0" w:val="clear"/>
          </w:tcPr>
          <w:p>
            <w:r>
              <w:rPr>
                <w:sz w:val="17"/>
              </w:rPr>
              <w:t>6,485</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4,814</w:t>
            </w:r>
          </w:p>
        </w:tc>
        <w:tc>
          <w:tcPr>
            <w:tcW w:type="dxa" w:w="1440"/>
            <w:shd w:fill="FFDCE0" w:val="clear"/>
          </w:tcPr>
          <w:p>
            <w:r>
              <w:rPr>
                <w:b/>
                <w:sz w:val="17"/>
              </w:rPr>
              <w:t>5,651</w:t>
            </w:r>
          </w:p>
        </w:tc>
        <w:tc>
          <w:tcPr>
            <w:tcW w:type="dxa" w:w="1440"/>
            <w:shd w:fill="FFDCE0" w:val="clear"/>
          </w:tcPr>
          <w:p>
            <w:r>
              <w:rPr>
                <w:sz w:val="17"/>
              </w:rPr>
              <w:t>6,488</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4,715</w:t>
            </w:r>
          </w:p>
        </w:tc>
        <w:tc>
          <w:tcPr>
            <w:tcW w:type="dxa" w:w="1440"/>
            <w:shd w:fill="FFDCE0" w:val="clear"/>
          </w:tcPr>
          <w:p>
            <w:r>
              <w:rPr>
                <w:b/>
                <w:sz w:val="17"/>
              </w:rPr>
              <w:t>5,602</w:t>
            </w:r>
          </w:p>
        </w:tc>
        <w:tc>
          <w:tcPr>
            <w:tcW w:type="dxa" w:w="1440"/>
            <w:shd w:fill="FFDCE0" w:val="clear"/>
          </w:tcPr>
          <w:p>
            <w:r>
              <w:rPr>
                <w:sz w:val="17"/>
              </w:rPr>
              <w:t>6,489</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4,622</w:t>
            </w:r>
          </w:p>
        </w:tc>
        <w:tc>
          <w:tcPr>
            <w:tcW w:type="dxa" w:w="1440"/>
            <w:shd w:fill="FFDCE0" w:val="clear"/>
          </w:tcPr>
          <w:p>
            <w:r>
              <w:rPr>
                <w:b/>
                <w:sz w:val="17"/>
              </w:rPr>
              <w:t>5,555</w:t>
            </w:r>
          </w:p>
        </w:tc>
        <w:tc>
          <w:tcPr>
            <w:tcW w:type="dxa" w:w="1440"/>
            <w:shd w:fill="FFDCE0" w:val="clear"/>
          </w:tcPr>
          <w:p>
            <w:r>
              <w:rPr>
                <w:sz w:val="17"/>
              </w:rPr>
              <w:t>6,488</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4,535</w:t>
            </w:r>
          </w:p>
        </w:tc>
        <w:tc>
          <w:tcPr>
            <w:tcW w:type="dxa" w:w="1440"/>
            <w:shd w:fill="FFDCE0" w:val="clear"/>
          </w:tcPr>
          <w:p>
            <w:r>
              <w:rPr>
                <w:b/>
                <w:sz w:val="17"/>
              </w:rPr>
              <w:t>5,511</w:t>
            </w:r>
          </w:p>
        </w:tc>
        <w:tc>
          <w:tcPr>
            <w:tcW w:type="dxa" w:w="1440"/>
            <w:shd w:fill="FFDCE0" w:val="clear"/>
          </w:tcPr>
          <w:p>
            <w:r>
              <w:rPr>
                <w:sz w:val="17"/>
              </w:rPr>
              <w:t>6,486</w:t>
            </w:r>
          </w:p>
        </w:tc>
        <w:tc>
          <w:tcPr>
            <w:tcW w:type="dxa" w:w="1440"/>
            <w:shd w:fill="FFDCE0" w:val="clear"/>
          </w:tcPr>
          <w:p>
            <w:r>
              <w:rPr>
                <w:b/>
                <w:color w:val="C00000"/>
                <w:sz w:val="17"/>
              </w:rPr>
              <w:t>-9.7%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167,44 milliards FCFA, BOA Mali se positionne comme une valeur de taille intermédiaire sur la BRVM, représentant un poids significatif dans l'indice sectoriel bancaire régional. Le BPA de 404 FCFA/action signifie que chaque titre détenu génère près de 404 FCFA de bénéfice net annuel, un niveau appréciable qui traduit la capacité bénéficiaire de la banque. Le PER de 15,1x place le titre légèrement au-dessus de la moyenne du marché BRVM (généralement comprise entre 8 et 12x), ce qui indique que les investisseurs acceptent de payer une prime modérée pour cette valeur bancaire, justifiée par sa rentabilité supérieure à la moyenne sectorielle. Le P/B de 3,36x montre que le marché valorise BOA Mali à plus de trois fois sa valeur comptable, une prime de croissance significative qui reflète la confiance dans la capacité de la banque à générer des rendements futurs élevés. Enfin, l'EV/EBITDA de 7,8x, situé dans la fourchette raisonnable de 5-10x, suggère que la valeur d'entreprise reste cohérente avec la capacité opérationnelle de la banque, sans excès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progression remarquable de +30,06%, avec une dernière séance quasi stable à +0,08%, clôturant à 6 100 FCFA. Le titre a évolué dans un range large de 2 770 FCFA, oscillant entre un plus bas de 4 425 FCFA et un plus haut de 7 195 FCFA, ce qui témoigne d'une dynamique haussière soutenue mais ponctuée de corrections significatives. La tendance générale est clairement haussière sur la période, portée par des fondamentaux solides et un intérêt croissant des investisseurs pour le secteur bancaire malien. Les statistiques descriptives révèlent une moyenne de 5 659 FCFA très proche de la médiane de 5 662 FCFA, indiquant une distribution symétrique du cours sans biais directionnel marqué. L'écart-type de 762 FCFA, correspondant à un coefficient de variation de 13,5%, traduit une dispersion modérée du cours autour de sa moyenne, tandis que le kurtosis de -0,995 (mésokurtique) suggère une distribution proche de la normale, sans risque excessif de pics extrêmes. Le skewness de 0,139 confirme cette symétrie avec une très légère asymétrie positive, et la volatilité annualisée de 43,5% classe le titre dans la catégorie des valeurs à volatilité élevée (&gt;30%), ce qui implique un risque de marché non négligeable mais compensé par le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6 327,75 FCFA et la MM50 à 6 278,00 FCFA, toutes deux supérieures au cours actuel de 6 100 FCFA. Cette configuration indique que le titre évolue actuellement sous ses moyennes mobiles à court et moyen terme, signalant une pression baissière récente. Cependant, la décision technique globale reste à l'**Achat**, probablement en raison de la tendance haussière de fond sur 100 jours et de la proximité du cours avec ces supports dynamiques.</w:t>
      </w:r>
    </w:p>
    <w:p>
      <w:pPr>
        <w:spacing w:after="120" w:line="276" w:lineRule="auto"/>
      </w:pPr>
      <w:r>
        <w:t>**Bandes de Bollinger :** Le cours actuel de 6 100 FCFA se situe dans la partie inférieure de la bande de Bollinger, entre la borne inférieure de 5 383,39 FCFA et la borne supérieure de 7 272,11 FCFA. Cette position suggère que le titre n'est ni suracheté ni survendu, mais qu'il évolue dans un territoire neutre avec une légère tendance à la faiblesse. La décision technique est **Neutre**, reflétant l'absence de signal directionnel fort.</w:t>
      </w:r>
    </w:p>
    <w:p>
      <w:pPr>
        <w:spacing w:after="120" w:line="276" w:lineRule="auto"/>
      </w:pPr>
      <w:r>
        <w:t>**MACD :** Le MACD affiche une valeur de -94,918 contre un signal à -66,871, avec un MACD inférieur à son signal, ce qui constitue un croisement baissier. Cette configuration indique un momentum négatif à court terme, avec une pression vendeuse persistante. La décision technique est à la **Vente**, confirmant l'affaiblissement de la dynamique haussière récente.</w:t>
      </w:r>
    </w:p>
    <w:p>
      <w:pPr>
        <w:spacing w:after="120" w:line="276" w:lineRule="auto"/>
      </w:pPr>
      <w:r>
        <w:t>**RSI :** Le RSI s'établit à 38,207, un niveau neutre qui se situe dans la zone basse de la fourchette 30-70, sans atteindre la zone de survente (&lt;30). Cette valeur suggère que le titre n'est pas encore survendu mais que la pression baissière domine modérément. La décision technique est **Neutre**, indiquant qu'aucun signal extrême n'est présent.</w:t>
      </w:r>
    </w:p>
    <w:p>
      <w:pPr>
        <w:spacing w:after="120" w:line="276" w:lineRule="auto"/>
      </w:pPr>
      <w:r>
        <w:t>**Stochastique :** Le %K s'élève à 76,829 et le %D à 57,048, avec un %K supérieur au %D, ce qui constitue un croisement haussier potentiel. Cette configuration suggère que le titre pourrait amorcer un rebond à court terme, bien que le %K proche de 80 indique une zone de surachat naissante. La décision technique est **Neutre**, en attente de confirmation du croisement.</w:t>
      </w:r>
    </w:p>
    <w:p>
      <w:pPr>
        <w:spacing w:after="120" w:line="276" w:lineRule="auto"/>
      </w:pPr>
      <w:r>
        <w:t>**Conclusion technique :** Les indicateurs techniques présentent une image mitigée avec une divergence notable. Les moyennes mobiles et le MACD signalent une pression baissière à court terme, tandis que le stochastique suggère un potentiel rebond et que les bandes de Bollinger et le RSI restent neutres. Cette configuration contrastée indique une phase de consolidation ou d'indécision du marché, avec un risque de correction à court terme mais un potentiel de reprise si le support de 5 383 FCFA (borne inférieure de Bollinger) tient.</w:t>
      </w:r>
    </w:p>
    <w:p>
      <w:pPr>
        <w:spacing w:after="120" w:line="276" w:lineRule="auto"/>
      </w:pPr>
      <w:r>
        <w:t>---</w:t>
      </w:r>
    </w:p>
    <w:p>
      <w:pPr>
        <w:spacing w:after="120" w:line="276" w:lineRule="auto"/>
      </w:pPr>
      <w:r>
        <w:t>## PARTIE 3 : ANALYSE FONDAMENTALE</w:t>
      </w:r>
    </w:p>
    <w:p>
      <w:pPr>
        <w:spacing w:after="120" w:line="276" w:lineRule="auto"/>
      </w:pPr>
      <w:r>
        <w:t>**Données structurées (exercice 2025) :** Pour l'exercice 2025, BOA Mali affiche un Produit Net Bancaire (PNB) de 37,996 milliards FCFA, en croissance de 5,08% par rapport à 2024, confirmant la dynamique commerciale positive de la banque. Le résultat net s'établit à 11,081 milliards FCFA, en très forte progression par rapport aux 9,12 milliards de 2024, porté par une amélioration significative du coût du risque et une maîtrise des charges. Le ROE de 22,24% (contre environ 21% en 2024) demeure excellent, largement supérieur au seuil de 15% qui distingue les banques performantes, tandis que le ROA de 1,87% reflète une utilisation efficace des actifs. Le coefficient d'exploitation de 63,14% reste légèrement au-dessus du seuil de 60% considéré comme optimal pour une banque efficace, mais s'améliore par rapport aux exercices précédents. Le coût du risque, mesuré à 43,39% des charges financières, demeure élevé et constitue un point de vigilance, bien qu'en amélioration par rapport à 2024. La structure financière affiche une autonomie financière de 8,40%, un niveau faible qui s'explique par la nature du modèle bancaire où les dépôts clientèle (502,89 milliards FCFA) financent l'essentiel du bilan, et un ratio de solvabilité générale de 109,16% confirmant la capacité de la banque à couvrir ses dettes.</w:t>
      </w:r>
    </w:p>
    <w:p>
      <w:pPr>
        <w:spacing w:after="120" w:line="276" w:lineRule="auto"/>
      </w:pPr>
      <w:r>
        <w:t>**Estimations basées sur les rapports trimestriels :** Les rapports narratifs disponibles confirment la trajectoire positive de BOA Mali en 2026. Le rapport du premier trimestre 2026 (publié le 31/03/2026) fait état d'un PNB de 10 322 millions FCFA, en hausse de +22,97% par rapport au T1 2025, tandis que le rapport du premier semestre 2026 (publié le 30/06/2026) rapporte un PNB de 21 987 millions FCFA, en progression de +17,5% sur un an. Sur la base de ces performances semestrielles, on peut estimer que l'exercice 2026 devrait afficher un PNB annuel compris entre 42 et 44 milliards FCFA, soit une croissance de 10 à 15% par rapport à 2025, et un résultat net potentiellement supérieur à 12 milliards FCFA si la tendance se maintient. Le rapport du troisième trimestre 2025 (publié le 30/09/2025) indiquait déjà un résultat net cumulé de 9,16 milliards FCFA (+26,2% sur un an), confirmant l'accélération de la rentabilité. Les rapports antérieurs (S1 2025, T1 2025, exercice 2024) montrent une amélioration continue du coût du risque et une maîtrise des charges, facteurs clés de la performance. La banque bénéficie d'une dynamique de collecte de dépôts soutenue (+9,2% depuis fin 2024 selon le rapport T3 2025), bien que le portefeuille de crédits se contracte légèrement (-8,6%), ce qui pourrait limiter la croissance future des revenus d'intérêts.</w:t>
      </w:r>
    </w:p>
    <w:p>
      <w:pPr>
        <w:spacing w:after="120" w:line="276" w:lineRule="auto"/>
      </w:pPr>
      <w:r>
        <w:t>**Recommandation fondamentale :** BOA Mali présente des fondamentaux solides avec une rentabilité élevée (ROE &gt;22%), une croissance du PNB à deux chiffres en 2026, et une amélioration continue de la qualité du portefeuille de crédits. Les principaux risques identifiés sont le contexte macroéconomique et sécuritaire malien, la concentration géographique, et le niveau encore élevé du coût du risque. La valorisation actuelle (PER 15,1x) intègre déjà une partie de ces bonnes perspectives, mais le potentiel de croissance reste attractif pour un investisseur de moyen à long terme.</w:t>
      </w:r>
    </w:p>
    <w:p>
      <w:pPr>
        <w:spacing w:after="120" w:line="276" w:lineRule="auto"/>
      </w:pPr>
      <w:r>
        <w:t>---</w:t>
      </w:r>
    </w:p>
    <w:p>
      <w:pPr>
        <w:spacing w:after="120" w:line="276" w:lineRule="auto"/>
      </w:pPr>
      <w:r>
        <w:t>## PARTIE 4 : CONCLUSION D'INVESTISSEMENT</w:t>
      </w:r>
    </w:p>
    <w:p>
      <w:pPr>
        <w:spacing w:after="120" w:line="276" w:lineRule="auto"/>
      </w:pPr>
      <w:r>
        <w:t>La valorisation de BOA Mali (PER 15,1x, P/B 3,36x, EV/EBITDA 7,8x) indique une légère surévaluation par rapport à la moyenne du marché BRVM, mais cette prime se justifie par la rentabilité supérieure de la banque (ROE 22,24%) et ses perspectives de croissance. Le comportement du cours sur 100 jours (+30,06%) témoigne d'un fort intérêt des investisseurs, avec une volatilité élevée (43,5%) et une distribution symétrique (skewness 0,139, kurtosis -0,995) qui ne présente pas de risque extrême de pics. Les signaux techniques sont mitigés : le MACD baissier et les moyennes mobiles défavorables suggèrent une pression à court terme, tandis que le stochastique haussier et la position neutre du RSI et des bandes de Bollinger indiquent une possible consolidation avant rebond. Les fondamentaux restent solides avec un PNB 2025 de 37,996 milliards FCFA, un résultat net de 11,081 milliards FCFA, et des estimations 2026 optimistes (PNB +10 à 15%) basées sur les rapports T1 et S1 2026. Les prédictions IA pour les 10 prochains jours (6041 → 5758 FCFA) anticipent une correction baissière de -5,6%, ce qui contredit partiellement les signaux fondamentaux haussiers mais confirme la pression technique à court terme. **Sur la base de cette synthèse, la recommandation est CONSERVER**, avec un niveau de confiance **Moyen** et un risque global **Élevé** (volatilité 43,5%, contexte malien incertain). L'horizon d'investissement optimal est le **moyen terme (3-12 mois)**, en attendant une confirmation de la tendance haussière fondamentale et une stabilisation technique, avec un point d'entrée idéal autour de 5 800-5 900 FCFA si la correction prédite se matérialise.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99.53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8,902 titres</w:t>
            </w:r>
          </w:p>
        </w:tc>
        <w:tc>
          <w:tcPr>
            <w:tcW w:type="dxa" w:w="2268"/>
            <w:shd w:fill="FFF2CC" w:val="clear"/>
          </w:tcPr>
          <w:p>
            <w:r>
              <w:rPr>
                <w:b/>
                <w:color w:val="503200"/>
                <w:sz w:val="16"/>
              </w:rPr>
              <w:t xml:space="preserve">Cours actuel : </w:t>
            </w:r>
            <w:r>
              <w:rPr>
                <w:color w:val="000000"/>
                <w:sz w:val="17"/>
              </w:rPr>
              <w:t>4,785 FCFA</w:t>
            </w:r>
          </w:p>
          <w:p>
            <w:r>
              <w:rPr>
                <w:b/>
                <w:color w:val="503200"/>
                <w:sz w:val="16"/>
              </w:rPr>
              <w:t xml:space="preserve">Var. 100 jours : </w:t>
            </w:r>
            <w:r>
              <w:rPr>
                <w:b/>
                <w:color w:val="007800"/>
                <w:sz w:val="17"/>
              </w:rPr>
              <w:t>+37.11%</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3,470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14.67% (Moyenne) — μ=4,723 FCFA, σ=693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β=1.3654 (Agressif) — Cov=0.000100, Var(idx)=0.000073, ρ=0.437,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8,902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4,599</w:t>
            </w:r>
          </w:p>
        </w:tc>
        <w:tc>
          <w:tcPr>
            <w:tcW w:type="dxa" w:w="1440"/>
            <w:shd w:fill="FAFAFA" w:val="clear"/>
          </w:tcPr>
          <w:p>
            <w:r>
              <w:rPr>
                <w:b/>
                <w:sz w:val="17"/>
              </w:rPr>
              <w:t>4,858</w:t>
            </w:r>
          </w:p>
        </w:tc>
        <w:tc>
          <w:tcPr>
            <w:tcW w:type="dxa" w:w="1440"/>
            <w:shd w:fill="FAFAFA" w:val="clear"/>
          </w:tcPr>
          <w:p>
            <w:r>
              <w:rPr>
                <w:sz w:val="17"/>
              </w:rPr>
              <w:t>5,117</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4,500</w:t>
            </w:r>
          </w:p>
        </w:tc>
        <w:tc>
          <w:tcPr>
            <w:tcW w:type="dxa" w:w="1440"/>
            <w:shd w:fill="FAFAFA" w:val="clear"/>
          </w:tcPr>
          <w:p>
            <w:r>
              <w:rPr>
                <w:b/>
                <w:sz w:val="17"/>
              </w:rPr>
              <w:t>4,867</w:t>
            </w:r>
          </w:p>
        </w:tc>
        <w:tc>
          <w:tcPr>
            <w:tcW w:type="dxa" w:w="1440"/>
            <w:shd w:fill="FAFAFA" w:val="clear"/>
          </w:tcPr>
          <w:p>
            <w:r>
              <w:rPr>
                <w:sz w:val="17"/>
              </w:rPr>
              <w:t>5,233</w:t>
            </w:r>
          </w:p>
        </w:tc>
        <w:tc>
          <w:tcPr>
            <w:tcW w:type="dxa" w:w="1440"/>
            <w:shd w:fill="FAFAFA" w:val="clear"/>
          </w:tcPr>
          <w:p>
            <w:r>
              <w:rPr>
                <w:b/>
                <w:color w:val="008000"/>
                <w:sz w:val="17"/>
              </w:rPr>
              <w:t>+1.7%</w:t>
            </w:r>
          </w:p>
        </w:tc>
      </w:tr>
      <w:tr>
        <w:tc>
          <w:tcPr>
            <w:tcW w:type="dxa" w:w="1440"/>
            <w:shd w:fill="C6EFCE" w:val="clear"/>
          </w:tcPr>
          <w:p>
            <w:r>
              <w:rPr>
                <w:sz w:val="17"/>
              </w:rPr>
              <w:t>J+3  ⭐</w:t>
            </w:r>
          </w:p>
        </w:tc>
        <w:tc>
          <w:tcPr>
            <w:tcW w:type="dxa" w:w="1440"/>
            <w:shd w:fill="C6EFCE" w:val="clear"/>
          </w:tcPr>
          <w:p>
            <w:r>
              <w:rPr>
                <w:sz w:val="17"/>
              </w:rPr>
              <w:t>2026-10-14</w:t>
            </w:r>
          </w:p>
        </w:tc>
        <w:tc>
          <w:tcPr>
            <w:tcW w:type="dxa" w:w="1440"/>
            <w:shd w:fill="C6EFCE" w:val="clear"/>
          </w:tcPr>
          <w:p>
            <w:r>
              <w:rPr>
                <w:sz w:val="17"/>
              </w:rPr>
              <w:t>4,437</w:t>
            </w:r>
          </w:p>
        </w:tc>
        <w:tc>
          <w:tcPr>
            <w:tcW w:type="dxa" w:w="1440"/>
            <w:shd w:fill="C6EFCE" w:val="clear"/>
          </w:tcPr>
          <w:p>
            <w:r>
              <w:rPr>
                <w:b/>
                <w:sz w:val="17"/>
              </w:rPr>
              <w:t>4,888</w:t>
            </w:r>
          </w:p>
        </w:tc>
        <w:tc>
          <w:tcPr>
            <w:tcW w:type="dxa" w:w="1440"/>
            <w:shd w:fill="C6EFCE" w:val="clear"/>
          </w:tcPr>
          <w:p>
            <w:r>
              <w:rPr>
                <w:sz w:val="17"/>
              </w:rPr>
              <w:t>5,339</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4,388</w:t>
            </w:r>
          </w:p>
        </w:tc>
        <w:tc>
          <w:tcPr>
            <w:tcW w:type="dxa" w:w="1440"/>
            <w:shd w:fill="C6EFCE" w:val="clear"/>
          </w:tcPr>
          <w:p>
            <w:r>
              <w:rPr>
                <w:b/>
                <w:sz w:val="17"/>
              </w:rPr>
              <w:t>4,911</w:t>
            </w:r>
          </w:p>
        </w:tc>
        <w:tc>
          <w:tcPr>
            <w:tcW w:type="dxa" w:w="1440"/>
            <w:shd w:fill="C6EFCE" w:val="clear"/>
          </w:tcPr>
          <w:p>
            <w:r>
              <w:rPr>
                <w:sz w:val="17"/>
              </w:rPr>
              <w:t>5,434</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4,347</w:t>
            </w:r>
          </w:p>
        </w:tc>
        <w:tc>
          <w:tcPr>
            <w:tcW w:type="dxa" w:w="1440"/>
            <w:shd w:fill="C6EFCE" w:val="clear"/>
          </w:tcPr>
          <w:p>
            <w:r>
              <w:rPr>
                <w:b/>
                <w:sz w:val="17"/>
              </w:rPr>
              <w:t>4,934</w:t>
            </w:r>
          </w:p>
        </w:tc>
        <w:tc>
          <w:tcPr>
            <w:tcW w:type="dxa" w:w="1440"/>
            <w:shd w:fill="C6EFCE" w:val="clear"/>
          </w:tcPr>
          <w:p>
            <w:r>
              <w:rPr>
                <w:sz w:val="17"/>
              </w:rPr>
              <w:t>5,522</w:t>
            </w:r>
          </w:p>
        </w:tc>
        <w:tc>
          <w:tcPr>
            <w:tcW w:type="dxa" w:w="1440"/>
            <w:shd w:fill="C6EFCE" w:val="clear"/>
          </w:tcPr>
          <w:p>
            <w:r>
              <w:rPr>
                <w:b/>
                <w:color w:val="008000"/>
                <w:sz w:val="17"/>
              </w:rPr>
              <w:t>+3.1%</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4,310</w:t>
            </w:r>
          </w:p>
        </w:tc>
        <w:tc>
          <w:tcPr>
            <w:tcW w:type="dxa" w:w="1440"/>
            <w:shd w:fill="C6EFCE" w:val="clear"/>
          </w:tcPr>
          <w:p>
            <w:r>
              <w:rPr>
                <w:b/>
                <w:sz w:val="17"/>
              </w:rPr>
              <w:t>4,957</w:t>
            </w:r>
          </w:p>
        </w:tc>
        <w:tc>
          <w:tcPr>
            <w:tcW w:type="dxa" w:w="1440"/>
            <w:shd w:fill="C6EFCE" w:val="clear"/>
          </w:tcPr>
          <w:p>
            <w:r>
              <w:rPr>
                <w:sz w:val="17"/>
              </w:rPr>
              <w:t>5,603</w:t>
            </w:r>
          </w:p>
        </w:tc>
        <w:tc>
          <w:tcPr>
            <w:tcW w:type="dxa" w:w="1440"/>
            <w:shd w:fill="C6EFCE" w:val="clear"/>
          </w:tcPr>
          <w:p>
            <w:r>
              <w:rPr>
                <w:b/>
                <w:color w:val="008000"/>
                <w:sz w:val="17"/>
              </w:rPr>
              <w:t>+3.6%</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4,278</w:t>
            </w:r>
          </w:p>
        </w:tc>
        <w:tc>
          <w:tcPr>
            <w:tcW w:type="dxa" w:w="1440"/>
            <w:shd w:fill="C6EFCE" w:val="clear"/>
          </w:tcPr>
          <w:p>
            <w:r>
              <w:rPr>
                <w:b/>
                <w:sz w:val="17"/>
              </w:rPr>
              <w:t>4,979</w:t>
            </w:r>
          </w:p>
        </w:tc>
        <w:tc>
          <w:tcPr>
            <w:tcW w:type="dxa" w:w="1440"/>
            <w:shd w:fill="C6EFCE" w:val="clear"/>
          </w:tcPr>
          <w:p>
            <w:r>
              <w:rPr>
                <w:sz w:val="17"/>
              </w:rPr>
              <w:t>5,681</w:t>
            </w:r>
          </w:p>
        </w:tc>
        <w:tc>
          <w:tcPr>
            <w:tcW w:type="dxa" w:w="1440"/>
            <w:shd w:fill="C6EFCE" w:val="clear"/>
          </w:tcPr>
          <w:p>
            <w:r>
              <w:rPr>
                <w:b/>
                <w:color w:val="008000"/>
                <w:sz w:val="17"/>
              </w:rPr>
              <w:t>+4.1%</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4,248</w:t>
            </w:r>
          </w:p>
        </w:tc>
        <w:tc>
          <w:tcPr>
            <w:tcW w:type="dxa" w:w="1440"/>
            <w:shd w:fill="C6EFCE" w:val="clear"/>
          </w:tcPr>
          <w:p>
            <w:r>
              <w:rPr>
                <w:b/>
                <w:sz w:val="17"/>
              </w:rPr>
              <w:t>5,002</w:t>
            </w:r>
          </w:p>
        </w:tc>
        <w:tc>
          <w:tcPr>
            <w:tcW w:type="dxa" w:w="1440"/>
            <w:shd w:fill="C6EFCE" w:val="clear"/>
          </w:tcPr>
          <w:p>
            <w:r>
              <w:rPr>
                <w:sz w:val="17"/>
              </w:rPr>
              <w:t>5,755</w:t>
            </w:r>
          </w:p>
        </w:tc>
        <w:tc>
          <w:tcPr>
            <w:tcW w:type="dxa" w:w="1440"/>
            <w:shd w:fill="C6EFCE" w:val="clear"/>
          </w:tcPr>
          <w:p>
            <w:r>
              <w:rPr>
                <w:b/>
                <w:color w:val="008000"/>
                <w:sz w:val="17"/>
              </w:rPr>
              <w:t>+4.5%</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4,221</w:t>
            </w:r>
          </w:p>
        </w:tc>
        <w:tc>
          <w:tcPr>
            <w:tcW w:type="dxa" w:w="1440"/>
            <w:shd w:fill="C6EFCE" w:val="clear"/>
          </w:tcPr>
          <w:p>
            <w:r>
              <w:rPr>
                <w:b/>
                <w:sz w:val="17"/>
              </w:rPr>
              <w:t>5,024</w:t>
            </w:r>
          </w:p>
        </w:tc>
        <w:tc>
          <w:tcPr>
            <w:tcW w:type="dxa" w:w="1440"/>
            <w:shd w:fill="C6EFCE" w:val="clear"/>
          </w:tcPr>
          <w:p>
            <w:r>
              <w:rPr>
                <w:sz w:val="17"/>
              </w:rPr>
              <w:t>5,826</w:t>
            </w:r>
          </w:p>
        </w:tc>
        <w:tc>
          <w:tcPr>
            <w:tcW w:type="dxa" w:w="1440"/>
            <w:shd w:fill="C6EFCE" w:val="clear"/>
          </w:tcPr>
          <w:p>
            <w:r>
              <w:rPr>
                <w:b/>
                <w:color w:val="008000"/>
                <w:sz w:val="17"/>
              </w:rPr>
              <w:t>+5.0%</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4,196</w:t>
            </w:r>
          </w:p>
        </w:tc>
        <w:tc>
          <w:tcPr>
            <w:tcW w:type="dxa" w:w="1440"/>
            <w:shd w:fill="C6EFCE" w:val="clear"/>
          </w:tcPr>
          <w:p>
            <w:r>
              <w:rPr>
                <w:b/>
                <w:sz w:val="17"/>
              </w:rPr>
              <w:t>5,046</w:t>
            </w:r>
          </w:p>
        </w:tc>
        <w:tc>
          <w:tcPr>
            <w:tcW w:type="dxa" w:w="1440"/>
            <w:shd w:fill="C6EFCE" w:val="clear"/>
          </w:tcPr>
          <w:p>
            <w:r>
              <w:rPr>
                <w:sz w:val="17"/>
              </w:rPr>
              <w:t>5,895</w:t>
            </w:r>
          </w:p>
        </w:tc>
        <w:tc>
          <w:tcPr>
            <w:tcW w:type="dxa" w:w="1440"/>
            <w:shd w:fill="C6EFCE" w:val="clear"/>
          </w:tcPr>
          <w:p>
            <w:r>
              <w:rPr>
                <w:b/>
                <w:color w:val="008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99,53 milliards FCFA, BOAN se situe dans la catégorie des valeurs moyennes de la cote BRVM, ce qui traduit une liquidité limitée mais une certaine représentativité du secteur bancaire nigérien. Le BPA de 20 FCFA/action reflète un bénéfice net par titre extrêmement faible, conséquence directe de l'effondrement du résultat net 2025 à 409 millions FCFA. Le PER de 243,3x constitue un signal d'alerte majeur : les investisseurs paient environ 243 fois les bénéfices actuels, très loin de la moyenne BRVM (8-12x), ce qui signifie que le marché valorise davantage les perspectives de redressement que les résultats présents. Le P/B de 2,76x indique que le titre se négocie à une prime significative sur sa valeur comptable (capitaux propres de 36,06 Mds FCFA), prime qui n'est justifiable que par une forte anticipation de retour à la rentabilité. Enfin, l'EV/EBITDA de 38,3x, très supérieur au seuil de 15x généralement considéré comme exigeant, confirme que la valeur d'entreprise intègre déjà une reprise opérationnelle robuste, ce qui rend le titre vulnérable à toute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progression spectaculaire de +37,11%, avec un cours actuel de 4 785 FCFA, bien que la dernière séance (J-1) marque un léger repli de -0,31%. Le titre a évolué dans un range très large entre un plus bas de 3 470 FCFA et un plus haut de 5 645 FCFA, soit une amplitude de plus de 62%, témoignant d'une forte volatilité et d'une tendance haussière entrecoupée de corrections. La moyenne (4 723 FCFA) est inférieure à la médiane (5 088 FCFA), ce qui révèle une distribution asymétrique à gauche : le cours a passé davantage de temps sur des niveaux élevés, mais des épisodes baissiers marqués ont tiré la moyenne vers le bas. L'écart-type de 696 FCFA (CV de 14,7%) confirme une dispersion modérée à élevée du cours autour de sa moyenne. Le kurtosis de -1,410 (distribution platykurtique) indique une faible concentration des rendements autour de la moyenne, avec des mouvements amples plutôt que des pics extrêmes isolés, tandis que le skewness de -0,466 signale une légère asymétrie négative (les baisses sont légèrement plus fréquentes que les hausses). La volatilité annualisée de 42,1% classe le titre dans la catégorie des valeurs à volatilité élevée (&gt;30%), ce qui implique un risque de marché substantiel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(5 134,5 FCFA) et la MM50 (5 233,9 FCFA) se situent toutes deux nettement au-dessus du cours actuel (4 785 FCFA), ce qui place le titre en configuration baissière de court et moyen terme. La MM20 étant inférieure à la MM50, on observe un croisement baissier (death cross) confirmant la pression vendeuse. La décision technique est donc logiquement « Vente ».</w:t>
      </w:r>
    </w:p>
    <w:p>
      <w:pPr>
        <w:spacing w:after="120" w:line="276" w:lineRule="auto"/>
      </w:pPr>
      <w:r>
        <w:t>**Bandes de Bollinger** : Le cours (4 785 FCFA) se situe dans la moitié inférieure de la bande, entre la borne inférieure (4 532,7 FCFA) et la borne supérieure (5 736,3 FCFA), sans toucher les extrêmes. Cette position médiane-basse, combinée à une largeur de bande élevée (environ 1 200 FCFA), traduit une volatilité importante sans signal de survente ni de surachat. La décision « Neutre » est cohérente avec cette configuration.</w:t>
      </w:r>
    </w:p>
    <w:p>
      <w:pPr>
        <w:spacing w:after="120" w:line="276" w:lineRule="auto"/>
      </w:pPr>
      <w:r>
        <w:t>**MACD** : La valeur du MACD (-110,195) est inférieure à son signal (-68,796), et les deux sont en territoire négatif. Cette configuration confirme un momentum baissier persistant, avec une divergence négative qui n'annonce pas encore de retournement. La décision « Vente » est justifiée par cette dynamique défavorable.</w:t>
      </w:r>
    </w:p>
    <w:p>
      <w:pPr>
        <w:spacing w:after="120" w:line="276" w:lineRule="auto"/>
      </w:pPr>
      <w:r>
        <w:t>**RSI** : À 39,479, le RSI se situe dans la zone neutre basse (30-70), sans atteindre le seuil de survente (&lt;30). Cela indique que le titre n'est pas encore techniquement « soldé » et qu'il conserve un potentiel de baisse résiduel. La décision « Neutre » reflète cette absence de signal extrême.</w:t>
      </w:r>
    </w:p>
    <w:p>
      <w:pPr>
        <w:spacing w:after="120" w:line="276" w:lineRule="auto"/>
      </w:pPr>
      <w:r>
        <w:t>**Stochastique** : Le %K (24,479) est inférieur au %D (32,465), et les deux se situent en zone basse (&lt;20 pour le %K serait une survente franche). Cette configuration suggère une pression baissière toujours active, sans croisement haussier imminent. La décision « Neutre » est appropriée.</w:t>
      </w:r>
    </w:p>
    <w:p>
      <w:pPr>
        <w:spacing w:after="120" w:line="276" w:lineRule="auto"/>
      </w:pPr>
      <w:r>
        <w:t>**Conclusion technique** : L'ensemble des indicateurs techniques (MM baissières, MACD négatif, RSI et Stochastique en zone basse sans survente) converge vers un signal baissier de court terme. Le titre est en phase de correction après une forte hausse de +37% sur 100 jours, et aucun signe de retournement haussier n'est encore visible. La prudence est de mise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BOAN a enregistré un Produit Net Bancaire (PNB) de 21 125 millions FCFA, en léger repli de -1,2% par rapport à 2024 (21 380 millions FCFA). Le résultat net s'est effondré à 409 millions FCFA, contre 5 002 millions FCFA en 2024, soit une chute de -91,8%. Cette dégradation spectaculaire se traduit par un ROE de seulement 1,13% (contre 11,39% en 2024) et un ROA de 0,14% (contre 1,49% en 2024), des niveaux très éloignés des standards d'excellence (&gt;15% pour le ROE). Le coefficient d'exploitation s'établit à 74,37%, bien au-dessus du seuil de 60% qui distingue une banque efficace, ce qui indique une structure de coûts trop lourde par rapport aux revenus. Le coût du risque, à 67,30% des charges financières, demeure très élevé et reflète un portefeuille de crédits dégradé, avec un taux de créances en souffrance de 24% (contre 12% en moyenne UEMOA). La structure financière reste fragile : l'autonomie financière est de 12,36% (très en dessous du seuil sain de 30%), et le ratio d'endettement atteint 178,61%. Les dépôts clientèle (183 280 millions FCFA) couvrent largement les créances clientèle (128 447 millions FCFA), mais la trésorerie nette est négative à -43 516 millions FCFA, signe de tensions de liquidité.</w:t>
      </w:r>
    </w:p>
    <w:p>
      <w:pPr>
        <w:spacing w:after="120" w:line="276" w:lineRule="auto"/>
      </w:pPr>
      <w:r>
        <w:t>**Estimations basées sur les rapports trimestriels** : Le rapport du T1 2026 (daté du 31 mars 2026, analysé le 5 septembre 2026) fait état d'un PNB de 5 170 millions FCFA, en hausse de +7,9% sur un an, et d'un résultat net de 1 467,3 millions FCFA, en progression de +28,9%. Le coefficient d'exploitation s'améliore à 56,2% (contre 66,8% un an plus tôt), et le RBE bondit de +42,2% à 2 262 millions FCFA. Toutefois, le coût du risque se dégrade fortement (+104,3% à -673,1 millions FCFA), reflétant un effort d'assainissement du portefeuille. Sur la base de ce T1 2026, on peut estimer que l'exercice 2026 devrait marquer un début de redressement, avec un PNB annualisé d'environ 22 327 millions FCFA (objectif budgétaire de +6,4%) et un résultat net potentiellement multiplié par 6 par rapport à 2025, sous réserve de la confirmation de la tendance sur les trimestres suivants. Le rapport du S2 2025 (daté du 31 décembre 2025, analysé le 5 septembre 2026) confirme la dégradation sévère de 2025, avec une provision exceptionnelle de 4,8 milliards FCFA liée au risque sectoriel, mais souligne la résilience des dépôts (+4,0% à 189 867 millions FCFA) et la réduction volontaire des crédits (-20,9%) pour limiter l'exposition au risque.</w:t>
      </w:r>
    </w:p>
    <w:p>
      <w:pPr>
        <w:spacing w:after="120" w:line="276" w:lineRule="auto"/>
      </w:pPr>
      <w:r>
        <w:t>**Recommandation fondamentale** : BOAN présente une situation financière très dégradée en 2025, avec des ratios de rentabilité au plus bas et une structure financière fragile. Cependant, les premiers signes de redressement au T1 2026 (PNB +7,9%, résultat net +28,9%, coefficient d'exploitation à 56,2%) suggèrent une amélioration progressive, portée par le soutien du groupe Bank of Africa et un contexte macroéconomique nigérien plus favorable (croissance du PIB de 6,6% en 2025, 7% prévu en 2026-2029). Les risques restent élevés (créances douteuses, instabilité politique, dépendance aux hydrocarbures), mais le potentiel de rebond est réel. La recommandation fondamentale est de **CONSERVER** avec une surveillance rapprochée, en attendant la confirmation du redressement sur au moins deux trimestres supplémentaires.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BOAN apparaît très tendue : le PER de 243,3x et l'EV/EBITDA de 38,3x intègrent déjà une reprise spectaculaire des bénéfices, ce qui laisse peu de marge d'erreur. Le comportement du cours sur 100 jours (+37,11%) est haussier, mais la volatilité élevée (42,1%) et la distribution platykurtique (kurtosis -1,410) indiquent des mouvements amples et un risque de correction brutal. Les signaux techniques sont majoritairement baissiers à court terme (MM20 et MM50 au-dessus du cours, MACD négatif, RSI et Stochastique en zone basse), ce qui suggère une poursuite de la consolidation avant un éventuel rebond. Les fondamentaux restent préoccupants pour 2025 (ROE de 1,13%, coefficient d'exploitation de 74,37%, coût du risque élevé), mais les estimations basées sur le T1 2026 (PNB +7,9%, résultat net +28,9%, coefficient d'exploitation à 56,2%) laissent entrevoir une amélioration progressive. Les prédictions IA pour les 10 prochains jours (4 858 FCFA à 4 934 FCFA) tablent sur une légère reprise (+1,5% à +3,1%), ce qui contredit partiellement les signaux techniques baissiers mais s'aligne sur les perspectives fondamentales d'un redressement graduel. **Recommandation finale : CONSERVER**, avec un niveau de confiance **Moyen** et un risque global **Élevé**. L'horizon d'investissement optimal est le **moyen terme (3-12 mois)**, en attendant la confirmation du redressement sur les trimestres suivants et une amélioration durable des indicateurs de rentabilité et de qualité du portefeuille. Les investisseurs en quête de dividendes ou de rendement immédiat doivent s'abstenir, aucun dividende n'étant prévu à court terme.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11,558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+7.14%</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4.81% (Faible) — μ=7,764 FCFA, σ=374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β=0.5749 (Défensif) — Cov=0.000042, Var(idx)=0.000073, ρ=0.294,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11,558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σ_j=1.66%/j (Stable) — Vol. annualisée≈26.4%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2026-10-12</w:t>
            </w:r>
          </w:p>
        </w:tc>
        <w:tc>
          <w:tcPr>
            <w:tcW w:type="dxa" w:w="1440"/>
            <w:shd w:fill="FFDCE0" w:val="clear"/>
          </w:tcPr>
          <w:p>
            <w:r>
              <w:rPr>
                <w:sz w:val="17"/>
              </w:rPr>
              <w:t>7,872</w:t>
            </w:r>
          </w:p>
        </w:tc>
        <w:tc>
          <w:tcPr>
            <w:tcW w:type="dxa" w:w="1440"/>
            <w:shd w:fill="FFDCE0" w:val="clear"/>
          </w:tcPr>
          <w:p>
            <w:r>
              <w:rPr>
                <w:b/>
                <w:sz w:val="17"/>
              </w:rPr>
              <w:t>8,055</w:t>
            </w:r>
          </w:p>
        </w:tc>
        <w:tc>
          <w:tcPr>
            <w:tcW w:type="dxa" w:w="1440"/>
            <w:shd w:fill="FFDCE0" w:val="clear"/>
          </w:tcPr>
          <w:p>
            <w:r>
              <w:rPr>
                <w:sz w:val="17"/>
              </w:rPr>
              <w:t>8,238</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2026-10-13</w:t>
            </w:r>
          </w:p>
        </w:tc>
        <w:tc>
          <w:tcPr>
            <w:tcW w:type="dxa" w:w="1440"/>
            <w:shd w:fill="FFDCE0" w:val="clear"/>
          </w:tcPr>
          <w:p>
            <w:r>
              <w:rPr>
                <w:sz w:val="17"/>
              </w:rPr>
              <w:t>7,676</w:t>
            </w:r>
          </w:p>
        </w:tc>
        <w:tc>
          <w:tcPr>
            <w:tcW w:type="dxa" w:w="1440"/>
            <w:shd w:fill="FFDCE0" w:val="clear"/>
          </w:tcPr>
          <w:p>
            <w:r>
              <w:rPr>
                <w:b/>
                <w:sz w:val="17"/>
              </w:rPr>
              <w:t>7,930</w:t>
            </w:r>
          </w:p>
        </w:tc>
        <w:tc>
          <w:tcPr>
            <w:tcW w:type="dxa" w:w="1440"/>
            <w:shd w:fill="FFDCE0" w:val="clear"/>
          </w:tcPr>
          <w:p>
            <w:r>
              <w:rPr>
                <w:sz w:val="17"/>
              </w:rPr>
              <w:t>8,185</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2026-10-14</w:t>
            </w:r>
          </w:p>
        </w:tc>
        <w:tc>
          <w:tcPr>
            <w:tcW w:type="dxa" w:w="1440"/>
            <w:shd w:fill="FFDCE0" w:val="clear"/>
          </w:tcPr>
          <w:p>
            <w:r>
              <w:rPr>
                <w:sz w:val="17"/>
              </w:rPr>
              <w:t>7,504</w:t>
            </w:r>
          </w:p>
        </w:tc>
        <w:tc>
          <w:tcPr>
            <w:tcW w:type="dxa" w:w="1440"/>
            <w:shd w:fill="FFDCE0" w:val="clear"/>
          </w:tcPr>
          <w:p>
            <w:r>
              <w:rPr>
                <w:b/>
                <w:sz w:val="17"/>
              </w:rPr>
              <w:t>7,811</w:t>
            </w:r>
          </w:p>
        </w:tc>
        <w:tc>
          <w:tcPr>
            <w:tcW w:type="dxa" w:w="1440"/>
            <w:shd w:fill="FFDCE0" w:val="clear"/>
          </w:tcPr>
          <w:p>
            <w:r>
              <w:rPr>
                <w:sz w:val="17"/>
              </w:rPr>
              <w:t>8,118</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2026-10-15</w:t>
            </w:r>
          </w:p>
        </w:tc>
        <w:tc>
          <w:tcPr>
            <w:tcW w:type="dxa" w:w="1440"/>
            <w:shd w:fill="FFDCE0" w:val="clear"/>
          </w:tcPr>
          <w:p>
            <w:r>
              <w:rPr>
                <w:sz w:val="17"/>
              </w:rPr>
              <w:t>7,353</w:t>
            </w:r>
          </w:p>
        </w:tc>
        <w:tc>
          <w:tcPr>
            <w:tcW w:type="dxa" w:w="1440"/>
            <w:shd w:fill="FFDCE0" w:val="clear"/>
          </w:tcPr>
          <w:p>
            <w:r>
              <w:rPr>
                <w:b/>
                <w:sz w:val="17"/>
              </w:rPr>
              <w:t>7,703</w:t>
            </w:r>
          </w:p>
        </w:tc>
        <w:tc>
          <w:tcPr>
            <w:tcW w:type="dxa" w:w="1440"/>
            <w:shd w:fill="FFDCE0" w:val="clear"/>
          </w:tcPr>
          <w:p>
            <w:r>
              <w:rPr>
                <w:sz w:val="17"/>
              </w:rPr>
              <w:t>8,053</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2026-10-16</w:t>
            </w:r>
          </w:p>
        </w:tc>
        <w:tc>
          <w:tcPr>
            <w:tcW w:type="dxa" w:w="1440"/>
            <w:shd w:fill="FFDCE0" w:val="clear"/>
          </w:tcPr>
          <w:p>
            <w:r>
              <w:rPr>
                <w:sz w:val="17"/>
              </w:rPr>
              <w:t>7,216</w:t>
            </w:r>
          </w:p>
        </w:tc>
        <w:tc>
          <w:tcPr>
            <w:tcW w:type="dxa" w:w="1440"/>
            <w:shd w:fill="FFDCE0" w:val="clear"/>
          </w:tcPr>
          <w:p>
            <w:r>
              <w:rPr>
                <w:b/>
                <w:sz w:val="17"/>
              </w:rPr>
              <w:t>7,602</w:t>
            </w:r>
          </w:p>
        </w:tc>
        <w:tc>
          <w:tcPr>
            <w:tcW w:type="dxa" w:w="1440"/>
            <w:shd w:fill="FFDCE0" w:val="clear"/>
          </w:tcPr>
          <w:p>
            <w:r>
              <w:rPr>
                <w:sz w:val="17"/>
              </w:rPr>
              <w:t>7,988</w:t>
            </w:r>
          </w:p>
        </w:tc>
        <w:tc>
          <w:tcPr>
            <w:tcW w:type="dxa" w:w="1440"/>
            <w:shd w:fill="FFDCE0" w:val="clear"/>
          </w:tcPr>
          <w:p>
            <w:r>
              <w:rPr>
                <w:b/>
                <w:color w:val="C00000"/>
                <w:sz w:val="17"/>
              </w:rPr>
              <w:t>-7.9%</w:t>
            </w:r>
          </w:p>
        </w:tc>
      </w:tr>
      <w:tr>
        <w:tc>
          <w:tcPr>
            <w:tcW w:type="dxa" w:w="1440"/>
            <w:shd w:fill="FFDCE0" w:val="clear"/>
          </w:tcPr>
          <w:p>
            <w:r>
              <w:rPr>
                <w:sz w:val="17"/>
              </w:rPr>
              <w:t>J+6  Moyenne</w:t>
            </w:r>
          </w:p>
        </w:tc>
        <w:tc>
          <w:tcPr>
            <w:tcW w:type="dxa" w:w="1440"/>
            <w:shd w:fill="FFDCE0" w:val="clear"/>
          </w:tcPr>
          <w:p>
            <w:r>
              <w:rPr>
                <w:sz w:val="17"/>
              </w:rPr>
              <w:t>2026-10-19</w:t>
            </w:r>
          </w:p>
        </w:tc>
        <w:tc>
          <w:tcPr>
            <w:tcW w:type="dxa" w:w="1440"/>
            <w:shd w:fill="FFDCE0" w:val="clear"/>
          </w:tcPr>
          <w:p>
            <w:r>
              <w:rPr>
                <w:sz w:val="17"/>
              </w:rPr>
              <w:t>7,088</w:t>
            </w:r>
          </w:p>
        </w:tc>
        <w:tc>
          <w:tcPr>
            <w:tcW w:type="dxa" w:w="1440"/>
            <w:shd w:fill="FFDCE0" w:val="clear"/>
          </w:tcPr>
          <w:p>
            <w:r>
              <w:rPr>
                <w:b/>
                <w:sz w:val="17"/>
              </w:rPr>
              <w:t>7,506</w:t>
            </w:r>
          </w:p>
        </w:tc>
        <w:tc>
          <w:tcPr>
            <w:tcW w:type="dxa" w:w="1440"/>
            <w:shd w:fill="FFDCE0" w:val="clear"/>
          </w:tcPr>
          <w:p>
            <w:r>
              <w:rPr>
                <w:sz w:val="17"/>
              </w:rPr>
              <w:t>7,923</w:t>
            </w:r>
          </w:p>
        </w:tc>
        <w:tc>
          <w:tcPr>
            <w:tcW w:type="dxa" w:w="1440"/>
            <w:shd w:fill="FFDCE0" w:val="clear"/>
          </w:tcPr>
          <w:p>
            <w:r>
              <w:rPr>
                <w:b/>
                <w:color w:val="C00000"/>
                <w:sz w:val="17"/>
              </w:rPr>
              <w:t>-9.0%</w:t>
            </w:r>
          </w:p>
        </w:tc>
      </w:tr>
      <w:tr>
        <w:tc>
          <w:tcPr>
            <w:tcW w:type="dxa" w:w="1440"/>
            <w:shd w:fill="FFDCE0" w:val="clear"/>
          </w:tcPr>
          <w:p>
            <w:r>
              <w:rPr>
                <w:sz w:val="17"/>
              </w:rPr>
              <w:t>J+7  Moyenne</w:t>
            </w:r>
          </w:p>
        </w:tc>
        <w:tc>
          <w:tcPr>
            <w:tcW w:type="dxa" w:w="1440"/>
            <w:shd w:fill="FFDCE0" w:val="clear"/>
          </w:tcPr>
          <w:p>
            <w:r>
              <w:rPr>
                <w:sz w:val="17"/>
              </w:rPr>
              <w:t>2026-10-20</w:t>
            </w:r>
          </w:p>
        </w:tc>
        <w:tc>
          <w:tcPr>
            <w:tcW w:type="dxa" w:w="1440"/>
            <w:shd w:fill="FFDCE0" w:val="clear"/>
          </w:tcPr>
          <w:p>
            <w:r>
              <w:rPr>
                <w:sz w:val="17"/>
              </w:rPr>
              <w:t>6,969</w:t>
            </w:r>
          </w:p>
        </w:tc>
        <w:tc>
          <w:tcPr>
            <w:tcW w:type="dxa" w:w="1440"/>
            <w:shd w:fill="FFDCE0" w:val="clear"/>
          </w:tcPr>
          <w:p>
            <w:r>
              <w:rPr>
                <w:b/>
                <w:sz w:val="17"/>
              </w:rPr>
              <w:t>7,414</w:t>
            </w:r>
          </w:p>
        </w:tc>
        <w:tc>
          <w:tcPr>
            <w:tcW w:type="dxa" w:w="1440"/>
            <w:shd w:fill="FFDCE0" w:val="clear"/>
          </w:tcPr>
          <w:p>
            <w:r>
              <w:rPr>
                <w:sz w:val="17"/>
              </w:rPr>
              <w:t>7,859</w:t>
            </w:r>
          </w:p>
        </w:tc>
        <w:tc>
          <w:tcPr>
            <w:tcW w:type="dxa" w:w="1440"/>
            <w:shd w:fill="FFDCE0" w:val="clear"/>
          </w:tcPr>
          <w:p>
            <w:r>
              <w:rPr>
                <w:b/>
                <w:color w:val="C00000"/>
                <w:sz w:val="17"/>
              </w:rPr>
              <w:t>-10.1%</w:t>
            </w:r>
          </w:p>
        </w:tc>
      </w:tr>
      <w:tr>
        <w:tc>
          <w:tcPr>
            <w:tcW w:type="dxa" w:w="1440"/>
            <w:shd w:fill="FFDCE0" w:val="clear"/>
          </w:tcPr>
          <w:p>
            <w:r>
              <w:rPr>
                <w:sz w:val="17"/>
              </w:rPr>
              <w:t>J+8  Moyenne</w:t>
            </w:r>
          </w:p>
        </w:tc>
        <w:tc>
          <w:tcPr>
            <w:tcW w:type="dxa" w:w="1440"/>
            <w:shd w:fill="FFDCE0" w:val="clear"/>
          </w:tcPr>
          <w:p>
            <w:r>
              <w:rPr>
                <w:sz w:val="17"/>
              </w:rPr>
              <w:t>2026-10-21</w:t>
            </w:r>
          </w:p>
        </w:tc>
        <w:tc>
          <w:tcPr>
            <w:tcW w:type="dxa" w:w="1440"/>
            <w:shd w:fill="FFDCE0" w:val="clear"/>
          </w:tcPr>
          <w:p>
            <w:r>
              <w:rPr>
                <w:sz w:val="17"/>
              </w:rPr>
              <w:t>6,856</w:t>
            </w:r>
          </w:p>
        </w:tc>
        <w:tc>
          <w:tcPr>
            <w:tcW w:type="dxa" w:w="1440"/>
            <w:shd w:fill="FFDCE0" w:val="clear"/>
          </w:tcPr>
          <w:p>
            <w:r>
              <w:rPr>
                <w:b/>
                <w:sz w:val="17"/>
              </w:rPr>
              <w:t>7,327</w:t>
            </w:r>
          </w:p>
        </w:tc>
        <w:tc>
          <w:tcPr>
            <w:tcW w:type="dxa" w:w="1440"/>
            <w:shd w:fill="FFDCE0" w:val="clear"/>
          </w:tcPr>
          <w:p>
            <w:r>
              <w:rPr>
                <w:sz w:val="17"/>
              </w:rPr>
              <w:t>7,797</w:t>
            </w:r>
          </w:p>
        </w:tc>
        <w:tc>
          <w:tcPr>
            <w:tcW w:type="dxa" w:w="1440"/>
            <w:shd w:fill="FFDCE0" w:val="clear"/>
          </w:tcPr>
          <w:p>
            <w:r>
              <w:rPr>
                <w:b/>
                <w:color w:val="C00000"/>
                <w:sz w:val="17"/>
              </w:rPr>
              <w:t>-11.2%</w:t>
            </w:r>
          </w:p>
        </w:tc>
      </w:tr>
      <w:tr>
        <w:tc>
          <w:tcPr>
            <w:tcW w:type="dxa" w:w="1440"/>
            <w:shd w:fill="FFDCE0" w:val="clear"/>
          </w:tcPr>
          <w:p>
            <w:r>
              <w:rPr>
                <w:sz w:val="17"/>
              </w:rPr>
              <w:t>J+9  Moyenne</w:t>
            </w:r>
          </w:p>
        </w:tc>
        <w:tc>
          <w:tcPr>
            <w:tcW w:type="dxa" w:w="1440"/>
            <w:shd w:fill="FFDCE0" w:val="clear"/>
          </w:tcPr>
          <w:p>
            <w:r>
              <w:rPr>
                <w:sz w:val="17"/>
              </w:rPr>
              <w:t>2026-10-22</w:t>
            </w:r>
          </w:p>
        </w:tc>
        <w:tc>
          <w:tcPr>
            <w:tcW w:type="dxa" w:w="1440"/>
            <w:shd w:fill="FFDCE0" w:val="clear"/>
          </w:tcPr>
          <w:p>
            <w:r>
              <w:rPr>
                <w:sz w:val="17"/>
              </w:rPr>
              <w:t>6,750</w:t>
            </w:r>
          </w:p>
        </w:tc>
        <w:tc>
          <w:tcPr>
            <w:tcW w:type="dxa" w:w="1440"/>
            <w:shd w:fill="FFDCE0" w:val="clear"/>
          </w:tcPr>
          <w:p>
            <w:r>
              <w:rPr>
                <w:b/>
                <w:sz w:val="17"/>
              </w:rPr>
              <w:t>7,243</w:t>
            </w:r>
          </w:p>
        </w:tc>
        <w:tc>
          <w:tcPr>
            <w:tcW w:type="dxa" w:w="1440"/>
            <w:shd w:fill="FFDCE0" w:val="clear"/>
          </w:tcPr>
          <w:p>
            <w:r>
              <w:rPr>
                <w:sz w:val="17"/>
              </w:rPr>
              <w:t>7,736</w:t>
            </w:r>
          </w:p>
        </w:tc>
        <w:tc>
          <w:tcPr>
            <w:tcW w:type="dxa" w:w="1440"/>
            <w:shd w:fill="FFDCE0" w:val="clear"/>
          </w:tcPr>
          <w:p>
            <w:r>
              <w:rPr>
                <w:b/>
                <w:color w:val="C00000"/>
                <w:sz w:val="17"/>
              </w:rPr>
              <w:t>-12.2%</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6,649</w:t>
            </w:r>
          </w:p>
        </w:tc>
        <w:tc>
          <w:tcPr>
            <w:tcW w:type="dxa" w:w="1440"/>
            <w:shd w:fill="FFDCE0" w:val="clear"/>
          </w:tcPr>
          <w:p>
            <w:r>
              <w:rPr>
                <w:b/>
                <w:sz w:val="17"/>
              </w:rPr>
              <w:t>7,163</w:t>
            </w:r>
          </w:p>
        </w:tc>
        <w:tc>
          <w:tcPr>
            <w:tcW w:type="dxa" w:w="1440"/>
            <w:shd w:fill="FFDCE0" w:val="clear"/>
          </w:tcPr>
          <w:p>
            <w:r>
              <w:rPr>
                <w:sz w:val="17"/>
              </w:rPr>
              <w:t>7,678</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297,00 Mds FCFA, BOAS s'impose comme l'une des valeurs bancaires de référence de la cote BRVM, portée par un BPA de 608 FCFA/action qui traduit la capacité bénéficiaire concrète de chaque titre détenu. Le PER de 13,6x se situe légèrement au-dessus de la moyenne du marché BRVM (8-12x), ce qui indique que les investisseurs acceptent de payer une prime modérée pour la qualité et la régularité des résultats de la banque, sans pour autant basculer dans une valorisation excessive. Le P/B de 3,08x confirme cette lecture : le marché valorise BOAS à plus de trois fois ses fonds propres comptables, une prime de croissance justifiée par un ROE de 22,69% nettement supérieur au coût des fonds propres. Enfin, l'EV/EBITDA de 8,8x, dans la fourchette raisonnable de 5-10x, suggère que la valeur totale de l'entreprise reste cohérente avec sa capacité opérationnelle, sans signal de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affiche une progression totale de +7,14%, avec une dernière séance (J-1) stable à +0,00%, le cours se fixant à 8 250 FCFA. Le range de trading s'établit entre un plus bas de 7 250 FCFA et un plus haut de 8 500 FCFA, soit une amplitude de 17,2% qui témoigne d'une dynamique haussière maîtrisée plutôt que d'une volatilité erratique. La tendance générale est donc haussière, le cours actuel (8 250 FCFA) se situant dans le haut de la fourchette mais sans avoir encore testé son sommet. Les statistiques descriptives révèlent une moyenne de 7 764 FCFA légèrement supérieure à la médiane et au mode (7 700 FCFA), signe d'une distribution très légèrement asymétrique à droite, confirmée par un skewness de 0,220 (distribution quasi symétrique). L'écart-type de 376 FCFA, soit un coefficient de variation de seulement 4,8%, indique une dispersion faible du cours autour de sa moyenne, gage de stabilité. Le kurtosis de -1,327 (distribution platykurtique) signale une faible concentration des rendements et un risque de pics extrêmes limité, ce qui est rassurant pour un investisseur. Avec une volatilité annualisée de 26,4%, le titre se positionne dans la catégorie modérée (15-30%), offrant un bon compromis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(8 119,5 FCFA) et la MM50 (8 051,6 FCFA) se situent toutes deux sous le cours actuel (8 250 FCFA), et la MM20 est au-dessus de la MM50, configuration classique de tendance haussière. Cette disposition en « golden cross » implicite justifie la décision d'achat, le cours évoluant au-dessus de ses supports mobiles.</w:t>
      </w:r>
    </w:p>
    <w:p>
      <w:pPr>
        <w:spacing w:after="120" w:line="276" w:lineRule="auto"/>
      </w:pPr>
      <w:r>
        <w:t>**Bandes de Bollinger** : Le cours (8 250 FCFA) évolue entre la borne inférieure (7 780 FCFA) et la borne supérieure (8 459 FCFA), plus proche du haut du canal sans l'avoir franchi. Cette position médiane-haute, avec un cours à environ 71% de la largeur du canal, traduit une volatilité contenue et une absence de signal extrême, d'où la décision neutre.</w:t>
      </w:r>
    </w:p>
    <w:p>
      <w:pPr>
        <w:spacing w:after="120" w:line="276" w:lineRule="auto"/>
      </w:pPr>
      <w:r>
        <w:t>**MACD** : La valeur du MACD (37,744) est nettement supérieure à son signal (23,822), avec un histogramme positif qui confirme un momentum haussier en cours. Cette divergence positive entre les deux lignes justifie la décision d'achat, le croisement étant déjà effectué et la dynamique favorable.</w:t>
      </w:r>
    </w:p>
    <w:p>
      <w:pPr>
        <w:spacing w:after="120" w:line="276" w:lineRule="auto"/>
      </w:pPr>
      <w:r>
        <w:t>**RSI** : À 59,434, le RSI se situe en zone neutre (30-70), sans atteindre la zone de surachat (&gt;70) ni de survente (&lt;30). Cette position équilibrée indique que le titre dispose encore d'un potentiel de hausse sans être techniquement tendu, justifiant la décision neutre.</w:t>
      </w:r>
    </w:p>
    <w:p>
      <w:pPr>
        <w:spacing w:after="120" w:line="276" w:lineRule="auto"/>
      </w:pPr>
      <w:r>
        <w:t>**Stochastique** : Les valeurs %K et %D sont toutes deux à 100,0, signalant que le cours évolue au plus haut de sa fourchette récente sur la période de référence. Cette configuration extrême, bien que traduisant une forte pression acheteuse, expose le titre à un risque de correction à court terme, d'où la décision de vente.</w:t>
      </w:r>
    </w:p>
    <w:p>
      <w:pPr>
        <w:spacing w:after="120" w:line="276" w:lineRule="auto"/>
      </w:pPr>
      <w:r>
        <w:t>**Conclusion technique** : Les indicateurs présentent une divergence notable : les moyennes mobiles et le MACD confirment une tendance haussière de fond, tandis que le stochastique en zone extrême (100) et le RSI neutre suggèrent un essoufflement imminent. Les bandes de Bollinger, avec un cours proche de la borne supérieure, renforcent ce risque de consolidation. La convergence partielle des signaux plaide pour une prudence à court terme, malgré un fond de tendance haussier intact.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BOAS affiche des états financiers solides : un Produit Net Bancaire (équivalent du chiffre d'affaires pour une banque) de 51,926 Mds FCFA, un résultat net de 21,905 Mds FCFA, un ROE de 22,69% (excellent, &gt;15%) et un ROA de 2,62%. Le coefficient d'exploitation de 44,02% classe la banque parmi les établissements efficaces (&lt;60%), et le coût du risque de 23,31% des charges financières, bien qu'élevé, reste à surveiller. La structure bilancielle est dominée par les dépôts clientèle (686,927 Mds FCFA) face à des créances clientèle de 386,424 Mds FCFA, soit un ratio de transformation de 56,3%, typique d'une banque de collecte. Les rapports trimestriels récents confirment cette dynamique : le rapport du T1 2026 (publié le 31/03/2026) fait état d'un PNB de 12,580 Mds FCFA (+6,82%) et d'un résultat net de 5,741 Mds FCFA (+9,78%), avec un coefficient d'exploitation en amélioration à 42,1%. Le rapport du S1 2026 (analysé le 23/09/2026) mentionne un PNB semestriel de 27,206 Mds FCFA, en hausse, confirmant la tendance. Sur la base de ces rapports, on estime que l'exercice 2026 devrait enregistrer un PNB annuel d'environ 54-55 Mds FCFA et un résultat net proche de 23-24 Mds FCFA, soit une croissance de 5-8% par rapport à 2025. Les rapports antérieurs (T3 2025, S1 2025, T1 2025) montrent une progression continue du PNB (+6,7% au T3 2025) et du résultat net (+10,0% au T3 2025), avec une amélioration constante du coût du risque et du coefficient d'exploitation. La banque bénéficie d'une collecte de dépôts dynamique (+13,6% à mars 2026) et d'une confiance clientèle accrue. Les principaux risques identifiés sont la concentration sur le marché sénégalais, la concurrence accrue et l'exposition au risque de crédit dans un environnement économique incertain. La recommandation fondamentale est positive : solidité financière, croissance régulière et rentabilité élevée.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13,6x, P/B 3,08x, EV/EBITDA 8,8x) indique une légère prime par rapport au marché BRVM, mais elle est justifiée par un ROE de 22,69% et une croissance bénéficiaire soutenue, ce qui écarte le scénario d'une surévaluation excessive. Le comportement du cours sur 100 jours est favorable : tendance haussière (+7,14%), volatilité modérée (26,4%), distribution stable (kurtosis -1,327, skewness 0,220) et dispersion faible (CV 4,8%), autant d'éléments rassurants pour un investisseur. Les signaux techniques sont mitigés : les moyennes mobiles et le MACD confirment la tendance haussière, mais le stochastique en zone extrême (100) et le RSI neutre (59,4) suggèrent un risque de consolidation à court terme. Les fondamentaux sont solides : PNB de 51,926 Mds FCFA en 2025, résultat net de 21,905 Mds FCFA, ROE de 22,69%, et les rapports trimestriels 2026 (T1 et S1) confirment une croissance de 5-8% du PNB et du résultat net, avec un coefficient d'exploitation en amélioration. Les prédictions IA (J+1 à J+10) anticipent une baisse progressive de 8 055 FCFA à 7 602 FCFA, ce qui contredit la tendance haussière de fond mais s'aligne sur le signal de vente du stochastique et le risque de correction à court terme. Sur la base de cette synthèse, la recommandation finale est **CONSERVER** : la convergence entre valorisation raisonnable, fondamentaux solides et tendance haussière de fond est tempérée par les signaux techniques de court terme (stochastique extrême, prédictions baissières). Le niveau de confiance est **Moyen**, car les indicateurs divergent à court terme, et le niveau de risque global est **Moyen**, compte tenu de la volatilité modérée et des risques sectoriels. L'horizon d'investissement optimal est le **moyen terme (3-12 mois)**, le temps que la consolidation technique s'achève et que la croissance fondamentale se matérialise dans les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2,027 titres</w:t>
            </w:r>
          </w:p>
        </w:tc>
        <w:tc>
          <w:tcPr>
            <w:tcW w:type="dxa" w:w="2268"/>
            <w:shd w:fill="FFF2CC" w:val="clear"/>
          </w:tcPr>
          <w:p>
            <w:r>
              <w:rPr>
                <w:b/>
                <w:color w:val="503200"/>
                <w:sz w:val="16"/>
              </w:rPr>
              <w:t xml:space="preserve">Cours actuel : </w:t>
            </w:r>
            <w:r>
              <w:rPr>
                <w:color w:val="000000"/>
                <w:sz w:val="17"/>
              </w:rPr>
              <w:t>3,180 FCFA</w:t>
            </w:r>
          </w:p>
          <w:p>
            <w:r>
              <w:rPr>
                <w:b/>
                <w:color w:val="503200"/>
                <w:sz w:val="16"/>
              </w:rPr>
              <w:t xml:space="preserve">Var. 100 jours : </w:t>
            </w:r>
            <w:r>
              <w:rPr>
                <w:b/>
                <w:color w:val="B40000"/>
                <w:sz w:val="17"/>
              </w:rPr>
              <w:t>-8.36%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3,175 FCFA</w:t>
            </w:r>
          </w:p>
          <w:p>
            <w:r>
              <w:rPr>
                <w:b/>
                <w:color w:val="503200"/>
                <w:sz w:val="16"/>
              </w:rPr>
              <w:t xml:space="preserve">Volatilité ann. : </w:t>
            </w:r>
            <w:r>
              <w:rPr>
                <w:color w:val="000000"/>
                <w:sz w:val="17"/>
              </w:rPr>
              <w:t>44.9%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8.21% (Moyenne) — μ=3,671 FCFA, σ=301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β=0.3309 (Défensif) — Cov=0.000024, Var(idx)=0.000073, ρ=0.100,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σ_j=2.83%/j (Stable) — Vol. annualisée≈44.9%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3,079</w:t>
            </w:r>
          </w:p>
        </w:tc>
        <w:tc>
          <w:tcPr>
            <w:tcW w:type="dxa" w:w="1440"/>
            <w:shd w:fill="FAFAFA" w:val="clear"/>
          </w:tcPr>
          <w:p>
            <w:r>
              <w:rPr>
                <w:b/>
                <w:sz w:val="17"/>
              </w:rPr>
              <w:t>3,175</w:t>
            </w:r>
          </w:p>
        </w:tc>
        <w:tc>
          <w:tcPr>
            <w:tcW w:type="dxa" w:w="1440"/>
            <w:shd w:fill="FAFAFA" w:val="clear"/>
          </w:tcPr>
          <w:p>
            <w:r>
              <w:rPr>
                <w:sz w:val="17"/>
              </w:rPr>
              <w:t>3,271</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3,043</w:t>
            </w:r>
          </w:p>
        </w:tc>
        <w:tc>
          <w:tcPr>
            <w:tcW w:type="dxa" w:w="1440"/>
            <w:shd w:fill="FAFAFA" w:val="clear"/>
          </w:tcPr>
          <w:p>
            <w:r>
              <w:rPr>
                <w:b/>
                <w:sz w:val="17"/>
              </w:rPr>
              <w:t>3,178</w:t>
            </w:r>
          </w:p>
        </w:tc>
        <w:tc>
          <w:tcPr>
            <w:tcW w:type="dxa" w:w="1440"/>
            <w:shd w:fill="FAFAFA" w:val="clear"/>
          </w:tcPr>
          <w:p>
            <w:r>
              <w:rPr>
                <w:sz w:val="17"/>
              </w:rPr>
              <w:t>3,314</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3,018</w:t>
            </w:r>
          </w:p>
        </w:tc>
        <w:tc>
          <w:tcPr>
            <w:tcW w:type="dxa" w:w="1440"/>
            <w:shd w:fill="FAFAFA" w:val="clear"/>
          </w:tcPr>
          <w:p>
            <w:r>
              <w:rPr>
                <w:b/>
                <w:sz w:val="17"/>
              </w:rPr>
              <w:t>3,184</w:t>
            </w:r>
          </w:p>
        </w:tc>
        <w:tc>
          <w:tcPr>
            <w:tcW w:type="dxa" w:w="1440"/>
            <w:shd w:fill="FAFAFA" w:val="clear"/>
          </w:tcPr>
          <w:p>
            <w:r>
              <w:rPr>
                <w:sz w:val="17"/>
              </w:rPr>
              <w:t>3,351</w:t>
            </w:r>
          </w:p>
        </w:tc>
        <w:tc>
          <w:tcPr>
            <w:tcW w:type="dxa" w:w="1440"/>
            <w:shd w:fill="FAFAFA" w:val="clear"/>
          </w:tcPr>
          <w:p>
            <w:r>
              <w:rPr>
                <w:b/>
                <w:color w:val="008000"/>
                <w:sz w:val="17"/>
              </w:rPr>
              <w:t>+0.1%</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2,997</w:t>
            </w:r>
          </w:p>
        </w:tc>
        <w:tc>
          <w:tcPr>
            <w:tcW w:type="dxa" w:w="1440"/>
            <w:shd w:fill="FAFAFA" w:val="clear"/>
          </w:tcPr>
          <w:p>
            <w:r>
              <w:rPr>
                <w:b/>
                <w:sz w:val="17"/>
              </w:rPr>
              <w:t>3,190</w:t>
            </w:r>
          </w:p>
        </w:tc>
        <w:tc>
          <w:tcPr>
            <w:tcW w:type="dxa" w:w="1440"/>
            <w:shd w:fill="FAFAFA" w:val="clear"/>
          </w:tcPr>
          <w:p>
            <w:r>
              <w:rPr>
                <w:sz w:val="17"/>
              </w:rPr>
              <w:t>3,382</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2,979</w:t>
            </w:r>
          </w:p>
        </w:tc>
        <w:tc>
          <w:tcPr>
            <w:tcW w:type="dxa" w:w="1440"/>
            <w:shd w:fill="FAFAFA" w:val="clear"/>
          </w:tcPr>
          <w:p>
            <w:r>
              <w:rPr>
                <w:b/>
                <w:sz w:val="17"/>
              </w:rPr>
              <w:t>3,194</w:t>
            </w:r>
          </w:p>
        </w:tc>
        <w:tc>
          <w:tcPr>
            <w:tcW w:type="dxa" w:w="1440"/>
            <w:shd w:fill="FAFAFA" w:val="clear"/>
          </w:tcPr>
          <w:p>
            <w:r>
              <w:rPr>
                <w:sz w:val="17"/>
              </w:rPr>
              <w:t>3,410</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2,960</w:t>
            </w:r>
          </w:p>
        </w:tc>
        <w:tc>
          <w:tcPr>
            <w:tcW w:type="dxa" w:w="1440"/>
            <w:shd w:fill="FAFAFA" w:val="clear"/>
          </w:tcPr>
          <w:p>
            <w:r>
              <w:rPr>
                <w:b/>
                <w:sz w:val="17"/>
              </w:rPr>
              <w:t>3,196</w:t>
            </w:r>
          </w:p>
        </w:tc>
        <w:tc>
          <w:tcPr>
            <w:tcW w:type="dxa" w:w="1440"/>
            <w:shd w:fill="FAFAFA" w:val="clear"/>
          </w:tcPr>
          <w:p>
            <w:r>
              <w:rPr>
                <w:sz w:val="17"/>
              </w:rPr>
              <w:t>3,432</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2,940</w:t>
            </w:r>
          </w:p>
        </w:tc>
        <w:tc>
          <w:tcPr>
            <w:tcW w:type="dxa" w:w="1440"/>
            <w:shd w:fill="FAFAFA" w:val="clear"/>
          </w:tcPr>
          <w:p>
            <w:r>
              <w:rPr>
                <w:b/>
                <w:sz w:val="17"/>
              </w:rPr>
              <w:t>3,195</w:t>
            </w:r>
          </w:p>
        </w:tc>
        <w:tc>
          <w:tcPr>
            <w:tcW w:type="dxa" w:w="1440"/>
            <w:shd w:fill="FAFAFA" w:val="clear"/>
          </w:tcPr>
          <w:p>
            <w:r>
              <w:rPr>
                <w:sz w:val="17"/>
              </w:rPr>
              <w:t>3,450</w:t>
            </w:r>
          </w:p>
        </w:tc>
        <w:tc>
          <w:tcPr>
            <w:tcW w:type="dxa" w:w="1440"/>
            <w:shd w:fill="FAFAFA" w:val="clear"/>
          </w:tcPr>
          <w:p>
            <w:r>
              <w:rPr>
                <w:b/>
                <w:color w:val="008000"/>
                <w:sz w:val="17"/>
              </w:rPr>
              <w:t>+0.5%</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2,920</w:t>
            </w:r>
          </w:p>
        </w:tc>
        <w:tc>
          <w:tcPr>
            <w:tcW w:type="dxa" w:w="1440"/>
            <w:shd w:fill="FAFAFA" w:val="clear"/>
          </w:tcPr>
          <w:p>
            <w:r>
              <w:rPr>
                <w:b/>
                <w:sz w:val="17"/>
              </w:rPr>
              <w:t>3,193</w:t>
            </w:r>
          </w:p>
        </w:tc>
        <w:tc>
          <w:tcPr>
            <w:tcW w:type="dxa" w:w="1440"/>
            <w:shd w:fill="FAFAFA" w:val="clear"/>
          </w:tcPr>
          <w:p>
            <w:r>
              <w:rPr>
                <w:sz w:val="17"/>
              </w:rPr>
              <w:t>3,465</w:t>
            </w:r>
          </w:p>
        </w:tc>
        <w:tc>
          <w:tcPr>
            <w:tcW w:type="dxa" w:w="1440"/>
            <w:shd w:fill="FAFAFA" w:val="clear"/>
          </w:tcPr>
          <w:p>
            <w:r>
              <w:rPr>
                <w:b/>
                <w:color w:val="008000"/>
                <w:sz w:val="17"/>
              </w:rPr>
              <w:t>+0.4%</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2,900</w:t>
            </w:r>
          </w:p>
        </w:tc>
        <w:tc>
          <w:tcPr>
            <w:tcW w:type="dxa" w:w="1440"/>
            <w:shd w:fill="FAFAFA" w:val="clear"/>
          </w:tcPr>
          <w:p>
            <w:r>
              <w:rPr>
                <w:b/>
                <w:sz w:val="17"/>
              </w:rPr>
              <w:t>3,188</w:t>
            </w:r>
          </w:p>
        </w:tc>
        <w:tc>
          <w:tcPr>
            <w:tcW w:type="dxa" w:w="1440"/>
            <w:shd w:fill="FAFAFA" w:val="clear"/>
          </w:tcPr>
          <w:p>
            <w:r>
              <w:rPr>
                <w:sz w:val="17"/>
              </w:rPr>
              <w:t>3,477</w:t>
            </w:r>
          </w:p>
        </w:tc>
        <w:tc>
          <w:tcPr>
            <w:tcW w:type="dxa" w:w="1440"/>
            <w:shd w:fill="FAFAFA" w:val="clear"/>
          </w:tcPr>
          <w:p>
            <w:r>
              <w:rPr>
                <w:b/>
                <w:color w:val="008000"/>
                <w:sz w:val="17"/>
              </w:rPr>
              <w:t>+0.3%</w:t>
            </w:r>
          </w:p>
        </w:tc>
      </w:tr>
      <w:tr>
        <w:tc>
          <w:tcPr>
            <w:tcW w:type="dxa" w:w="1440"/>
            <w:shd w:fill="FAFAFA" w:val="clear"/>
          </w:tcPr>
          <w:p>
            <w:r>
              <w:rPr>
                <w:sz w:val="17"/>
              </w:rPr>
              <w:t>J+10  Moyenne</w:t>
            </w:r>
          </w:p>
        </w:tc>
        <w:tc>
          <w:tcPr>
            <w:tcW w:type="dxa" w:w="1440"/>
            <w:shd w:fill="FAFAFA" w:val="clear"/>
          </w:tcPr>
          <w:p>
            <w:r>
              <w:rPr>
                <w:sz w:val="17"/>
              </w:rPr>
              <w:t>2026-10-23</w:t>
            </w:r>
          </w:p>
        </w:tc>
        <w:tc>
          <w:tcPr>
            <w:tcW w:type="dxa" w:w="1440"/>
            <w:shd w:fill="FAFAFA" w:val="clear"/>
          </w:tcPr>
          <w:p>
            <w:r>
              <w:rPr>
                <w:sz w:val="17"/>
              </w:rPr>
              <w:t>2,879</w:t>
            </w:r>
          </w:p>
        </w:tc>
        <w:tc>
          <w:tcPr>
            <w:tcW w:type="dxa" w:w="1440"/>
            <w:shd w:fill="FAFAFA" w:val="clear"/>
          </w:tcPr>
          <w:p>
            <w:r>
              <w:rPr>
                <w:b/>
                <w:sz w:val="17"/>
              </w:rPr>
              <w:t>3,183</w:t>
            </w:r>
          </w:p>
        </w:tc>
        <w:tc>
          <w:tcPr>
            <w:tcW w:type="dxa" w:w="1440"/>
            <w:shd w:fill="FAFAFA" w:val="clear"/>
          </w:tcPr>
          <w:p>
            <w:r>
              <w:rPr>
                <w:sz w:val="17"/>
              </w:rPr>
              <w:t>3,487</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18,83 Mds FCFA, CABC se situe dans la catégorie des valeurs moyennes de la BRVM, loin des poids lourds comme SONATEL ou ETIT. Le BPA de 243 FCFA/action confère au titre un PER de 13,1x, légèrement supérieur à la moyenne du marché BRVM (8-12x), ce qui suggère que les investisseurs paient une prime modérée pour les bénéfices actuels, sans excès manifeste. Le ratio P/B de 2,01x indique que le marché valorise la société à environ deux fois sa valeur comptable, traduisant une prime de croissance accordée par le marché. Enfin, l'EV/EBITDA de 6,4x, situé dans la fourchette raisonnable de 5-10x, montre que la valeur d'entreprise reste cohérente avec la capacité opérationnelle de génération de cash-flows. Globalement, la valorisation apparaît modérée, sans signal de sous-évaluation flagrant ni de bulle spéculative.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 enregistré une variation totale de **-8,36%**, avec une légère reprise de **+0,16%** lors de la dernière séance (J-1), signalant un possible essoufflement de la pression baissière. Le cours actuel de **3 180 FCFA** évolue dans un range de trading compris entre un plus haut de **4 500 FCFA** et un plus bas de **3 175 FCFA**, ce qui place le titre à proximité immédiate de son plancher, une zone historiquement sensible. La tendance générale est donc **baissière** sur la période, le cours ayant perdu près d'un dixième de sa valeur. Les statistiques descriptives révèlent une **moyenne de 3 671 FCFA** supérieure à la **médiane de 3 592 FCFA**, confirmant une distribution asymétrique avec quelques journées de forte hausse tirant la moyenne vers le haut. L'écart-type de 303 FCFA (CV=8,3%) indique une dispersion modérée, tandis que le kurtosis de 0,292 (mésokurtique) suggère un risque de pics limité et une distribution proche de la normale. Le skewness de 0,823 (asymétrie positive) indique toutefois davantage de journées sous la moyenne, cohérent avec la tendance baissière. La **volatilité annualisée de 44,9%** classe le titre dans la catégorie **élevée** (&gt;30%), ce qui implique un risque significatif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(3 347,5 FCFA) et la MM50 (3 462,5 FCFA) se situent toutes deux au-dessus du cours actuel (3 180 FCFA), confirmant une configuration baissière. Le cours évoluant sous ses deux moyennes, la pression vendeuse reste dominante, justifiant la décision technique de **Vente**. L'écart entre MM20 et MM50 (115 FCFA) suggère une tendance baissière encore active, sans croisement haussier imminent.</w:t>
      </w:r>
    </w:p>
    <w:p>
      <w:pPr>
        <w:spacing w:after="120" w:line="276" w:lineRule="auto"/>
      </w:pPr>
      <w:r>
        <w:t>**Bandes de Bollinger** : Le cours (3 180 FCFA) évolue dans la partie basse des bandes, proche de la borne inférieure (3 126,105 FCFA) et loin de la borne supérieure (3 568,895 FCFA). Cette position indique une pression baissière, mais la proximité de la borne inférieure peut signaler une zone de survente potentielle. La décision est **Neutre**, reflétant l'absence de signal clair de retournement malgré la position extrême.</w:t>
      </w:r>
    </w:p>
    <w:p>
      <w:pPr>
        <w:spacing w:after="120" w:line="276" w:lineRule="auto"/>
      </w:pPr>
      <w:r>
        <w:t>**MACD** : La valeur du MACD (-76,29) est inférieure à son signal (-67,298), confirmant un momentum baissier. La divergence négative entre MACD et signal indique que la tendance baissière reste intacte, justifiant la décision de **Vente**. Aucun croisement haussier n'est observé à ce stade.</w:t>
      </w:r>
    </w:p>
    <w:p>
      <w:pPr>
        <w:spacing w:after="120" w:line="276" w:lineRule="auto"/>
      </w:pPr>
      <w:r>
        <w:t>**RSI** : À 32,824, le RSI se situe dans la zone neutre basse, proche du seuil de survente (30). Sans être encore en survente technique, cette valeur indique que le titre approche d'une zone où un rebond technique pourrait se produire. La décision est **Neutre**, reflétant cette position charnière.</w:t>
      </w:r>
    </w:p>
    <w:p>
      <w:pPr>
        <w:spacing w:after="120" w:line="276" w:lineRule="auto"/>
      </w:pPr>
      <w:r>
        <w:t>**Stochastique** : Le %K (2,222) est très inférieur au %D (9,074), avec un %K proche de zéro, signalant une **survente extrême**. Cette configuration est typique d'une fin de mouvement baissier et peut précéder un rebond. La décision est **Achat**, en anticipation d'un retournement technique.</w:t>
      </w:r>
    </w:p>
    <w:p>
      <w:pPr>
        <w:spacing w:after="120" w:line="276" w:lineRule="auto"/>
      </w:pPr>
      <w:r>
        <w:t>**Conclusion technique** : Les indicateurs sont majoritairement baissiers (MM, MACD), mais le Stochastique en survente extrême et le RSI proche de 30 suggèrent un potentiel rebond à court terme. La convergence entre la position basse des Bandes de Bollinger et la survente stochastique plaide pour une **surveillance active** plutôt qu'une vente précipitée. Un signal d'achat contrariant pourrait émerger si le cours se stabilise au-dessus de 3 175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CABC a réalisé un chiffre d'affaires de **21 263 M FCFA**, en croissance de **11,18%** par rapport à 2024, confirmant la dynamique commerciale de l'entreprise. Le résultat net s'établit à **1 439 M FCFA**, soit une marge nette de **6,77%**, en amélioration par rapport aux exercices précédents. Le ROE de **15,40%** (&gt;15%) traduit une excellente rentabilité des fonds propres, tandis que le ROA de **6,10%** reste modéré, reflétant l'intensité capitalistique du secteur. La structure financière est saine avec une autonomie financière de **39,58%** (&gt;30%) et une liquidité générale de **242,60%**, bien au-dessus du seuil de 1. Le BFR de **7 186 M FCFA** est positif, mais le fonds de roulement de **12 325 M FCFA** couvre largement ce besoin. Les délais clients (**144,69 jours**) et de stockage (**152,12 jours**) sont élevés, signalant un risque de trésorerie et une immobilisation importante de capital.</w:t>
      </w:r>
    </w:p>
    <w:p>
      <w:pPr>
        <w:spacing w:after="120" w:line="276" w:lineRule="auto"/>
      </w:pPr>
      <w:r>
        <w:t>**Adaptation au secteur ENTREPRISE** : La marge brute de **16,50%** et la marge opérationnelle de **9,82%** sont correctes pour une entreprise industrielle, mais la pression sur les coûts des matières premières (cuivre, aluminium) reste un risque majeur. Le taux d'endettement de **60,42%** est modéré, avec des dettes financières limitées à **417,60 M FCFA**, mais les provisions pour risques (**3 401 M FCFA**) pèsent sur la trésorerie.</w:t>
      </w:r>
    </w:p>
    <w:p>
      <w:pPr>
        <w:spacing w:after="120" w:line="276" w:lineRule="auto"/>
      </w:pPr>
      <w:r>
        <w:t>**Estimations basées sur les rapports trimestriels** : Le rapport du **3ème trimestre 2025** (daté du 30/09/2025) indique un CA cumulé de **16 630 M FCFA** (+13,7%) et un résultat net de **1 329,5 M FCFA** (+26,0%), avec une marge nette de **8,0%**. Le rapport du **1er semestre 2025** (daté du 30/06/2025) faisait état d'un résultat net de **851,5 M FCFA** (+55,3%) et d'une marge nette de **7,9%**. Sur cette base, on estime que l'exercice 2025 devrait clôturer avec un résultat net proche de **1 400-1 450 M FCFA**, cohérent avec les données structurées. Cependant, le rapport du **T1 2026** (daté de 2026) signale une **perte nette de 221,7 M FCFA** (-205% vs T1 2025) due à une maintenance planifiée et à l'inflation des cours des métaux (+23% en 3 mois), ce qui pourrait compromettre les perspectives 2026.</w:t>
      </w:r>
    </w:p>
    <w:p>
      <w:pPr>
        <w:spacing w:after="120" w:line="276" w:lineRule="auto"/>
      </w:pPr>
      <w:r>
        <w:t>**Évolution temporelle** : Entre 2023 et 2025, le CA est passé de **17 753 M FCFA** à **21 263 M FCFA** (+19,8%), tandis que le résultat net a progressé de **1 430 M FCFA** à **1 439 M FCFA** (stable). La marge nette s'est améliorée de **8,1%** (2023) à **6,77%** (2025), mais reste fragile. Le rapport annuel 2024 (daté du 31/12/2024) mentionnait une trésorerie nette de **6 865 M FCFA**, en baisse de 25% en 2025 à **5 139 M FCFA**, signalant une tension croissante.</w:t>
      </w:r>
    </w:p>
    <w:p>
      <w:pPr>
        <w:spacing w:after="120" w:line="276" w:lineRule="auto"/>
      </w:pPr>
      <w:r>
        <w:t>**Recommandation fondamentale** : CABC présente des fondamentaux **solides mais sous pression**. La croissance du CA et le ROE élevé sont des points forts, mais la dégradation de la trésorerie, les délais clients élevés et la perte au T1 2026 constituent des signaux d'alerte. La recommandation est **CONSERVER** avec une surveillance active des indicateurs de trésorerie et de la marge opérationnelle.</w:t>
      </w:r>
    </w:p>
    <w:p>
      <w:pPr>
        <w:spacing w:after="120" w:line="276" w:lineRule="auto"/>
      </w:pPr>
      <w:r>
        <w:t>---</w:t>
      </w:r>
    </w:p>
    <w:p>
      <w:pPr>
        <w:spacing w:after="120" w:line="276" w:lineRule="auto"/>
      </w:pPr>
      <w:r>
        <w:t>## PARTIE 4 : CONCLUSION D'INVESTISSEMENT</w:t>
      </w:r>
    </w:p>
    <w:p>
      <w:pPr>
        <w:spacing w:after="120" w:line="276" w:lineRule="auto"/>
      </w:pPr>
      <w:r>
        <w:t>La valorisation de CABC (PER 13,1x, P/B 2,01x, EV/EBITDA 6,4x) apparaît **modérée**, sans sous-évaluation flagrante mais sans excès spéculatif. Le comportement du cours sur 100 jours est **baissier** (-8,36%), avec une volatilité élevée (44,9%) et une asymétrie positive (skewness 0,823) indiquant davantage de journées sous la moyenne, ce qui est préoccupant pour les investisseurs court-termistes. Les signaux techniques sont **mitigés** : les MM et le MACD confirment la tendance baissière, mais le Stochastique en survente extrême (%K=2,22) et le RSI proche de 30 suggèrent un potentiel rebond à court terme. Les fondamentaux sont **contrastés** : croissance du CA (+11,18% en 2025) et ROE élevé (15,40%), mais trésorerie en baisse (-25%) et perte au T1 2026 (-221,7 M FCFA) liée à des facteurs temporaires (maintenance, inflation des métaux). Les prédictions IA (J+1 à J+10) anticipent une **stabilisation autour de 3 175-3 194 FCFA**, confirmant l'absence de tendance claire à court terme. Sur la base de cette synthèse, la recommandation finale est **CONSERVER**, avec un niveau de confiance **Moyen** et un risque global **Élevé**. L'horizon d'investissement optimal est **moyen terme (3-12 mois)**, en attendant la normalisation des performances au T2 2026 et une clarification de la tendance technique. Une cassure durable au-dessus de 3 350 FCFA (MM20) pourrait justifier un passage à **ACHAT**, tandis qu'une rupture sous 3 175 FCFA (plus bas) inciterait à la **VENTE**.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960.16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1,516 titres</w:t>
            </w:r>
          </w:p>
        </w:tc>
        <w:tc>
          <w:tcPr>
            <w:tcW w:type="dxa" w:w="2268"/>
            <w:shd w:fill="FFF2CC" w:val="clear"/>
          </w:tcPr>
          <w:p>
            <w:r>
              <w:rPr>
                <w:b/>
                <w:color w:val="503200"/>
                <w:sz w:val="16"/>
              </w:rPr>
              <w:t xml:space="preserve">Cours actuel : </w:t>
            </w:r>
            <w:r>
              <w:rPr>
                <w:color w:val="000000"/>
                <w:sz w:val="17"/>
              </w:rPr>
              <w:t>30,005 FCFA</w:t>
            </w:r>
          </w:p>
          <w:p>
            <w:r>
              <w:rPr>
                <w:b/>
                <w:color w:val="503200"/>
                <w:sz w:val="16"/>
              </w:rPr>
              <w:t xml:space="preserve">Var. 100 jours : </w:t>
            </w:r>
            <w:r>
              <w:rPr>
                <w:b/>
                <w:color w:val="007800"/>
                <w:sz w:val="17"/>
              </w:rPr>
              <w:t>+46.37%</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20,500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15.79% (Élevée) — μ=27,279 FCFA, σ=4,308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β=1.3165 (Agressif) — Cov=0.000096, Var(idx)=0.000073, ρ=0.408,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28,118</w:t>
            </w:r>
          </w:p>
        </w:tc>
        <w:tc>
          <w:tcPr>
            <w:tcW w:type="dxa" w:w="1440"/>
            <w:shd w:fill="FAFAFA" w:val="clear"/>
          </w:tcPr>
          <w:p>
            <w:r>
              <w:rPr>
                <w:b/>
                <w:sz w:val="17"/>
              </w:rPr>
              <w:t>29,715</w:t>
            </w:r>
          </w:p>
        </w:tc>
        <w:tc>
          <w:tcPr>
            <w:tcW w:type="dxa" w:w="1440"/>
            <w:shd w:fill="FAFAFA" w:val="clear"/>
          </w:tcPr>
          <w:p>
            <w:r>
              <w:rPr>
                <w:sz w:val="17"/>
              </w:rPr>
              <w:t>31,312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27,313</w:t>
            </w:r>
          </w:p>
        </w:tc>
        <w:tc>
          <w:tcPr>
            <w:tcW w:type="dxa" w:w="1440"/>
            <w:shd w:fill="FAFAFA" w:val="clear"/>
          </w:tcPr>
          <w:p>
            <w:r>
              <w:rPr>
                <w:b/>
                <w:sz w:val="17"/>
              </w:rPr>
              <w:t>29,560</w:t>
            </w:r>
          </w:p>
        </w:tc>
        <w:tc>
          <w:tcPr>
            <w:tcW w:type="dxa" w:w="1440"/>
            <w:shd w:fill="FAFAFA" w:val="clear"/>
          </w:tcPr>
          <w:p>
            <w:r>
              <w:rPr>
                <w:sz w:val="17"/>
              </w:rPr>
              <w:t>31,807</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26,670</w:t>
            </w:r>
          </w:p>
        </w:tc>
        <w:tc>
          <w:tcPr>
            <w:tcW w:type="dxa" w:w="1440"/>
            <w:shd w:fill="FAFAFA" w:val="clear"/>
          </w:tcPr>
          <w:p>
            <w:r>
              <w:rPr>
                <w:b/>
                <w:sz w:val="17"/>
              </w:rPr>
              <w:t>29,408</w:t>
            </w:r>
          </w:p>
        </w:tc>
        <w:tc>
          <w:tcPr>
            <w:tcW w:type="dxa" w:w="1440"/>
            <w:shd w:fill="FAFAFA" w:val="clear"/>
          </w:tcPr>
          <w:p>
            <w:r>
              <w:rPr>
                <w:sz w:val="17"/>
              </w:rPr>
              <w:t>32,146</w:t>
            </w:r>
          </w:p>
        </w:tc>
        <w:tc>
          <w:tcPr>
            <w:tcW w:type="dxa" w:w="1440"/>
            <w:shd w:fill="FAFAFA"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26,114</w:t>
            </w:r>
          </w:p>
        </w:tc>
        <w:tc>
          <w:tcPr>
            <w:tcW w:type="dxa" w:w="1440"/>
            <w:shd w:fill="FFDCE0" w:val="clear"/>
          </w:tcPr>
          <w:p>
            <w:r>
              <w:rPr>
                <w:b/>
                <w:sz w:val="17"/>
              </w:rPr>
              <w:t>29,260</w:t>
            </w:r>
          </w:p>
        </w:tc>
        <w:tc>
          <w:tcPr>
            <w:tcW w:type="dxa" w:w="1440"/>
            <w:shd w:fill="FFDCE0" w:val="clear"/>
          </w:tcPr>
          <w:p>
            <w:r>
              <w:rPr>
                <w:sz w:val="17"/>
              </w:rPr>
              <w:t>32,406</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25,631</w:t>
            </w:r>
          </w:p>
        </w:tc>
        <w:tc>
          <w:tcPr>
            <w:tcW w:type="dxa" w:w="1440"/>
            <w:shd w:fill="FFDCE0" w:val="clear"/>
          </w:tcPr>
          <w:p>
            <w:r>
              <w:rPr>
                <w:b/>
                <w:sz w:val="17"/>
              </w:rPr>
              <w:t>29,133</w:t>
            </w:r>
          </w:p>
        </w:tc>
        <w:tc>
          <w:tcPr>
            <w:tcW w:type="dxa" w:w="1440"/>
            <w:shd w:fill="FFDCE0" w:val="clear"/>
          </w:tcPr>
          <w:p>
            <w:r>
              <w:rPr>
                <w:sz w:val="17"/>
              </w:rPr>
              <w:t>32,634</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25,201</w:t>
            </w:r>
          </w:p>
        </w:tc>
        <w:tc>
          <w:tcPr>
            <w:tcW w:type="dxa" w:w="1440"/>
            <w:shd w:fill="FFDCE0" w:val="clear"/>
          </w:tcPr>
          <w:p>
            <w:r>
              <w:rPr>
                <w:b/>
                <w:sz w:val="17"/>
              </w:rPr>
              <w:t>29,022</w:t>
            </w:r>
          </w:p>
        </w:tc>
        <w:tc>
          <w:tcPr>
            <w:tcW w:type="dxa" w:w="1440"/>
            <w:shd w:fill="FFDCE0" w:val="clear"/>
          </w:tcPr>
          <w:p>
            <w:r>
              <w:rPr>
                <w:sz w:val="17"/>
              </w:rPr>
              <w:t>32,843</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24,811</w:t>
            </w:r>
          </w:p>
        </w:tc>
        <w:tc>
          <w:tcPr>
            <w:tcW w:type="dxa" w:w="1440"/>
            <w:shd w:fill="FFDCE0" w:val="clear"/>
          </w:tcPr>
          <w:p>
            <w:r>
              <w:rPr>
                <w:b/>
                <w:sz w:val="17"/>
              </w:rPr>
              <w:t>28,924</w:t>
            </w:r>
          </w:p>
        </w:tc>
        <w:tc>
          <w:tcPr>
            <w:tcW w:type="dxa" w:w="1440"/>
            <w:shd w:fill="FFDCE0" w:val="clear"/>
          </w:tcPr>
          <w:p>
            <w:r>
              <w:rPr>
                <w:sz w:val="17"/>
              </w:rPr>
              <w:t>33,038</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24,452</w:t>
            </w:r>
          </w:p>
        </w:tc>
        <w:tc>
          <w:tcPr>
            <w:tcW w:type="dxa" w:w="1440"/>
            <w:shd w:fill="FFDCE0" w:val="clear"/>
          </w:tcPr>
          <w:p>
            <w:r>
              <w:rPr>
                <w:b/>
                <w:sz w:val="17"/>
              </w:rPr>
              <w:t>28,837</w:t>
            </w:r>
          </w:p>
        </w:tc>
        <w:tc>
          <w:tcPr>
            <w:tcW w:type="dxa" w:w="1440"/>
            <w:shd w:fill="FFDCE0" w:val="clear"/>
          </w:tcPr>
          <w:p>
            <w:r>
              <w:rPr>
                <w:sz w:val="17"/>
              </w:rPr>
              <w:t>33,221</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24,119</w:t>
            </w:r>
          </w:p>
        </w:tc>
        <w:tc>
          <w:tcPr>
            <w:tcW w:type="dxa" w:w="1440"/>
            <w:shd w:fill="FFDCE0" w:val="clear"/>
          </w:tcPr>
          <w:p>
            <w:r>
              <w:rPr>
                <w:b/>
                <w:sz w:val="17"/>
              </w:rPr>
              <w:t>28,756</w:t>
            </w:r>
          </w:p>
        </w:tc>
        <w:tc>
          <w:tcPr>
            <w:tcW w:type="dxa" w:w="1440"/>
            <w:shd w:fill="FFDCE0" w:val="clear"/>
          </w:tcPr>
          <w:p>
            <w:r>
              <w:rPr>
                <w:sz w:val="17"/>
              </w:rPr>
              <w:t>33,393</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23,810</w:t>
            </w:r>
          </w:p>
        </w:tc>
        <w:tc>
          <w:tcPr>
            <w:tcW w:type="dxa" w:w="1440"/>
            <w:shd w:fill="FFDCE0" w:val="clear"/>
          </w:tcPr>
          <w:p>
            <w:r>
              <w:rPr>
                <w:b/>
                <w:sz w:val="17"/>
              </w:rPr>
              <w:t>28,686</w:t>
            </w:r>
          </w:p>
        </w:tc>
        <w:tc>
          <w:tcPr>
            <w:tcW w:type="dxa" w:w="1440"/>
            <w:shd w:fill="FFDCE0" w:val="clear"/>
          </w:tcPr>
          <w:p>
            <w:r>
              <w:rPr>
                <w:sz w:val="17"/>
              </w:rPr>
              <w:t>33,562</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960,16 milliards FCFA, CBIBF s'impose comme l'une des plus importantes capitalisations de la BRVM, ce qui témoigne de sa position de leader bancaire au Burkina Faso et de sa liquidité relative sur le marché régional. Le BPA de 2 047 FCFA par action signifie que chaque titre génère près de 2 047 FCFA de bénéfice net, un niveau de rentabilité par action particulièrement élevé pour le marché. Le PER de 14,7x se situe au-dessus de la moyenne BRVM (généralement comprise entre 8 et 12x), ce qui indique que les investisseurs acceptent de payer une prime pour la qualité de la croissance et la solidité des fondamentaux de la banque, sans pour autant tomber dans une zone de surévaluation excessive. L'EV/EBITDA de 10,9x, situé dans la fourchette 10-15x, traduit une valorisation élevée de la valeur d'entreprise par rapport à la capacité opérationnelle, cohérente avec le statut premium de la banque. Les ratios P/B n'étant pas fournis dans les données disponibles, ils ne peuvent être commentés.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+46,37%, passant d'un plus bas de 20 500 FCFA à un plus haut de 34 450 FCFA, avant de clôturer à 30 005 FCFA, soit une contraction de -4,14% lors de la dernière séance. Ce range de trading de près de 14 000 FCFA (soit environ 68% d'amplitude) confirme une tendance nettement haussière sur la période, bien que la récente correction signale une prise de profit après le rallye. La moyenne (27 279 FCFA) est légèrement inférieure à la médiane (28 310 FCFA), ce qui indique une distribution légèrement asymétrique à gauche, cohérente avec le skewness de -0,145 qui traduit une symétrie quasi-parfaite avec une très légère prédominance des valeurs basses. L'écart-type de 4 330 FCFA avec un coefficient de variation de 15,9% révèle une dispersion modérée du cours autour de sa moyenne, tandis que le kurtosis de -1,263 (distribution platykurtique) indique une faible concentration des valeurs autour de la moyenne et un risque de pics moins prononcé qu'une distribution normale. La volatilité annualisée de 44,2% positionne ce titre dans la catégorie des valeurs à volatilité élevée (&gt;30%), ce qui implique un risque de marché significatif mais aussi des opportunités de rendement accrues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(31 990,25 FCFA) et la MM50 (30 697,10 FCFA) se situent toutes deux au-dessus du cours actuel (30 005 FCFA), ce qui place le titre en dessous de ses moyennes court et moyen terme. Cependant, la décision technique affichée est "Achat", suggérant que la configuration des moyennes (MM20 &gt; MM50) reste haussière de fond, mais le croisement baissier du cours sous ces deux supports appelle à la prudence.</w:t>
      </w:r>
    </w:p>
    <w:p>
      <w:pPr>
        <w:spacing w:after="120" w:line="276" w:lineRule="auto"/>
      </w:pPr>
      <w:r>
        <w:t>**Bandes de Bollinger** : Le cours actuel (30 005 FCFA) se situe dans la partie médiane des bandes, entre la borne inférieure (28 602,63 FCFA) et la borne supérieure (35 377,87 FCFA), avec une décision "Neutre". Cette position centrale indique l'absence de signal directionnel fort, la volatilité restant contenue dans les bandes sans test des extrêmes.</w:t>
      </w:r>
    </w:p>
    <w:p>
      <w:pPr>
        <w:spacing w:after="120" w:line="276" w:lineRule="auto"/>
      </w:pPr>
      <w:r>
        <w:t>**MACD** : La valeur du MACD (-102,661) est nettement inférieure à son signal (152,417), générant une divergence baissière marquée et une décision "Vente". Ce croisement négatif du MACD sous sa ligne de signal traduit un affaiblissement du momentum haussier et suggère une pression vendeuse persistante à court terme.</w:t>
      </w:r>
    </w:p>
    <w:p>
      <w:pPr>
        <w:spacing w:after="120" w:line="276" w:lineRule="auto"/>
      </w:pPr>
      <w:r>
        <w:t>**RSI** : À 36,652, le RSI se situe dans la zone neutre basse (entre 30 et 70), sans atteindre le seuil de survente (30). La décision "Neutre" reflète un équilibre précaire, le titre n'étant ni survendu ni suracheté, mais orienté vers le bas, ce qui laisse présager une possible poursuite de la correction ou une stabilisation imminente.</w:t>
      </w:r>
    </w:p>
    <w:p>
      <w:pPr>
        <w:spacing w:after="120" w:line="276" w:lineRule="auto"/>
      </w:pPr>
      <w:r>
        <w:t>**Stochastique** : Le %K (30,751) est inférieur au %D (45,423), avec une décision "Neutre". Ce croisement baissier du %K sous le %D, bien que les deux indicateurs restent dans la zone basse, suggère une pression vendeuse modérée sans signal de retournement imminent.</w:t>
      </w:r>
    </w:p>
    <w:p>
      <w:pPr>
        <w:spacing w:after="120" w:line="276" w:lineRule="auto"/>
      </w:pPr>
      <w:r>
        <w:t>**Conclusion technique** : Les indicateurs techniques présentent un tableau mitigé, avec une majorité de signaux neutres (Bollinger, RSI, Stochastique) et un signal de vente clair du MACD, tandis que les moyennes mobiles maintiennent une décision d'achat de fond. Cette divergence entre le momentum baissier à court terme (MACD) et la structure haussière de moyen terme (MM) plaide pour une phase de consolidation, voire une correction supplémentaire avant une reprise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Coris Bank International a réalisé un Produit Net Bancaire (PNB) de 138,986 milliards FCFA, en croissance de 6,11% par rapport à 2024, confirmant la dynamique commerciale de la banque. Le résultat net s'établit à 65,495 milliards FCFA, en progression remarquable de 36,6% par rapport aux 47,937 milliards FCFA de 2024, porté par l'amélioration significative du coût du risque (-59,3%) et une marge nette de 47,12%. Le coefficient d'exploitation de 36,39% positionne la banque parmi les établissements les plus efficaces du secteur (seuil d'excellence &lt;50%), tandis que le ROA de 2,18% et la rotation des actifs de 4,64% témoignent d'une utilisation productive du bilan de 2 997,78 milliards FCFA. La structure bilancielle révèle une collecte de dépôts clients de 2 015,28 milliards FCFA (+14,9%) face à des créances clientèle de 1 326,98 milliards FCFA (+5,4%), générant un ratio de transformation (crédits/dépôts) de 65,8%, ce qui indique une marge de manœuvre importante pour développer le crédit. Le coût du risque, bien qu'élevé dans les données structurées, s'est nettement amélioré en 2025 selon le rapport annuel, traduisant l'assainissement réussi du portefeuille. Les rapports trimestriels récents confirment cette dynamique : le T1 2026 (rapport du 31 mars 2026) affiche un PNB de 36,8 milliards FCFA (+28,5%) et un résultat net de 21,5 milliards FCFA (+22,2%), avec une marge nette de 58,4%, tandis que le S1 2026 (rapport du 30 juin 2026) et le T3 2025 (rapport du 30 septembre 2025) confirment la solidité opérationnelle. Sur la base de ces tendances trimestrielles, on estime que l'exercice 2026 devrait enregistrer un PNB supérieur à 150 milliards FCFA et un résultat net approchant 75-80 milliards FCFA, soutenu par la forte croissance des dépôts (+37,9% au T1 2026 à 2 365,1 milliards FCFA) et l'inauguration du nouveau siège. La notation financière AA/AI avec perspective stable (confirmée par Bloomfield Investment Corporation) et le renforcement de la gouvernance avec deux administrateurs indépendants constituent des facteurs de confiance supplémentaires. Le principal risque réside dans l'exposition géographique au Burkina Faso, confronté à des défis sécuritaires et politiques persistants, ainsi qu'à la croissance modérée des crédits (+3,8%) qui pourrait limiter la marge d'intérêt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CBIBF (PER de 14,7x, EV/EBITDA de 10,9x) indique une prime de qualité justifiée par des fondamentaux solides, sans basculer dans une surévaluation excessive, bien que le titre ne présente pas de décote évidente. Le comportement du cours sur 100 jours (+46,37%) témoigne d'un fort momentum haussier, mais la correction récente (-4,14% en J-1) et la volatilité élevée (44,2%) avec une distribution platykurtique (kurtosis -1,263) suggèrent une phase de consolidation probable. Les signaux techniques sont divergents : le MACD baissier contraste avec la structure haussière des moyennes mobiles, tandis que le RSI (36,65) et le stochastique (30,75) en zone neutre basse n'offrent pas de signal directionnel clair, plaidant pour une attente de confirmation. Les fondamentaux restent excellents avec un résultat net 2025 de 65,5 milliards FCFA (+36,6%), un coefficient d'exploitation de 36,4% et des estimations 2026 optimistes basées sur le T1 2026 (PNB +28,5%, résultat net +22,2%). Les prédictions IA (J+1 à J+10) anticipent une poursuite de la correction baissière vers 29 133 FCFA d'ici le 16 octobre 2026, ce qui contredit le signal d'achat des moyennes mobiles mais confirme le momentum baissier du MACD. Sur la base de cette synthèse, la recommandation finale est **CONSERVER** avec un niveau de confiance **Moyen** et un risque global **Élevé**. La convergence entre la correction technique à court terme (MACD, prédictions IA) et la solidité fondamentale à moyen/long terme (croissance du résultat net, efficacité opérationnelle) suggère d'attendre une stabilisation du cours autour de 29 000-30 000 FCFA avant de renforcer, avec un horizon d'investissement optimal de **moyen terme (3-12 mois)** pour capturer la reprise post-consolidation et la valorisation de la croissance bénéficiaire.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266.62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3,572 titres</w:t>
            </w:r>
          </w:p>
        </w:tc>
        <w:tc>
          <w:tcPr>
            <w:tcW w:type="dxa" w:w="2268"/>
            <w:shd w:fill="FFF2CC" w:val="clear"/>
          </w:tcPr>
          <w:p>
            <w:r>
              <w:rPr>
                <w:b/>
                <w:color w:val="503200"/>
                <w:sz w:val="16"/>
              </w:rPr>
              <w:t xml:space="preserve">Cours actuel : </w:t>
            </w:r>
            <w:r>
              <w:rPr>
                <w:color w:val="000000"/>
                <w:sz w:val="17"/>
              </w:rPr>
              <w:t>1,470 FCFA</w:t>
            </w:r>
          </w:p>
          <w:p>
            <w:r>
              <w:rPr>
                <w:b/>
                <w:color w:val="503200"/>
                <w:sz w:val="16"/>
              </w:rPr>
              <w:t xml:space="preserve">Var. 100 jours : </w:t>
            </w:r>
            <w:r>
              <w:rPr>
                <w:b/>
                <w:color w:val="B40000"/>
                <w:sz w:val="17"/>
              </w:rPr>
              <w:t>-2.00%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1,460 FCFA</w:t>
            </w:r>
          </w:p>
          <w:p>
            <w:r>
              <w:rPr>
                <w:b/>
                <w:color w:val="503200"/>
                <w:sz w:val="16"/>
              </w:rPr>
              <w:t xml:space="preserve">Volatilité ann. : </w:t>
            </w:r>
            <w:r>
              <w:rPr>
                <w:color w:val="000000"/>
                <w:sz w:val="17"/>
              </w:rPr>
              <w:t>45.4%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5.52% (Moyenne) — μ=1,636 FCFA, σ=90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β=1.1598 (Neutre (suit le marché)) — Cov=0.000085, Var(idx)=0.000073, ρ=0.347,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2026-10-12</w:t>
            </w:r>
          </w:p>
        </w:tc>
        <w:tc>
          <w:tcPr>
            <w:tcW w:type="dxa" w:w="1440"/>
            <w:shd w:fill="C6EFCE" w:val="clear"/>
          </w:tcPr>
          <w:p>
            <w:r>
              <w:rPr>
                <w:sz w:val="17"/>
              </w:rPr>
              <w:t>1,441</w:t>
            </w:r>
          </w:p>
        </w:tc>
        <w:tc>
          <w:tcPr>
            <w:tcW w:type="dxa" w:w="1440"/>
            <w:shd w:fill="C6EFCE" w:val="clear"/>
          </w:tcPr>
          <w:p>
            <w:r>
              <w:rPr>
                <w:b/>
                <w:sz w:val="17"/>
              </w:rPr>
              <w:t>1,506</w:t>
            </w:r>
          </w:p>
        </w:tc>
        <w:tc>
          <w:tcPr>
            <w:tcW w:type="dxa" w:w="1440"/>
            <w:shd w:fill="C6EFCE" w:val="clear"/>
          </w:tcPr>
          <w:p>
            <w:r>
              <w:rPr>
                <w:sz w:val="17"/>
              </w:rPr>
              <w:t>1,571</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2026-10-13</w:t>
            </w:r>
          </w:p>
        </w:tc>
        <w:tc>
          <w:tcPr>
            <w:tcW w:type="dxa" w:w="1440"/>
            <w:shd w:fill="C6EFCE" w:val="clear"/>
          </w:tcPr>
          <w:p>
            <w:r>
              <w:rPr>
                <w:sz w:val="17"/>
              </w:rPr>
              <w:t>1,416</w:t>
            </w:r>
          </w:p>
        </w:tc>
        <w:tc>
          <w:tcPr>
            <w:tcW w:type="dxa" w:w="1440"/>
            <w:shd w:fill="C6EFCE" w:val="clear"/>
          </w:tcPr>
          <w:p>
            <w:r>
              <w:rPr>
                <w:b/>
                <w:sz w:val="17"/>
              </w:rPr>
              <w:t>1,508</w:t>
            </w:r>
          </w:p>
        </w:tc>
        <w:tc>
          <w:tcPr>
            <w:tcW w:type="dxa" w:w="1440"/>
            <w:shd w:fill="C6EFCE" w:val="clear"/>
          </w:tcPr>
          <w:p>
            <w:r>
              <w:rPr>
                <w:sz w:val="17"/>
              </w:rPr>
              <w:t>1,600</w:t>
            </w:r>
          </w:p>
        </w:tc>
        <w:tc>
          <w:tcPr>
            <w:tcW w:type="dxa" w:w="1440"/>
            <w:shd w:fill="C6EFCE" w:val="clear"/>
          </w:tcPr>
          <w:p>
            <w:r>
              <w:rPr>
                <w:b/>
                <w:color w:val="008000"/>
                <w:sz w:val="17"/>
              </w:rPr>
              <w:t>+2.6%</w:t>
            </w:r>
          </w:p>
        </w:tc>
      </w:tr>
      <w:tr>
        <w:tc>
          <w:tcPr>
            <w:tcW w:type="dxa" w:w="1440"/>
            <w:shd w:fill="C6EFCE" w:val="clear"/>
          </w:tcPr>
          <w:p>
            <w:r>
              <w:rPr>
                <w:sz w:val="17"/>
              </w:rPr>
              <w:t>J+3  Moyenne</w:t>
            </w:r>
          </w:p>
        </w:tc>
        <w:tc>
          <w:tcPr>
            <w:tcW w:type="dxa" w:w="1440"/>
            <w:shd w:fill="C6EFCE" w:val="clear"/>
          </w:tcPr>
          <w:p>
            <w:r>
              <w:rPr>
                <w:sz w:val="17"/>
              </w:rPr>
              <w:t>2026-10-14</w:t>
            </w:r>
          </w:p>
        </w:tc>
        <w:tc>
          <w:tcPr>
            <w:tcW w:type="dxa" w:w="1440"/>
            <w:shd w:fill="C6EFCE" w:val="clear"/>
          </w:tcPr>
          <w:p>
            <w:r>
              <w:rPr>
                <w:sz w:val="17"/>
              </w:rPr>
              <w:t>1,401</w:t>
            </w:r>
          </w:p>
        </w:tc>
        <w:tc>
          <w:tcPr>
            <w:tcW w:type="dxa" w:w="1440"/>
            <w:shd w:fill="C6EFCE" w:val="clear"/>
          </w:tcPr>
          <w:p>
            <w:r>
              <w:rPr>
                <w:b/>
                <w:sz w:val="17"/>
              </w:rPr>
              <w:t>1,513</w:t>
            </w:r>
          </w:p>
        </w:tc>
        <w:tc>
          <w:tcPr>
            <w:tcW w:type="dxa" w:w="1440"/>
            <w:shd w:fill="C6EFCE" w:val="clear"/>
          </w:tcPr>
          <w:p>
            <w:r>
              <w:rPr>
                <w:sz w:val="17"/>
              </w:rPr>
              <w:t>1,626</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1,389</w:t>
            </w:r>
          </w:p>
        </w:tc>
        <w:tc>
          <w:tcPr>
            <w:tcW w:type="dxa" w:w="1440"/>
            <w:shd w:fill="C6EFCE" w:val="clear"/>
          </w:tcPr>
          <w:p>
            <w:r>
              <w:rPr>
                <w:b/>
                <w:sz w:val="17"/>
              </w:rPr>
              <w:t>1,519</w:t>
            </w:r>
          </w:p>
        </w:tc>
        <w:tc>
          <w:tcPr>
            <w:tcW w:type="dxa" w:w="1440"/>
            <w:shd w:fill="C6EFCE" w:val="clear"/>
          </w:tcPr>
          <w:p>
            <w:r>
              <w:rPr>
                <w:sz w:val="17"/>
              </w:rPr>
              <w:t>1,650</w:t>
            </w:r>
          </w:p>
        </w:tc>
        <w:tc>
          <w:tcPr>
            <w:tcW w:type="dxa" w:w="1440"/>
            <w:shd w:fill="C6EFCE" w:val="clear"/>
          </w:tcPr>
          <w:p>
            <w:r>
              <w:rPr>
                <w:b/>
                <w:color w:val="008000"/>
                <w:sz w:val="17"/>
              </w:rPr>
              <w:t>+3.4%</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1,378</w:t>
            </w:r>
          </w:p>
        </w:tc>
        <w:tc>
          <w:tcPr>
            <w:tcW w:type="dxa" w:w="1440"/>
            <w:shd w:fill="C6EFCE" w:val="clear"/>
          </w:tcPr>
          <w:p>
            <w:r>
              <w:rPr>
                <w:b/>
                <w:sz w:val="17"/>
              </w:rPr>
              <w:t>1,525</w:t>
            </w:r>
          </w:p>
        </w:tc>
        <w:tc>
          <w:tcPr>
            <w:tcW w:type="dxa" w:w="1440"/>
            <w:shd w:fill="C6EFCE" w:val="clear"/>
          </w:tcPr>
          <w:p>
            <w:r>
              <w:rPr>
                <w:sz w:val="17"/>
              </w:rPr>
              <w:t>1,672</w:t>
            </w:r>
          </w:p>
        </w:tc>
        <w:tc>
          <w:tcPr>
            <w:tcW w:type="dxa" w:w="1440"/>
            <w:shd w:fill="C6EFCE" w:val="clear"/>
          </w:tcPr>
          <w:p>
            <w:r>
              <w:rPr>
                <w:b/>
                <w:color w:val="008000"/>
                <w:sz w:val="17"/>
              </w:rPr>
              <w:t>+3.8%</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1,370</w:t>
            </w:r>
          </w:p>
        </w:tc>
        <w:tc>
          <w:tcPr>
            <w:tcW w:type="dxa" w:w="1440"/>
            <w:shd w:fill="C6EFCE" w:val="clear"/>
          </w:tcPr>
          <w:p>
            <w:r>
              <w:rPr>
                <w:b/>
                <w:sz w:val="17"/>
              </w:rPr>
              <w:t>1,531</w:t>
            </w:r>
          </w:p>
        </w:tc>
        <w:tc>
          <w:tcPr>
            <w:tcW w:type="dxa" w:w="1440"/>
            <w:shd w:fill="C6EFCE" w:val="clear"/>
          </w:tcPr>
          <w:p>
            <w:r>
              <w:rPr>
                <w:sz w:val="17"/>
              </w:rPr>
              <w:t>1,692</w:t>
            </w:r>
          </w:p>
        </w:tc>
        <w:tc>
          <w:tcPr>
            <w:tcW w:type="dxa" w:w="1440"/>
            <w:shd w:fill="C6EFCE" w:val="clear"/>
          </w:tcPr>
          <w:p>
            <w:r>
              <w:rPr>
                <w:b/>
                <w:color w:val="008000"/>
                <w:sz w:val="17"/>
              </w:rPr>
              <w:t>+4.1%</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1,361</w:t>
            </w:r>
          </w:p>
        </w:tc>
        <w:tc>
          <w:tcPr>
            <w:tcW w:type="dxa" w:w="1440"/>
            <w:shd w:fill="C6EFCE" w:val="clear"/>
          </w:tcPr>
          <w:p>
            <w:r>
              <w:rPr>
                <w:b/>
                <w:sz w:val="17"/>
              </w:rPr>
              <w:t>1,536</w:t>
            </w:r>
          </w:p>
        </w:tc>
        <w:tc>
          <w:tcPr>
            <w:tcW w:type="dxa" w:w="1440"/>
            <w:shd w:fill="C6EFCE" w:val="clear"/>
          </w:tcPr>
          <w:p>
            <w:r>
              <w:rPr>
                <w:sz w:val="17"/>
              </w:rPr>
              <w:t>1,711</w:t>
            </w:r>
          </w:p>
        </w:tc>
        <w:tc>
          <w:tcPr>
            <w:tcW w:type="dxa" w:w="1440"/>
            <w:shd w:fill="C6EFCE" w:val="clear"/>
          </w:tcPr>
          <w:p>
            <w:r>
              <w:rPr>
                <w:b/>
                <w:color w:val="008000"/>
                <w:sz w:val="17"/>
              </w:rPr>
              <w:t>+4.5%</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1,354</w:t>
            </w:r>
          </w:p>
        </w:tc>
        <w:tc>
          <w:tcPr>
            <w:tcW w:type="dxa" w:w="1440"/>
            <w:shd w:fill="C6EFCE" w:val="clear"/>
          </w:tcPr>
          <w:p>
            <w:r>
              <w:rPr>
                <w:b/>
                <w:sz w:val="17"/>
              </w:rPr>
              <w:t>1,542</w:t>
            </w:r>
          </w:p>
        </w:tc>
        <w:tc>
          <w:tcPr>
            <w:tcW w:type="dxa" w:w="1440"/>
            <w:shd w:fill="C6EFCE" w:val="clear"/>
          </w:tcPr>
          <w:p>
            <w:r>
              <w:rPr>
                <w:sz w:val="17"/>
              </w:rPr>
              <w:t>1,729</w:t>
            </w:r>
          </w:p>
        </w:tc>
        <w:tc>
          <w:tcPr>
            <w:tcW w:type="dxa" w:w="1440"/>
            <w:shd w:fill="C6EFCE" w:val="clear"/>
          </w:tcPr>
          <w:p>
            <w:r>
              <w:rPr>
                <w:b/>
                <w:color w:val="008000"/>
                <w:sz w:val="17"/>
              </w:rPr>
              <w:t>+4.9%</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1,347</w:t>
            </w:r>
          </w:p>
        </w:tc>
        <w:tc>
          <w:tcPr>
            <w:tcW w:type="dxa" w:w="1440"/>
            <w:shd w:fill="C6EFCE" w:val="clear"/>
          </w:tcPr>
          <w:p>
            <w:r>
              <w:rPr>
                <w:b/>
                <w:sz w:val="17"/>
              </w:rPr>
              <w:t>1,547</w:t>
            </w:r>
          </w:p>
        </w:tc>
        <w:tc>
          <w:tcPr>
            <w:tcW w:type="dxa" w:w="1440"/>
            <w:shd w:fill="C6EFCE" w:val="clear"/>
          </w:tcPr>
          <w:p>
            <w:r>
              <w:rPr>
                <w:sz w:val="17"/>
              </w:rPr>
              <w:t>1,746</w:t>
            </w:r>
          </w:p>
        </w:tc>
        <w:tc>
          <w:tcPr>
            <w:tcW w:type="dxa" w:w="1440"/>
            <w:shd w:fill="C6EFCE" w:val="clear"/>
          </w:tcPr>
          <w:p>
            <w:r>
              <w:rPr>
                <w:b/>
                <w:color w:val="008000"/>
                <w:sz w:val="17"/>
              </w:rPr>
              <w:t>+5.2%</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1,341</w:t>
            </w:r>
          </w:p>
        </w:tc>
        <w:tc>
          <w:tcPr>
            <w:tcW w:type="dxa" w:w="1440"/>
            <w:shd w:fill="C6EFCE" w:val="clear"/>
          </w:tcPr>
          <w:p>
            <w:r>
              <w:rPr>
                <w:b/>
                <w:sz w:val="17"/>
              </w:rPr>
              <w:t>1,552</w:t>
            </w:r>
          </w:p>
        </w:tc>
        <w:tc>
          <w:tcPr>
            <w:tcW w:type="dxa" w:w="1440"/>
            <w:shd w:fill="C6EFCE" w:val="clear"/>
          </w:tcPr>
          <w:p>
            <w:r>
              <w:rPr>
                <w:sz w:val="17"/>
              </w:rPr>
              <w:t>1,763</w:t>
            </w:r>
          </w:p>
        </w:tc>
        <w:tc>
          <w:tcPr>
            <w:tcW w:type="dxa" w:w="1440"/>
            <w:shd w:fill="C6EFCE" w:val="clear"/>
          </w:tcPr>
          <w:p>
            <w:r>
              <w:rPr>
                <w:b/>
                <w:color w:val="008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Cours de référence : 1 470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266,62 milliards FCFA, CFAC figure parmi les valeurs les plus importantes de la cote BRVM, ce qui lui confère une liquidité relative et une visibilité institutionnelle appréciables. Le BPA de 26 FCFA/action signifie que chaque titre génère 26 FCFA de bénéfice net, un niveau modeste au regard du cours affiché. Le PER de 56,8x traduit une valorisation très exigeante : les investisseurs paient près de 57 fois les bénéfices, soit un multiple cinq à sept fois supérieur à la moyenne du marché BRVM (8-12x), ce qui intègre déjà une forte anticipation de croissance. Le P/B de 13,71x indique que le marché valorise la société à plus de 13 fois sa valeur comptable, une prime considérable qui suppose une rentabilité future élevée et durable. Enfin, l'EV/EBITDA de 29,0x, très supérieur au seuil de 15x, confirme que la valeur d'entreprise intègre une prime de rareté et de leadership sectoriel, mais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de -2,00%, avec une chute marquée de -3,29% lors de la dernière séance, signalant une pression vendeuse récente. Le cours actuel de 1 470 FCFA se situe tout près du plus bas de la période (1 460 FCFA) et très loin du plus haut (1 825 FCFA), ce qui dessine un range de trading de 365 FCFA et une tendance clairement baissière depuis le sommet. La moyenne (1 636 FCFA) et la médiane (1 642 FCFA) sont quasi confondues, indiquant une distribution globalement symétrique, cohérente avec le skewness de -0,131 (léger étirement vers la gauche, sans excès). L'écart-type de 91 FCFA et le coefficient de variation de 5,5% traduisent une dispersion modérée du cours autour de sa moyenne, mais la volatilité annualisée de 45,4% classe le titre dans la catégorie des valeurs à volatilité élevée (&gt;30%), ce qui implique un risque de marché significatif. Le kurtosis de -1,030 (distribution platykurtique) suggère une faible concentration des rendements extrêmes, c'est-à-dire des mouvements amples mais moins fréquents que dans une loi normale, ce qui peut surprendre les investisseurs en cas de choc. Le volume moyen de 3 572 titres/jour reste modeste, ce qui peut amplifier les mouvements de prix en cas de flux acheteur ou vendeur important.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(1 585,25 FCFA) et la MM50 (1 651,0 FCFA) se situent toutes deux au-dessus du cours actuel (1 470 FCFA), avec une MM20 en dessous de la MM50, configuration typique d'une tendance baissière de court terme. Le cours évoluant sous ses deux moyennes, la décision technique est logiquement **Vente**, confirmant la pression baissière en place.</w:t>
      </w:r>
    </w:p>
    <w:p>
      <w:pPr>
        <w:spacing w:after="120" w:line="276" w:lineRule="auto"/>
      </w:pPr>
      <w:r>
        <w:t>**Bandes de Bollinger** : Le cours (1 470 FCFA) se situe dans la partie basse du canal, entre la borne inférieure (1 418,72 FCFA) et la borne supérieure (1 751,78 FCFA), sans franchissement de la borne basse. Cette position proche du support inférieur traduit une volatilité contenue mais un biais baissier, justifiant la décision **Neutre** : le titre n'est ni en survente extrême, ni en rebond confirmé.</w:t>
      </w:r>
    </w:p>
    <w:p>
      <w:pPr>
        <w:spacing w:after="120" w:line="276" w:lineRule="auto"/>
      </w:pPr>
      <w:r>
        <w:t>**MACD** : La valeur du MACD (-48,68) est inférieure à sa ligne de signal (-41,18), avec un histogramme négatif, ce qui confirme un momentum baissier toujours actif. La décision **Vente** est cohérente avec cette configuration de croisement baissier persistant.</w:t>
      </w:r>
    </w:p>
    <w:p>
      <w:pPr>
        <w:spacing w:after="120" w:line="276" w:lineRule="auto"/>
      </w:pPr>
      <w:r>
        <w:t>**RSI** : À 36,21, le RSI se situe dans la zone neutre basse (30-70), sans atteindre le seuil de survente (30). La décision **Neutre** reflète l'absence de signal extrême, mais la proximité de la zone de survente suggère qu'un rebond technique pourrait se dessiner si le seuil de 30 était testé.</w:t>
      </w:r>
    </w:p>
    <w:p>
      <w:pPr>
        <w:spacing w:after="120" w:line="276" w:lineRule="auto"/>
      </w:pPr>
      <w:r>
        <w:t>**Stochastique** : Le %K (6,45) est très bas et inférieur au %D (27,07), signalant une position de survente marquée. La décision **Achat** contraste avec les autres indicateurs et suggère qu'un rebond technique à court terme est possible, le %K étant proche de zéro.</w:t>
      </w:r>
    </w:p>
    <w:p>
      <w:pPr>
        <w:spacing w:after="120" w:line="276" w:lineRule="auto"/>
      </w:pPr>
      <w:r>
        <w:t>**Conclusion technique** : Les indicateurs sont majoritairement baissiers (MM, MACD), avec un RSI neutre et un stochastique en survente avancée. Cette divergence entre momentum baissier et survente stochastique plaide pour une phase de consolidation, voire un rebond technique de court terme, sans inversion de tendance confirmée. La prudence reste de mise tant que le cours n'aura pas reconquis la MM20 (1 585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2024 (exercice clos le 31/12/2024) indiquent un chiffre d'affaires de 158,313 milliards FCFA, en baisse de -12,13% sur un an, et un résultat net de 4,693 milliards FCFA, en recul de -26,7% par rapport à 2023 (6,399 Mds FCFA selon le rapport annuel 2024). Le ROE ressort à 24,13%, un niveau excellent (&gt;15%) malgré la baisse, et le ROA à 5,52%, reflétant une rotation d'actifs élevée (186,22%) typique d'une activité de distribution automobile. La marge nette se contracte à 2,96% (contre 3,6% en 2023) et la marge opérationnelle à 4,96%, sous l'effet de la baisse des volumes (-5,5%) et de difficultés logistiques sur le service après-vente. En tant qu'entreprise non bancaire, les délais d'exploitation sont scrutés : le délai clients de 36,64 jours est modéré, le délai fournisseurs de 81,75 jours est favorable à la trésorerie, mais la durée de stockage de 88,35 jours immobilise du capital. Le BFR est négatif (-3,482 Mds FCFA), ce qui est favorable, mais la trésorerie nette est négative (-624,20 M FCFA) et le Free Cash Flow ressort à -1,650 Mds FCFA, sous l'effet d'investissements lourds (-8,741 Mds FCFA). L'autonomie financière (22,88%) est inférieure au seuil sain de 30%, et la liquidité générale (93,63%) est juste sous l'unité, signalant une marge de manœuvre limitée. Les rapports trimestriels 2025 (T1, S1, T3, datés respectivement du 31/03/2025, 30/06/2025 et 30/09/2025) montrent un net redressement : CA T1 +14,5%, S1 +18,4%, T3 +18,3%, avec un résultat net T1 en hausse de +279,7%, S1 +152,7% et T3 +38,1%, et une marge nette T3 2025 de 3,42% (contre 2,93% au T3 2024). Sur cette base, on estime que l'exercice 2025 devrait afficher une croissance à deux chiffres du CA et une amélioration sensible de la rentabilité, confirmant le rebond post-2024. La recommandation fondamentale est **CONSERVER** : la solidité du leadership (part de marché 41,7% au T3 2025), le redressement des marges et la diversification (SHACMAN, LOVOL, BYD) sont des atouts, mais la valorisation exigeante et les risques de pression concurrentielle et de dépendance au marché automobile ivoirien limitent le potentiel d'achat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tendue : PER de 56,8x, P/B de 13,71x et EV/EBITDA de 29,0x intègrent une prime de croissance que les résultats 2024 ne justifient pas encore pleinement, même si le rebond 2025 pourrait réduire ces multiples. Le comportement du cours (Partie 1) est baissier sur 100 jours (-2,00%, -3,29% en J-1), avec une volatilité élevée (45,4%) et une distribution platykurtique qui expose à des mouvements amples ; le titre évolue près de son plus bas annuel, ce qui constitue un point d'entrée potentiel mais risqué. Les signaux techniques (Partie 2) sont majoritairement baissiers (MM, MACD), avec un RSI neutre et un stochastique en survente avancée, suggérant un possible rebond technique à court terme mais sans inversion de tendance confirmée. Les fondamentaux (Partie 3) montrent un exercice 2024 en retrait (CA -12,1%, RN -26,7%) mais un redressement spectaculaire en 2025 (T1 : RN +279,7% ; S1 : +152,7% ; T3 : +38,1%), avec un ROE de 24,13% et un leadership intact (41,7% de part de marché). Les prédictions IA (J+1 à J+10) anticipent une trajectoire haussière modérée, de 1 506 FCFA (J+1) à 1 525 FCFA (J+5), ce qui contredit le momentum baissier actuel et confirme le scénario d'un rebond technique. Sur la base de cette synthèse, la recommandation finale est **CONSERVER**, avec un niveau de confiance **Moyen** et un risque global **Élevé**. La convergence entre le rebond fondamental 2025, la survente stochastique et les prédictions IA haussières soutient une posture attentiste, mais la valorisation exigeante et la tendance technique baissière empêchent un passage à l'achat. L'horizon d'investissement optimal est le **moyen terme (3-12 mois)**, le temps que les résultats 2025 se matérialisent et que la valorisation se normalise.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352.80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6,878 titres</w:t>
            </w:r>
          </w:p>
        </w:tc>
        <w:tc>
          <w:tcPr>
            <w:tcW w:type="dxa" w:w="2268"/>
            <w:shd w:fill="FFF2CC" w:val="clear"/>
          </w:tcPr>
          <w:p>
            <w:r>
              <w:rPr>
                <w:b/>
                <w:color w:val="503200"/>
                <w:sz w:val="16"/>
              </w:rPr>
              <w:t xml:space="preserve">Cours actuel : </w:t>
            </w:r>
            <w:r>
              <w:rPr>
                <w:color w:val="000000"/>
                <w:sz w:val="17"/>
              </w:rPr>
              <w:t>6,300 FCFA</w:t>
            </w:r>
          </w:p>
          <w:p>
            <w:r>
              <w:rPr>
                <w:b/>
                <w:color w:val="503200"/>
                <w:sz w:val="16"/>
              </w:rPr>
              <w:t xml:space="preserve">Var. 100 jours : </w:t>
            </w:r>
            <w:r>
              <w:rPr>
                <w:b/>
                <w:color w:val="007800"/>
                <w:sz w:val="17"/>
              </w:rPr>
              <w:t>+89.19%</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3,330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16.77% (Élevée) — μ=5,598 FCFA, σ=939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β=0.6975 (Défensif) — Cov=0.000051, Var(idx)=0.000073, ρ=0.188,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5,961</w:t>
            </w:r>
          </w:p>
        </w:tc>
        <w:tc>
          <w:tcPr>
            <w:tcW w:type="dxa" w:w="1440"/>
            <w:shd w:fill="FAFAFA" w:val="clear"/>
          </w:tcPr>
          <w:p>
            <w:r>
              <w:rPr>
                <w:b/>
                <w:sz w:val="17"/>
              </w:rPr>
              <w:t>6,237</w:t>
            </w:r>
          </w:p>
        </w:tc>
        <w:tc>
          <w:tcPr>
            <w:tcW w:type="dxa" w:w="1440"/>
            <w:shd w:fill="FAFAFA" w:val="clear"/>
          </w:tcPr>
          <w:p>
            <w:r>
              <w:rPr>
                <w:sz w:val="17"/>
              </w:rPr>
              <w:t>6,513</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5,816</w:t>
            </w:r>
          </w:p>
        </w:tc>
        <w:tc>
          <w:tcPr>
            <w:tcW w:type="dxa" w:w="1440"/>
            <w:shd w:fill="FAFAFA" w:val="clear"/>
          </w:tcPr>
          <w:p>
            <w:r>
              <w:rPr>
                <w:b/>
                <w:sz w:val="17"/>
              </w:rPr>
              <w:t>6,204</w:t>
            </w:r>
          </w:p>
        </w:tc>
        <w:tc>
          <w:tcPr>
            <w:tcW w:type="dxa" w:w="1440"/>
            <w:shd w:fill="FAFAFA" w:val="clear"/>
          </w:tcPr>
          <w:p>
            <w:r>
              <w:rPr>
                <w:sz w:val="17"/>
              </w:rPr>
              <w:t>6,592</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5,715</w:t>
            </w:r>
          </w:p>
        </w:tc>
        <w:tc>
          <w:tcPr>
            <w:tcW w:type="dxa" w:w="1440"/>
            <w:shd w:fill="FAFAFA" w:val="clear"/>
          </w:tcPr>
          <w:p>
            <w:r>
              <w:rPr>
                <w:b/>
                <w:sz w:val="17"/>
              </w:rPr>
              <w:t>6,189</w:t>
            </w:r>
          </w:p>
        </w:tc>
        <w:tc>
          <w:tcPr>
            <w:tcW w:type="dxa" w:w="1440"/>
            <w:shd w:fill="FAFAFA" w:val="clear"/>
          </w:tcPr>
          <w:p>
            <w:r>
              <w:rPr>
                <w:sz w:val="17"/>
              </w:rPr>
              <w:t>6,663</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5,629</w:t>
            </w:r>
          </w:p>
        </w:tc>
        <w:tc>
          <w:tcPr>
            <w:tcW w:type="dxa" w:w="1440"/>
            <w:shd w:fill="FAFAFA" w:val="clear"/>
          </w:tcPr>
          <w:p>
            <w:r>
              <w:rPr>
                <w:b/>
                <w:sz w:val="17"/>
              </w:rPr>
              <w:t>6,176</w:t>
            </w:r>
          </w:p>
        </w:tc>
        <w:tc>
          <w:tcPr>
            <w:tcW w:type="dxa" w:w="1440"/>
            <w:shd w:fill="FAFAFA" w:val="clear"/>
          </w:tcPr>
          <w:p>
            <w:r>
              <w:rPr>
                <w:sz w:val="17"/>
              </w:rPr>
              <w:t>6,723</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5,554</w:t>
            </w:r>
          </w:p>
        </w:tc>
        <w:tc>
          <w:tcPr>
            <w:tcW w:type="dxa" w:w="1440"/>
            <w:shd w:fill="FFDCE0" w:val="clear"/>
          </w:tcPr>
          <w:p>
            <w:r>
              <w:rPr>
                <w:b/>
                <w:sz w:val="17"/>
              </w:rPr>
              <w:t>6,164</w:t>
            </w:r>
          </w:p>
        </w:tc>
        <w:tc>
          <w:tcPr>
            <w:tcW w:type="dxa" w:w="1440"/>
            <w:shd w:fill="FFDCE0" w:val="clear"/>
          </w:tcPr>
          <w:p>
            <w:r>
              <w:rPr>
                <w:sz w:val="17"/>
              </w:rPr>
              <w:t>6,774</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5,487</w:t>
            </w:r>
          </w:p>
        </w:tc>
        <w:tc>
          <w:tcPr>
            <w:tcW w:type="dxa" w:w="1440"/>
            <w:shd w:fill="FFDCE0" w:val="clear"/>
          </w:tcPr>
          <w:p>
            <w:r>
              <w:rPr>
                <w:b/>
                <w:sz w:val="17"/>
              </w:rPr>
              <w:t>6,154</w:t>
            </w:r>
          </w:p>
        </w:tc>
        <w:tc>
          <w:tcPr>
            <w:tcW w:type="dxa" w:w="1440"/>
            <w:shd w:fill="FFDCE0" w:val="clear"/>
          </w:tcPr>
          <w:p>
            <w:r>
              <w:rPr>
                <w:sz w:val="17"/>
              </w:rPr>
              <w:t>6,821</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5,427</w:t>
            </w:r>
          </w:p>
        </w:tc>
        <w:tc>
          <w:tcPr>
            <w:tcW w:type="dxa" w:w="1440"/>
            <w:shd w:fill="FFDCE0" w:val="clear"/>
          </w:tcPr>
          <w:p>
            <w:r>
              <w:rPr>
                <w:b/>
                <w:sz w:val="17"/>
              </w:rPr>
              <w:t>6,146</w:t>
            </w:r>
          </w:p>
        </w:tc>
        <w:tc>
          <w:tcPr>
            <w:tcW w:type="dxa" w:w="1440"/>
            <w:shd w:fill="FFDCE0" w:val="clear"/>
          </w:tcPr>
          <w:p>
            <w:r>
              <w:rPr>
                <w:sz w:val="17"/>
              </w:rPr>
              <w:t>6,866</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5,371</w:t>
            </w:r>
          </w:p>
        </w:tc>
        <w:tc>
          <w:tcPr>
            <w:tcW w:type="dxa" w:w="1440"/>
            <w:shd w:fill="FFDCE0" w:val="clear"/>
          </w:tcPr>
          <w:p>
            <w:r>
              <w:rPr>
                <w:b/>
                <w:sz w:val="17"/>
              </w:rPr>
              <w:t>6,139</w:t>
            </w:r>
          </w:p>
        </w:tc>
        <w:tc>
          <w:tcPr>
            <w:tcW w:type="dxa" w:w="1440"/>
            <w:shd w:fill="FFDCE0" w:val="clear"/>
          </w:tcPr>
          <w:p>
            <w:r>
              <w:rPr>
                <w:sz w:val="17"/>
              </w:rPr>
              <w:t>6,908</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5,319</w:t>
            </w:r>
          </w:p>
        </w:tc>
        <w:tc>
          <w:tcPr>
            <w:tcW w:type="dxa" w:w="1440"/>
            <w:shd w:fill="FFDCE0" w:val="clear"/>
          </w:tcPr>
          <w:p>
            <w:r>
              <w:rPr>
                <w:b/>
                <w:sz w:val="17"/>
              </w:rPr>
              <w:t>6,133</w:t>
            </w:r>
          </w:p>
        </w:tc>
        <w:tc>
          <w:tcPr>
            <w:tcW w:type="dxa" w:w="1440"/>
            <w:shd w:fill="FFDCE0" w:val="clear"/>
          </w:tcPr>
          <w:p>
            <w:r>
              <w:rPr>
                <w:sz w:val="17"/>
              </w:rPr>
              <w:t>6,948</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5,270</w:t>
            </w:r>
          </w:p>
        </w:tc>
        <w:tc>
          <w:tcPr>
            <w:tcW w:type="dxa" w:w="1440"/>
            <w:shd w:fill="FFDCE0" w:val="clear"/>
          </w:tcPr>
          <w:p>
            <w:r>
              <w:rPr>
                <w:b/>
                <w:sz w:val="17"/>
              </w:rPr>
              <w:t>6,128</w:t>
            </w:r>
          </w:p>
        </w:tc>
        <w:tc>
          <w:tcPr>
            <w:tcW w:type="dxa" w:w="1440"/>
            <w:shd w:fill="FFDCE0" w:val="clear"/>
          </w:tcPr>
          <w:p>
            <w:r>
              <w:rPr>
                <w:sz w:val="17"/>
              </w:rPr>
              <w:t>6,985</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352,80 milliards FCFA, la CIEC se positionne parmi les valeurs les plus importantes de la BRVM, ce qui témoigne de son statut de valeur de rendement prisée des investisseurs institutionnels de la zone UEMOA. Le BPA de 234 FCFA/action indique que chaque titre génère un bénéfice net de 234 FCFA, un niveau appréciable qui soutient la politique de dividende généreuse de l'entreprise. Le PER de 26,9x est nettement supérieur à la moyenne BRVM (8-12x), signalant que le marché anticipe une forte croissance future ou que le titre est actuellement surévalué — cette prime de valorisation s'explique par le statut de monopole régulé et la visibilité des cash-flows de la CIEC. Le P/B de 9,81x, très au-dessus du seuil de 4x, confirme que le marché valorise l'entreprise à une forte prime par rapport à sa valeur comptable (capitaux propres de 35,96 Mds FCFA), ce qui est caractéristique des sociétés à forte rentabilité des fonds propres (ROE de 36,5%). Enfin, l'EV/EBITDA de 14,6x, dans la fourchette haute (10-15x), traduit une valorisation exigeante de la capacité opérationnelle, cohérente avec la qualité des actifs et la croissance soutenue du secteur électrique ivoirien.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+89,19%, passant d'un plus bas de 3 330 FCFA à un plus haut de 7 400 FCFA, avant de se replier légèrement pour clôturer à 6 300 FCFA, avec une variation de -1,56% sur la dernière séance. Ce range de trading particulièrement large (plus de 4 000 FCFA d'amplitude) témoigne d'un intérêt croissant des investisseurs pour le titre, porté par les excellents résultats 2025 et la politique de dividende attractive. La tendance générale est clairement haussière, bien que le repli récent depuis le sommet de 7 400 FCFA suggère une prise de bénéfices après la forte rallye. Les statistiques descriptives révèlent une moyenne de 5 598 FCFA supérieure à la médiane de 5 312 FCFA, indiquant une légère asymétrie positive avec quelques séances de forte hausse tirant la moyenne vers le haut ; le mode à 4 995 FCFA représente le niveau de prix le plus fréquemment échangé. L'écart-type de 943 FCFA (CV de 16,9%) traduit une dispersion modérée du cours autour de sa moyenne, tandis que le kurtosis de -0,544 (mésokurtique) et le skewness de -0,074 (distribution symétrique) indiquent un comportement proche d'une distribution normale, sans risque excessif de pics extrêmes. La volatilité annualisée de 50,3% classe le titre dans la catégorie des valeurs à volatilité élevée (&gt;30%), ce qui est cohérent avec la forte appréciation récente et invite à la prudence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6 497,25 FCFA et la MM50 à 6 292,50 FCFA, toutes deux supérieures au cours actuel de 6 300 FCFA, ce qui place le titre en dessous de ses moyennes court et moyen terme. La MM20 étant au-dessus de la MM50, la configuration reste haussière de fond, mais le croisement baissier du cours sous ces deux moyennes justifie la décision technique "Achat" uniquement en cas de rebond confirmé au-dessus de 6 500 FCFA.</w:t>
      </w:r>
    </w:p>
    <w:p>
      <w:pPr>
        <w:spacing w:after="120" w:line="276" w:lineRule="auto"/>
      </w:pPr>
      <w:r>
        <w:t>**Bandes de Bollinger** : La borne supérieure se situe à 6 992,34 FCFA et la borne inférieure à 6 002,16 FCFA, avec un cours actuel de 6 300 FCFA positionné dans la moitié basse du canal. Cette position médiane-basse indique une absence de signal directionnel fort, la décision "Neutre" reflétant l'équilibre entre pression vendeuse récente et support dynamique proche de 6 000 FCFA.</w:t>
      </w:r>
    </w:p>
    <w:p>
      <w:pPr>
        <w:spacing w:after="120" w:line="276" w:lineRule="auto"/>
      </w:pPr>
      <w:r>
        <w:t>**MACD** : La valeur du MACD est négative à -29,243, tandis que sa ligne de signal est positive à 7,648, créant une divergence baissière significative. Cet écart négatif indique un momentum clairement affaibli et une pression vendeuse persistante, justifiant pleinement la décision "Vente" à court terme.</w:t>
      </w:r>
    </w:p>
    <w:p>
      <w:pPr>
        <w:spacing w:after="120" w:line="276" w:lineRule="auto"/>
      </w:pPr>
      <w:r>
        <w:t>**RSI** : À 46,231, le RSI se situe dans la zone neutre (30-70), sans signal de surachat ni de survente. Cette valeur médiane confirme l'absence de pression extrême et suggère que le titre pourrait évoluer dans un range avant de choisir une direction, justifiant la décision "Neutre".</w:t>
      </w:r>
    </w:p>
    <w:p>
      <w:pPr>
        <w:spacing w:after="120" w:line="276" w:lineRule="auto"/>
      </w:pPr>
      <w:r>
        <w:t>**Stochastique** : Le %K à 26,316 est nettement inférieur au %D à 43,86, avec un croisement baissier en zone de survente naissante. Cette configuration indique que la pression vendeuse domine encore, mais la proximité de la zone de survente (&lt;20) pourrait annoncer un rebond technique imminent, justifiant la décision "Neutre" dans l'attente d'une confirmation.</w:t>
      </w:r>
    </w:p>
    <w:p>
      <w:pPr>
        <w:spacing w:after="120" w:line="276" w:lineRule="auto"/>
      </w:pPr>
      <w:r>
        <w:t>**Conclusion technique** : Les indicateurs techniques présentent un tableau mitigé, avec une majorité de signaux neutres (Bollinger, RSI, Stochastique) et un signal baissier clair du MACD, tandis que les moyennes mobiles conservent une structure haussière de fond. Le titre se trouve dans une phase de consolidation après sa forte hausse, avec un support critique à 6 000 FCFA (borne inférieure de Bollinger) et une résistance à 6 500 FCFA (MM20). La divergence MACD-Signal appelle à la prudence à court terme, mais la configuration globale reste constructive tant que le cours se maintient au-dessus de 6 000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CIEC affiche des performances financières solides avec un chiffre d'affaires de 302,320 milliards FCFA, en croissance de +14,82% par rapport à 2024 (263,294 Mds FCFA), portée par une hausse des ventes d'énergie de +8,3% en volume et une expansion remarquable du nombre de clients (+15,1% à 5 282 283 clients). Le résultat net s'établit à 13,127 milliards FCFA, en progression de +24,4%, avec une marge nette de 4,34% et une marge opérationnelle de 7,40%, typiques d'une entreprise de services publics régulée. La rentabilité des fonds propres (ROE) atteint un niveau exceptionnel de 36,50%, bien supérieur au seuil de 15% considéré comme excellent, tandis que le ROA de 0,65% reflète l'intensité capitalistique du secteur. L'analyse du bilan révèle un BFR négatif de -90,244 milliards FCFA, ce qui est favorable car l'entreprise finance son cycle d'exploitation par ses fournisseurs (délai fournisseurs de 970 jours) plutôt que par ses clients (délai clients de 164 jours) — bien que ce délai client élevé constitue un risque de trésorerie à surveiller. La structure financière présente un ratio d'endettement élevé de 612,94% (dettes totales/capitaux propres), avec une autonomie financière faible de 1,78%, mais la capacité de remboursement de 7,64 années et la couverture des intérêts de 617,75% restent acceptables. Les rapports semestriels 2025 (S1 2025, daté du 30 juin 2025) confirment la dynamique avec un CA de 134,923 Mds FCFA (+18,85%) et un résultat net de 5,096 Mds FCFA (+13,4%), tandis que le rapport annuel 2025 (analysé par DEEPSEEK le 21 mai 2026) valide la solidité du modèle avec un EBE de 37,161 Mds FCFA (+23,2%) et une CAF de 28,869 Mds FCFA. La politique de dividende est très attractive avec un DPA de 234 FCFA (rendement de 3,71% au cours actuel de 6 300 FCFA) et un taux de distribution de 99,8% du résultat net, ce qui limite toutefois la capacité d'autofinancement pour les investissements futurs. Les perspectives 2026 s'annoncent favorables, portées par la poursuite du Programme Électricité Pour Tous (PEPT) et la croissance de la demande régionale, mais les risques liés à la régulation tarifaire, au risque de crédit client et à l'endettement significatif (220,424 Mds FCFA de dettes financières totales) doivent être surveillés. La recommandation fondamentale est de **CONSERVER** le titre pour son rendement attractif et sa solidité, tout en restant vigilant sur l'évolution de la trésorerie et des conditions de la concession.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CIEC apparaît exigeante avec un PER de 26,9x (vs moyenne BRVM de 8-12x), un P/B de 9,81x et un EV/EBITDA de 14,6x, ce qui intègre déjà une forte prime de croissance et de qualité — le titre n'est donc pas sous-évalué mais se justifie par son ROE exceptionnel de 36,5% et son statut de monopole régulé. Le comportement du cours sur 100 jours est remarquablement haussier (+89,19%), avec une volatilité élevée (50,3%) et des statistiques descriptives (kurtosis -0,544, skewness -0,074) indiquant une distribution symétrique sans risque excessif de pics, ce qui est rassurant pour la gestion du risque. Les signaux techniques sont mitigés : le MACD est baissier (divergence négative), le RSI et le Stochastique sont neutres, les Bandes de Bollinger sont neutres, mais les Moyennes Mobiles conservent une structure haussière — cette divergence appelle à la prudence à court terme, avec un support critique à 6 000 FCFA. Les fondamentaux 2025 sont solides (CA +14,8%, RN +24,4%, ROE 36,5%, dividende 234 FCFA), et les rapports semestriels 2025 confirment la dynamique, mais l'endettement élevé (612,94%) et le taux de distribution quasi-total (99,8%) limitent la flexibilité financière. Les prédictions IA pour les 10 prochains jours (6 237 → 6 164 FCFA) anticipent une légère poursuite du repli baissier, en ligne avec le signal MACD et la consolidation actuelle, ce qui contredit partiellement les fondamentaux solides mais confirme la phase de prise de bénéfices. Sur la base de cette synthèse globale, la recommandation finale est **CONSERVER** : la convergence entre fondamentaux solides, dividende attractif et perspectives de croissance justifie de maintenir la position, mais la valorisation exigeante, le signal technique baissier à court terme et les prédictions IA baissières invitent à ne pas renforcer immédiatement. Le niveau de confiance est **Moyen** (fondamentaux solides mais technique incertain), le niveau de risque global est **Moyen à Élevé** (volatilité 50,3%, endettement élevé, dépendance réglementaire), et l'horizon d'investissement optimal est le **moyen terme (3-12 mois)** pour bénéficier du dividende et de la croissance, avec un point d'entrée plus favorable envisageable autour de 6 000-6 100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924.85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4,147 titres</w:t>
            </w:r>
          </w:p>
        </w:tc>
        <w:tc>
          <w:tcPr>
            <w:tcW w:type="dxa" w:w="2268"/>
            <w:shd w:fill="FFF2CC" w:val="clear"/>
          </w:tcPr>
          <w:p>
            <w:r>
              <w:rPr>
                <w:b/>
                <w:color w:val="503200"/>
                <w:sz w:val="16"/>
              </w:rPr>
              <w:t xml:space="preserve">Cours actuel : </w:t>
            </w:r>
            <w:r>
              <w:rPr>
                <w:color w:val="000000"/>
                <w:sz w:val="17"/>
              </w:rPr>
              <w:t>16,800 FCFA</w:t>
            </w:r>
          </w:p>
          <w:p>
            <w:r>
              <w:rPr>
                <w:b/>
                <w:color w:val="503200"/>
                <w:sz w:val="16"/>
              </w:rPr>
              <w:t xml:space="preserve">Var. 100 jours : </w:t>
            </w:r>
            <w:r>
              <w:rPr>
                <w:b/>
                <w:color w:val="007800"/>
                <w:sz w:val="17"/>
              </w:rPr>
              <w:t>+3.07%</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2.70% (Faible) — μ=16,590 FCFA, σ=449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β=0.2652 (Défensif) — Cov=0.000019, Var(idx)=0.000073, ρ=0.132,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16,403</w:t>
            </w:r>
          </w:p>
        </w:tc>
        <w:tc>
          <w:tcPr>
            <w:tcW w:type="dxa" w:w="1440"/>
            <w:shd w:fill="FAFAFA" w:val="clear"/>
          </w:tcPr>
          <w:p>
            <w:r>
              <w:rPr>
                <w:b/>
                <w:sz w:val="17"/>
              </w:rPr>
              <w:t>16,826</w:t>
            </w:r>
          </w:p>
        </w:tc>
        <w:tc>
          <w:tcPr>
            <w:tcW w:type="dxa" w:w="1440"/>
            <w:shd w:fill="FAFAFA" w:val="clear"/>
          </w:tcPr>
          <w:p>
            <w:r>
              <w:rPr>
                <w:sz w:val="17"/>
              </w:rPr>
              <w:t>17,248</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16,243</w:t>
            </w:r>
          </w:p>
        </w:tc>
        <w:tc>
          <w:tcPr>
            <w:tcW w:type="dxa" w:w="1440"/>
            <w:shd w:fill="FAFAFA" w:val="clear"/>
          </w:tcPr>
          <w:p>
            <w:r>
              <w:rPr>
                <w:b/>
                <w:sz w:val="17"/>
              </w:rPr>
              <w:t>16,841</w:t>
            </w:r>
          </w:p>
        </w:tc>
        <w:tc>
          <w:tcPr>
            <w:tcW w:type="dxa" w:w="1440"/>
            <w:shd w:fill="FAFAFA" w:val="clear"/>
          </w:tcPr>
          <w:p>
            <w:r>
              <w:rPr>
                <w:sz w:val="17"/>
              </w:rPr>
              <w:t>17,439</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16,122</w:t>
            </w:r>
          </w:p>
        </w:tc>
        <w:tc>
          <w:tcPr>
            <w:tcW w:type="dxa" w:w="1440"/>
            <w:shd w:fill="FAFAFA" w:val="clear"/>
          </w:tcPr>
          <w:p>
            <w:r>
              <w:rPr>
                <w:b/>
                <w:sz w:val="17"/>
              </w:rPr>
              <w:t>16,856</w:t>
            </w:r>
          </w:p>
        </w:tc>
        <w:tc>
          <w:tcPr>
            <w:tcW w:type="dxa" w:w="1440"/>
            <w:shd w:fill="FAFAFA" w:val="clear"/>
          </w:tcPr>
          <w:p>
            <w:r>
              <w:rPr>
                <w:sz w:val="17"/>
              </w:rPr>
              <w:t>17,589</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16,022</w:t>
            </w:r>
          </w:p>
        </w:tc>
        <w:tc>
          <w:tcPr>
            <w:tcW w:type="dxa" w:w="1440"/>
            <w:shd w:fill="FAFAFA" w:val="clear"/>
          </w:tcPr>
          <w:p>
            <w:r>
              <w:rPr>
                <w:b/>
                <w:sz w:val="17"/>
              </w:rPr>
              <w:t>16,870</w:t>
            </w:r>
          </w:p>
        </w:tc>
        <w:tc>
          <w:tcPr>
            <w:tcW w:type="dxa" w:w="1440"/>
            <w:shd w:fill="FAFAFA" w:val="clear"/>
          </w:tcPr>
          <w:p>
            <w:r>
              <w:rPr>
                <w:sz w:val="17"/>
              </w:rPr>
              <w:t>17,717</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15,935</w:t>
            </w:r>
          </w:p>
        </w:tc>
        <w:tc>
          <w:tcPr>
            <w:tcW w:type="dxa" w:w="1440"/>
            <w:shd w:fill="FAFAFA" w:val="clear"/>
          </w:tcPr>
          <w:p>
            <w:r>
              <w:rPr>
                <w:b/>
                <w:sz w:val="17"/>
              </w:rPr>
              <w:t>16,883</w:t>
            </w:r>
          </w:p>
        </w:tc>
        <w:tc>
          <w:tcPr>
            <w:tcW w:type="dxa" w:w="1440"/>
            <w:shd w:fill="FAFAFA" w:val="clear"/>
          </w:tcPr>
          <w:p>
            <w:r>
              <w:rPr>
                <w:sz w:val="17"/>
              </w:rPr>
              <w:t>17,831</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15,858</w:t>
            </w:r>
          </w:p>
        </w:tc>
        <w:tc>
          <w:tcPr>
            <w:tcW w:type="dxa" w:w="1440"/>
            <w:shd w:fill="FAFAFA" w:val="clear"/>
          </w:tcPr>
          <w:p>
            <w:r>
              <w:rPr>
                <w:b/>
                <w:sz w:val="17"/>
              </w:rPr>
              <w:t>16,897</w:t>
            </w:r>
          </w:p>
        </w:tc>
        <w:tc>
          <w:tcPr>
            <w:tcW w:type="dxa" w:w="1440"/>
            <w:shd w:fill="FAFAFA" w:val="clear"/>
          </w:tcPr>
          <w:p>
            <w:r>
              <w:rPr>
                <w:sz w:val="17"/>
              </w:rPr>
              <w:t>17,936</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15,787</w:t>
            </w:r>
          </w:p>
        </w:tc>
        <w:tc>
          <w:tcPr>
            <w:tcW w:type="dxa" w:w="1440"/>
            <w:shd w:fill="FAFAFA" w:val="clear"/>
          </w:tcPr>
          <w:p>
            <w:r>
              <w:rPr>
                <w:b/>
                <w:sz w:val="17"/>
              </w:rPr>
              <w:t>16,910</w:t>
            </w:r>
          </w:p>
        </w:tc>
        <w:tc>
          <w:tcPr>
            <w:tcW w:type="dxa" w:w="1440"/>
            <w:shd w:fill="FAFAFA" w:val="clear"/>
          </w:tcPr>
          <w:p>
            <w:r>
              <w:rPr>
                <w:sz w:val="17"/>
              </w:rPr>
              <w:t>18,034</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15,721</w:t>
            </w:r>
          </w:p>
        </w:tc>
        <w:tc>
          <w:tcPr>
            <w:tcW w:type="dxa" w:w="1440"/>
            <w:shd w:fill="FAFAFA" w:val="clear"/>
          </w:tcPr>
          <w:p>
            <w:r>
              <w:rPr>
                <w:b/>
                <w:sz w:val="17"/>
              </w:rPr>
              <w:t>16,923</w:t>
            </w:r>
          </w:p>
        </w:tc>
        <w:tc>
          <w:tcPr>
            <w:tcW w:type="dxa" w:w="1440"/>
            <w:shd w:fill="FAFAFA" w:val="clear"/>
          </w:tcPr>
          <w:p>
            <w:r>
              <w:rPr>
                <w:sz w:val="17"/>
              </w:rPr>
              <w:t>18,125</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15,660</w:t>
            </w:r>
          </w:p>
        </w:tc>
        <w:tc>
          <w:tcPr>
            <w:tcW w:type="dxa" w:w="1440"/>
            <w:shd w:fill="FAFAFA" w:val="clear"/>
          </w:tcPr>
          <w:p>
            <w:r>
              <w:rPr>
                <w:b/>
                <w:sz w:val="17"/>
              </w:rPr>
              <w:t>16,936</w:t>
            </w:r>
          </w:p>
        </w:tc>
        <w:tc>
          <w:tcPr>
            <w:tcW w:type="dxa" w:w="1440"/>
            <w:shd w:fill="FAFAFA" w:val="clear"/>
          </w:tcPr>
          <w:p>
            <w:r>
              <w:rPr>
                <w:sz w:val="17"/>
              </w:rPr>
              <w:t>18,212</w:t>
            </w:r>
          </w:p>
        </w:tc>
        <w:tc>
          <w:tcPr>
            <w:tcW w:type="dxa" w:w="1440"/>
            <w:shd w:fill="FAFAFA" w:val="clear"/>
          </w:tcPr>
          <w:p>
            <w:r>
              <w:rPr>
                <w:b/>
                <w:color w:val="008000"/>
                <w:sz w:val="17"/>
              </w:rPr>
              <w:t>+0.8%</w:t>
            </w:r>
          </w:p>
        </w:tc>
      </w:tr>
      <w:tr>
        <w:tc>
          <w:tcPr>
            <w:tcW w:type="dxa" w:w="1440"/>
            <w:shd w:fill="FAFAFA" w:val="clear"/>
          </w:tcPr>
          <w:p>
            <w:r>
              <w:rPr>
                <w:sz w:val="17"/>
              </w:rPr>
              <w:t>J+10  Moyenne</w:t>
            </w:r>
          </w:p>
        </w:tc>
        <w:tc>
          <w:tcPr>
            <w:tcW w:type="dxa" w:w="1440"/>
            <w:shd w:fill="FAFAFA" w:val="clear"/>
          </w:tcPr>
          <w:p>
            <w:r>
              <w:rPr>
                <w:sz w:val="17"/>
              </w:rPr>
              <w:t>2026-10-23</w:t>
            </w:r>
          </w:p>
        </w:tc>
        <w:tc>
          <w:tcPr>
            <w:tcW w:type="dxa" w:w="1440"/>
            <w:shd w:fill="FAFAFA" w:val="clear"/>
          </w:tcPr>
          <w:p>
            <w:r>
              <w:rPr>
                <w:sz w:val="17"/>
              </w:rPr>
              <w:t>15,603</w:t>
            </w:r>
          </w:p>
        </w:tc>
        <w:tc>
          <w:tcPr>
            <w:tcW w:type="dxa" w:w="1440"/>
            <w:shd w:fill="FAFAFA" w:val="clear"/>
          </w:tcPr>
          <w:p>
            <w:r>
              <w:rPr>
                <w:b/>
                <w:sz w:val="17"/>
              </w:rPr>
              <w:t>16,949</w:t>
            </w:r>
          </w:p>
        </w:tc>
        <w:tc>
          <w:tcPr>
            <w:tcW w:type="dxa" w:w="1440"/>
            <w:shd w:fill="FAFAFA" w:val="clear"/>
          </w:tcPr>
          <w:p>
            <w:r>
              <w:rPr>
                <w:sz w:val="17"/>
              </w:rPr>
              <w:t>18,295</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924,85 milliards FCFA, ECOC figure parmi les valeurs les plus importantes de la cote BRVM, ce qui en fait un pilier de l'indice composite et un titre de référence pour les investisseurs institutionnels de la zone UEMOA. Le BPA de 1 153 FCFA par action signifie que chaque titre détenu génère un bénéfice net de 1 153 FCFA, ce qui, rapporté au cours actuel de 16 800 FCFA, donne un PER de 14,6x — un niveau modéré mais supérieur à la moyenne du marché BRVM (généralement comprise entre 8 et 12x), traduisant une prime de qualité consentie par le marché pour ce dossier bancaire. Le P/B de 4,23x indique que le marché valorise ECOC à plus de quatre fois sa valeur comptable, une prime exigeante qui reflète la forte rentabilité des fonds propres (ROE de 29,04% en 2025) mais qui laisse peu de marge d'erreur en cas de dégradation des résultats. Enfin, l'EV/EBITDA de 14,2x, situé dans la fourchette haute (10-15x), confirme que la valeur d'entreprise intègre déjà une anticipation de croissance soutenue, ce qui invite à la prudence quant au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d'ECOC a enregistré une progression totale de +3,07%, avec une dernière séance stable (+0,00%), clôturant à 16 800 FCFA. Le titre a évolué dans un range relativement étroit, entre un plus bas de 15 520 FCFA et un plus haut de 17 725 FCFA, soit un écart d'environ 14% entre les deux extrêmes, ce qui témoigne d'une tendance globalement haussière mais modérée, sans mouvement erratique. Les statistiques descriptives révèlent une moyenne de 16 590 FCFA très proche de la médiane (16 620 FCFA) et du mode (16 800 FCFA), signe d'une distribution symétrique et d'un cours bien ancré autour de son niveau d'équilibre. L'écart-type de 451 FCFA, couplé à un coefficient de variation de seulement 2,7%, indique une dispersion très faible du cours, c'est-à-dire une grande stabilité des prix sur la période. Le kurtosis (excès) de -0,201, qualifié de mésokurtique, suggère une distribution proche de la normale, sans risque majeur de pics extrêmes, tandis que le skewness de 0,127 confirme cette symétrie avec une très légère inclinaison positive. Avec une volatilité annualisée de 27,2%, le titre se situe dans la catégorie des valeurs à volatilité modérée (15-30%), ce qui est cohérent avec son statut de valeur bancaire de premier rang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16 903 FCFA et la MM50 à 16 743 FCFA, toutes deux supérieures au cours actuel de 16 800 FCFA pour la MM20 (léger écart de -0,6%) et légèrement en dessous pour la MM50. La configuration MM20 &gt; MM50 avec un cours proche de ces niveaux traduit une dynamique haussière de fond, ce qui justifie la décision technique d'**Achat** — le titre évolue au-dessus de sa moyenne long terme, signal de soutien.</w:t>
      </w:r>
    </w:p>
    <w:p>
      <w:pPr>
        <w:spacing w:after="120" w:line="276" w:lineRule="auto"/>
      </w:pPr>
      <w:r>
        <w:t>**Bandes de Bollinger** : La borne supérieure se situe à 17 245,87 FCFA et la borne inférieure à 16 560,13 FCFA, avec un cours actuel de 16 800 FCFA positionné dans la partie médiane-basse du canal. Cette position centrale, sans contact avec les extrêmes, indique une absence de pression directionnelle forte et une volatilité contenue, justifiant la décision **Neutre** — ni signal d'achat sur rebond, ni signal de vente sur surchauffe.</w:t>
      </w:r>
    </w:p>
    <w:p>
      <w:pPr>
        <w:spacing w:after="120" w:line="276" w:lineRule="auto"/>
      </w:pPr>
      <w:r>
        <w:t>**MACD** : La valeur du MACD est négative à -29,961, tandis que sa ligne de signal est positive à 2,213, créant une divergence baissière significative. Cet écart négatif indique que le momentum de court terme s'affaiblit et que la dynamique haussière perd de sa vigueur, ce qui justifie pleinement la décision de **Vente** — le croisement MACD sous sa ligne de signal est un signal classique de retournement ou de consolidation.</w:t>
      </w:r>
    </w:p>
    <w:p>
      <w:pPr>
        <w:spacing w:after="120" w:line="276" w:lineRule="auto"/>
      </w:pPr>
      <w:r>
        <w:t>**RSI** : À 43,849, le RSI se situe dans la zone neutre (30-70), sans atteindre les seuils de surachat (&gt;70) ni de survente (&lt;30). Cette position médiane-basse suggère que le titre n'est ni surévalué ni sous-évalué techniquement, avec une légère tendance à la faiblesse relative, justifiant la décision **Neutre** — pas de signal d'action immédiate.</w:t>
      </w:r>
    </w:p>
    <w:p>
      <w:pPr>
        <w:spacing w:after="120" w:line="276" w:lineRule="auto"/>
      </w:pPr>
      <w:r>
        <w:t>**Stochastique** : Le %K à 36,697 et le %D à 30,581 se situent tous deux dans la zone basse (proche de 20-40), sans croisement haussier confirmé (%K &gt; %D) ni signal de survente extrême. Cette configuration indique que le titre pourrait approcher d'une zone de rebond potentiel mais sans confirmation, justifiant la décision **Neutre** — prudence en attendant un croisement clair.</w:t>
      </w:r>
    </w:p>
    <w:p>
      <w:pPr>
        <w:spacing w:after="120" w:line="276" w:lineRule="auto"/>
      </w:pPr>
      <w:r>
        <w:t>**Conclusion technique** : Les indicateurs techniques présentent une configuration mitigée. Les moyennes mobiles plaident pour un maintien de la tendance haussière de fond (MM20 &gt; MM50), mais le MACD en divergence baissière et le RSI en zone neutre-basse suggèrent un essoufflement du momentum. Les Bandes de Bollinger et le Stochastique confirment cette absence de direction claire à court terme. La convergence des signaux Neutres (Bollinger, RSI, Stochastique) avec un signal de Vente (MACD) et un signal d'Achat (MM) dessine un tableau de **consolidation latérale**, invitant à la patience avant toute décision d'investissement.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d'ECOC (exercice clos au 31 décembre 2025) affichent un Produit Net Bancaire (PNB) de 132,725 milliards FCFA, un résultat net de 63,482 milliards FCFA, un ROE de 29,04% et un ROA de 3,09% — des niveaux de rentabilité exceptionnels qui classent la banque parmi les meilleures performances du secteur bancaire UEMOA. Le coefficient d'exploitation de 42,89% (largement inférieur au seuil de 60% d'efficacité) témoigne d'une maîtrise remarquable des charges, tandis que le coût du risque rapporté aux charges financières s'établit à seulement 1,36%, confirmant la qualité du portefeuille de crédits. La structure financière reste solide avec un ratio de solvabilité générale de 111,91% et une couverture des intérêts de 317,71%, bien que l'autonomie financière (10,64%) soit structurellement faible pour une banque, ce qui est compensé par la stabilité des dépôts clientèle (1 626,223 milliards FCFA, soit 79,2% du total bilan). Les rapports trimestriels de 2026 révèlent une inflexion notable : au S1 2026 (rapport publié le 26 août 2026), le PNB progresse de +2,0% à 64,078 milliards FCFA, mais le résultat net recule de -8,6% à 26,408 milliards FCFA, pénalisé par un coût du risque multiplié par 7,4 à 5,197 milliards FCFA — une dégradation qui traduit une politique volontairement prudente de provisionnement (taux de couverture maintenu à 90%, créances en souffrance en hausse de +21,5% à 45,3 milliards FCFA). Le T1 2026 (rapport publié en avril 2026) confirmait déjà cette tendance avec un PNB de 30,8 milliards FCFA (+3,7%) mais un résultat net de 13,0 milliards FCFA (-1,6%) et un ROE en baisse à 23,0%. Sur la base de ces rapports semestriels, on peut estimer que l'exercice 2026 devrait afficher un résultat net annuel compris entre 52 et 56 milliards FCFA (contre 63,482 milliards en 2025), soit une contraction de -12% à -18%, avec un ROE attendu autour de 24-26% — toujours excellent mais en normalisation après les sommets de 2025. La politique de dividende reste attractive : le dividende proposé de 888 FCFA brut par action (781 FCFA net) pour 2025, en hausse de +10,4% par rapport aux 804 FCFA de 2024, offre un rendement de 5,28% au cours actuel de 16 800 FCFA, ce qui constitue un soutien non négligeable pour le titre. En synthèse, ECOC demeure un dossier fondamentalement solide (ROE &gt;25%, coefficient d'exploitation &lt;46%, dividende en croissance), mais la dégradation du coût du risque et la contraction du résultat net en 2026 appellent à une certaine prudence — la recommandation fondamentale est de **CONSERVER**, en attendant la confirmation d'une stabilisation du coût du risque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dessine un tableau contrasté pour ECOC. Sur le plan de la **valorisation (Partie 0)**, le PER de 14,6x et le P/B de 4,23x indiquent que le marché valorise déjà généreusement la qualité de la banque, avec une prime significative par rapport à la moyenne BRVM — le potentiel d'appréciation à court terme semble donc limité. Le **comportement du cours (Partie 1)** est rassurant : tendance haussière modérée (+3,07% sur 100 jours), volatilité contenue (27,2%), distribution symétrique (skewness 0,127) et absence de risque de pics extrêmes (kurtosis -0,201), ce qui en fait un titre stable mais sans catalyseur haussier majeur. Les **signaux techniques (Partie 2)** sont mitigés : les moyennes mobiles plaident pour un maintien de la tendance haussière, mais le MACD en divergence baissière et les indicateurs Neutres (RSI, Bollinger, Stochastique) suggèrent une consolidation latérale, sans direction claire à court terme. Les **fondamentaux (Partie 3)** restent solides mais montrent des signes de normalisation : ROE de 29,04% en 2025, dividende en hausse à 888 FCFA, mais contraction attendue du résultat net 2026 (-12% à -18%) sous l'effet du coût du risque. Les **prédictions IA (J+1 à J+10)** anticipent une légère progression du cours de 16 826 FCFA à 16 883 FCFA, soit une hausse de +0,5% sur 10 jours — une trajectoire haussière très modérée qui confirme la stabilité du titre mais ne contredit pas les signaux techniques de consolidation. Sur la base de cette synthèse globale, la recommandation finale est **CONSERVER**. Cette recommandation reflète la convergence entre une valorisation exigeante (limitant le potentiel haussier), des fondamentaux solides mais en normalisation, des signaux techniques mitigés et des prédictions IA modérément haussières. Le niveau de confiance est **Moyen** — les données sont fiables mais les perspectives à court terme manquent de catalyseurs clairs. Le niveau de risque global est **Moyen** — le titre est stable et bien capitalisé, mais la dégradation du coût du risque et la contraction du résultat net constituent des points de vigilance. L'horizon d'investissement optimal est le **moyen terme (3-12 mois)**, en attendant la publication des résultats annuels 2026 et la confirmation d'une stabilisation du coût du risque, qui pourrait justifier un passage à **ACHAT** si le dividende est maintenu à un niveau attractif et si la qualité du portefeuille de crédits se stabilise.</w:t>
      </w:r>
    </w:p>
    <w:p>
      <w:pPr>
        <w:spacing w:after="120" w:line="276" w:lineRule="auto"/>
      </w:pPr>
      <w:r>
        <w:t>---</w:t>
      </w:r>
    </w:p>
    <w:p>
      <w:pPr>
        <w:spacing w:after="120" w:line="276" w:lineRule="auto"/>
      </w:pPr>
      <w:r>
        <w:t>*Rapport généré sur la base des données officielles BRVM, des états financiers 2025, des rapports trimestriels 2026 (T1 publié en avril 2026, S1 publié en août 2026) et des analyses fondamentales disponibles. Les estimations sont clairement distinguées des données réelles.*</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1,692,631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+123.33%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29.16% (Élevée) — μ=56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β=2.0095 (Très agressif) — Cov=0.000147, Var(idx)=0.000073, ρ=0.438,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1,692,631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64</w:t>
            </w:r>
          </w:p>
        </w:tc>
        <w:tc>
          <w:tcPr>
            <w:tcW w:type="dxa" w:w="1440"/>
            <w:shd w:fill="FAFAFA" w:val="clear"/>
          </w:tcPr>
          <w:p>
            <w:r>
              <w:rPr>
                <w:b/>
                <w:sz w:val="17"/>
              </w:rPr>
              <w:t>67</w:t>
            </w:r>
          </w:p>
        </w:tc>
        <w:tc>
          <w:tcPr>
            <w:tcW w:type="dxa" w:w="1440"/>
            <w:shd w:fill="FAFAFA" w:val="clear"/>
          </w:tcPr>
          <w:p>
            <w:r>
              <w:rPr>
                <w:sz w:val="17"/>
              </w:rPr>
              <w:t>70</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63</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58</w:t>
            </w:r>
          </w:p>
        </w:tc>
        <w:tc>
          <w:tcPr>
            <w:tcW w:type="dxa" w:w="1440"/>
            <w:shd w:fill="FFDCE0" w:val="clear"/>
          </w:tcPr>
          <w:p>
            <w:r>
              <w:rPr>
                <w:b/>
                <w:sz w:val="17"/>
              </w:rPr>
              <w:t>66</w:t>
            </w:r>
          </w:p>
        </w:tc>
        <w:tc>
          <w:tcPr>
            <w:tcW w:type="dxa" w:w="1440"/>
            <w:shd w:fill="FFDCE0" w:val="clear"/>
          </w:tcPr>
          <w:p>
            <w:r>
              <w:rPr>
                <w:sz w:val="17"/>
              </w:rPr>
              <w:t>73</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1 211,64 milliards FCFA, ETIT figure parmi les poids lourds de la cote BRVM, ce qui en fait un titre incontournable pour les investisseurs institutionnels régionaux. Le BPA de 19 FCFA/action signifie que chaque titre génère près de 19 FCFA de bénéfice net, un niveau de rentabilité par action solide pour une banque panafricaine. Le PER de 3,5x est remarquablement faible comparé à la moyenne BRVM (8-12x), signalant une sous-évaluation potentielle manifeste : les investisseurs ne paient que 3,5 fois les bénéfices annuels. Le P/B de 0,76x (&lt; 1) indique que le marché valorise le titre en dessous de sa valeur comptable, une anomalie qui constitue historiquement une opportunité d'achat pour les investisseurs value. Enfin, l'EV/EBITDA de 5,0x, inférieur au seuil de 5x, confirme que la valeur d'entreprise reste très abordable au regard de la capacité opérationnelle de la banque, renforçant le diagnostic de sous-valorisation globale.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performance exceptionnelle de +123,33%, passant d'un plus bas de 29 FCFA à un plus haut de 78 FCFA, avant de se replier légèrement à 67 FCFA (variation J-1 de -1,47%). Cette progression spectaculaire traduit un net retournement haussier, le titre ayant plus que doublé en moins de quatre mois, porté par la confiance des investisseurs dans les fondamentaux de la banque. Les statistiques descriptives révèlent une distribution asymétrique : la moyenne (56 FCFA) est nettement inférieure à la médiane (66 FCFA) et au mode (68 FCFA), confirmant que le cours a passé plus de temps dans les niveaux élevés récents, avec quelques journées de forte baisse qui tirent la moyenne vers le bas. L'écart-type de 16 FCFA (CV = 29,3%) indique une dispersion modérée à élevée, cohérente avec la volatilité annualisée de 62,0%, classant le titre dans la catégorie à volatilité élevée (&gt; 30%). Le kurtosis négatif (-1,343, distribution platykurtique) suggère une distribution aplatie avec un risque de pics extrêmes plus faible qu'une loi normale, tandis que le skewness négatif (-0,662) confirme une asymétrie avec davantage de journées au-dessus de la moyenne, signalant une dynamique haussière sous-jacente malgré les corrections ponctuelles.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(68,25 FCFA) et la MM50 (67,6 FCFA) se situent toutes deux légèrement au-dessus du cours actuel (67 FCFA), avec la MM20 en position supérieure à la MM50, configuration typique d'une tendance haussière de court terme. Le croisement haussier récent et la décision "Achat" suggèrent que le titre pourrait rebondir vers ses moyennes, offrant un point d'entrée intéressant.</w:t>
      </w:r>
    </w:p>
    <w:p>
      <w:pPr>
        <w:spacing w:after="120" w:line="276" w:lineRule="auto"/>
      </w:pPr>
      <w:r>
        <w:t>**Bandes de Bollinger** : Le cours (67 FCFA) évolue dans la partie médiane de la bande, entre la borne inférieure (64,101 FCFA) et supérieure (72,399 FCFA), avec une largeur de bande relativement étroite indiquant une volatilité contenue à court terme. La décision "Neutre" reflète l'absence de signal directionnel fort, le titre étant en phase de consolidation après sa forte hausse.</w:t>
      </w:r>
    </w:p>
    <w:p>
      <w:pPr>
        <w:spacing w:after="120" w:line="276" w:lineRule="auto"/>
      </w:pPr>
      <w:r>
        <w:t>**MACD** : La valeur du MACD (-0,398) est inférieure à son signal (-0,133), générant une décision "Vente" qui signale un momentum baissier de court terme. Cette divergence négative suggère que la pression vendeuse pourrait persister à très court terme, bien que l'ampleur reste modérée.</w:t>
      </w:r>
    </w:p>
    <w:p>
      <w:pPr>
        <w:spacing w:after="120" w:line="276" w:lineRule="auto"/>
      </w:pPr>
      <w:r>
        <w:t>**RSI** : À 42,105, le RSI se situe en zone neutre (30-70), sans signal de surachat ni de survente. Cette position médiane indique un équilibre entre acheteurs et vendeurs, avec une légère prédominance baissière, justifiant la décision "Neutre".</w:t>
      </w:r>
    </w:p>
    <w:p>
      <w:pPr>
        <w:spacing w:after="120" w:line="276" w:lineRule="auto"/>
      </w:pPr>
      <w:r>
        <w:t>**Stochastique** : Le %K (50,0) et le %D (50,0) sont parfaitement alignés à 50, sans croisement ni divergence, traduisant une absence de signal directionnel clair. La décision "Neutre" confirme cette indécision du marché à court terme.</w:t>
      </w:r>
    </w:p>
    <w:p>
      <w:pPr>
        <w:spacing w:after="120" w:line="276" w:lineRule="auto"/>
      </w:pPr>
      <w:r>
        <w:t>**Conclusion technique** : Les indicateurs techniques présentent un tableau mitigé : les moyennes mobiles restent haussières (Achat), mais le MACD est baissier (Vente), tandis que le RSI, les Bollinger et le Stochastique sont neutres. Cette divergence suggère une phase de consolidation après la forte hausse, avec un potentiel de rebond technique vers 68-70 FCFA si le support de 64 FCFA tient, mais une prudence reste de mise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ETIT affiche un Produit Net Bancaire (PNB) de 1 424,261 milliards FCFA, un résultat net de 345,523 milliards FCFA, un ROE exceptionnel de 21,62% (&gt; 15%, seuil d'excellence) et un ROA de 1,80%. Le coefficient d'exploitation de 27,35% est remarquablement bas (&lt; 60%), témoignant d'une efficacité opérationnelle supérieure à la moyenne du secteur bancaire. Le coût du risque (provisions/charges financières) s'élève à 18,97%, un niveau élevé qui signale un risque de crédit significatif, tandis que le ratio dépôts/crédits (14 120,139 / 6 570,385 = 2,15x) indique une surliquidité confortable, la banque collectant plus du double des crédits qu'elle accorde. La marge nette de 24,26% et la marge opérationnelle de 32,69% confirment la rentabilité structurelle de l'établissement.</w:t>
      </w:r>
    </w:p>
    <w:p>
      <w:pPr>
        <w:spacing w:after="120" w:line="276" w:lineRule="auto"/>
      </w:pPr>
      <w:r>
        <w:t>**Estimations basées sur les rapports trimestriels** : Le rapport semestriel 2026 (publié le 21 juillet 2026, analysé par DeepSeek le 30/07/2026) révèle un PNB de 721,318 milliards FCFA au S1 2026 (+15% vs S1 2025), un résultat net de 166,682 milliards FCFA (+6%) et un BPA de 0,80 $EU (4,53 FCFA). Le coefficient d'exploitation s'améliore à 48,4% et le ratio de prêts non performants (NPL) baisse à 7,6%. Cependant, le coût du risque bondit de +40%, un signal d'alerte majeur. Sur la base de ces tendances, on estime que l'exercice 2026 devrait afficher un PNB annuel d'environ 1 450-1 500 milliards FCFA et un résultat net de 350-370 milliards FCFA, soit une croissance modérée de 2-7% du bénéfice net, freinée par la hausse des provisions. Le rapport T1 2026 (PNB +23%, résultat net +16%) confirme la dynamique positive, mais le coût du risque (+73%) reste préoccupant. Les rapports antérieurs (T3 2025, S1 2025, annuel 2024) montrent une amélioration continue de la rentabilité (ROE tangible de 31,2% au T3 2025) et de l'efficacité opérationnelle, mais la dégradation récente du coût du risque tempère l'optimisme.</w:t>
      </w:r>
    </w:p>
    <w:p>
      <w:pPr>
        <w:spacing w:after="120" w:line="276" w:lineRule="auto"/>
      </w:pPr>
      <w:r>
        <w:t>**Recommandation fondamentale** : ETIT présente des fondamentaux solides (ROE &gt; 20%, coefficient d'exploitation &lt; 30%, surliquidité), mais la forte hausse du coût du risque (+40% au S1 2026) et la stagnation du BPA (+2%) constituent des points de vigilance. La valorisation attractive (PER 3,5x, P/B 0,76x) offre une marge de sécurité, mais l'environnement macroéconomique incertain et la qualité des actifs nécessitent une surveillance étroite. Recommandation : **CONSERVER** avec un biais positif, en attendant la confirmation de la stabilisation du coût du risque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d'ETIT (PER 3,5x, P/B 0,76x, EV/EBITDA 5,0x) indique une sous-évaluation manifeste par rapport aux moyennes du secteur et de la BRVM, offrant un potentiel de revalorisation significatif. Le comportement du cours sur 100 jours (+123,33%) témoigne d'un fort momentum haussier, bien que la volatilité élevée (62%) et le skewness négatif (-0,662) suggèrent une certaine prudence à court terme, le titre ayant tendance à corriger après ses pics. Les signaux techniques sont mitigés : les moyennes mobiles restent haussières, mais le MACD est baissier et les autres indicateurs sont neutres, reflétant une phase de consolidation. Les fondamentaux sont solides (ROE 21,62%, coefficient d'exploitation 27,35%, surliquidité), mais le coût du risque élevé (18,97%) et sa hausse récente (+40% au S1 2026) constituent un risque majeur. Les prédictions IA (67 FCFA J+1, puis 66 FCFA J+2 à J+5) anticipent une légère correction à court terme, en ligne avec le signal baissier du MACD, mais sans effondrement. Sur la base de cette synthèse, la recommandation finale est **CONSERVER** avec un biais positif : la sous-évaluation et les fondamentaux solides justifient une position long terme, mais la prudence est de mise à court terme en raison du coût du risque et de la consolidation technique. Le niveau de confiance est **Moyen** (divergence entre valorisation attractive et risques de crédit), le risque global est **Moyen à Élevé** (volatilité 62%, coût du risque 18,97%), et l'horizon d'investissement optimal est **moyen à long terme (6-18 mois)**, le temps que la banque démontre sa capacité à maîtriser ses provisions et à convertir sa croissance en bénéfices durables.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26.37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4,184 titres</w:t>
            </w:r>
          </w:p>
        </w:tc>
        <w:tc>
          <w:tcPr>
            <w:tcW w:type="dxa" w:w="2268"/>
            <w:shd w:fill="FFF2CC" w:val="clear"/>
          </w:tcPr>
          <w:p>
            <w:r>
              <w:rPr>
                <w:b/>
                <w:color w:val="503200"/>
                <w:sz w:val="16"/>
              </w:rPr>
              <w:t xml:space="preserve">Cours actuel : </w:t>
            </w:r>
            <w:r>
              <w:rPr>
                <w:color w:val="000000"/>
                <w:sz w:val="17"/>
              </w:rPr>
              <w:t>1,870 FCFA</w:t>
            </w:r>
          </w:p>
          <w:p>
            <w:r>
              <w:rPr>
                <w:b/>
                <w:color w:val="503200"/>
                <w:sz w:val="16"/>
              </w:rPr>
              <w:t xml:space="preserve">Var. 100 jours : </w:t>
            </w:r>
            <w:r>
              <w:rPr>
                <w:b/>
                <w:color w:val="B40000"/>
                <w:sz w:val="17"/>
              </w:rPr>
              <w:t>-20.76%</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6.39% (Moyenne) — μ=2,096 FCFA, σ=134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β=0.5310 (Défensif) — Cov=0.000039, Var(idx)=0.000073, ρ=0.195,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1,770</w:t>
            </w:r>
          </w:p>
        </w:tc>
        <w:tc>
          <w:tcPr>
            <w:tcW w:type="dxa" w:w="1440"/>
            <w:shd w:fill="FAFAFA" w:val="clear"/>
          </w:tcPr>
          <w:p>
            <w:r>
              <w:rPr>
                <w:b/>
                <w:sz w:val="17"/>
              </w:rPr>
              <w:t>1,855</w:t>
            </w:r>
          </w:p>
        </w:tc>
        <w:tc>
          <w:tcPr>
            <w:tcW w:type="dxa" w:w="1440"/>
            <w:shd w:fill="FAFAFA" w:val="clear"/>
          </w:tcPr>
          <w:p>
            <w:r>
              <w:rPr>
                <w:sz w:val="17"/>
              </w:rPr>
              <w:t>1,939</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1,725</w:t>
            </w:r>
          </w:p>
        </w:tc>
        <w:tc>
          <w:tcPr>
            <w:tcW w:type="dxa" w:w="1440"/>
            <w:shd w:fill="FAFAFA" w:val="clear"/>
          </w:tcPr>
          <w:p>
            <w:r>
              <w:rPr>
                <w:b/>
                <w:sz w:val="17"/>
              </w:rPr>
              <w:t>1,843</w:t>
            </w:r>
          </w:p>
        </w:tc>
        <w:tc>
          <w:tcPr>
            <w:tcW w:type="dxa" w:w="1440"/>
            <w:shd w:fill="FAFAFA" w:val="clear"/>
          </w:tcPr>
          <w:p>
            <w:r>
              <w:rPr>
                <w:sz w:val="17"/>
              </w:rPr>
              <w:t>1,962</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1,688</w:t>
            </w:r>
          </w:p>
        </w:tc>
        <w:tc>
          <w:tcPr>
            <w:tcW w:type="dxa" w:w="1440"/>
            <w:shd w:fill="FFDCE0" w:val="clear"/>
          </w:tcPr>
          <w:p>
            <w:r>
              <w:rPr>
                <w:b/>
                <w:sz w:val="17"/>
              </w:rPr>
              <w:t>1,832</w:t>
            </w:r>
          </w:p>
        </w:tc>
        <w:tc>
          <w:tcPr>
            <w:tcW w:type="dxa" w:w="1440"/>
            <w:shd w:fill="FFDCE0" w:val="clear"/>
          </w:tcPr>
          <w:p>
            <w:r>
              <w:rPr>
                <w:sz w:val="17"/>
              </w:rPr>
              <w:t>1,976</w:t>
            </w:r>
          </w:p>
        </w:tc>
        <w:tc>
          <w:tcPr>
            <w:tcW w:type="dxa" w:w="1440"/>
            <w:shd w:fill="FFDCE0"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1,655</w:t>
            </w:r>
          </w:p>
        </w:tc>
        <w:tc>
          <w:tcPr>
            <w:tcW w:type="dxa" w:w="1440"/>
            <w:shd w:fill="FFDCE0" w:val="clear"/>
          </w:tcPr>
          <w:p>
            <w:r>
              <w:rPr>
                <w:b/>
                <w:sz w:val="17"/>
              </w:rPr>
              <w:t>1,820</w:t>
            </w:r>
          </w:p>
        </w:tc>
        <w:tc>
          <w:tcPr>
            <w:tcW w:type="dxa" w:w="1440"/>
            <w:shd w:fill="FFDCE0" w:val="clear"/>
          </w:tcPr>
          <w:p>
            <w:r>
              <w:rPr>
                <w:sz w:val="17"/>
              </w:rPr>
              <w:t>1,986</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1,625</w:t>
            </w:r>
          </w:p>
        </w:tc>
        <w:tc>
          <w:tcPr>
            <w:tcW w:type="dxa" w:w="1440"/>
            <w:shd w:fill="FFDCE0" w:val="clear"/>
          </w:tcPr>
          <w:p>
            <w:r>
              <w:rPr>
                <w:b/>
                <w:sz w:val="17"/>
              </w:rPr>
              <w:t>1,809</w:t>
            </w:r>
          </w:p>
        </w:tc>
        <w:tc>
          <w:tcPr>
            <w:tcW w:type="dxa" w:w="1440"/>
            <w:shd w:fill="FFDCE0" w:val="clear"/>
          </w:tcPr>
          <w:p>
            <w:r>
              <w:rPr>
                <w:sz w:val="17"/>
              </w:rPr>
              <w:t>1,993</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1,597</w:t>
            </w:r>
          </w:p>
        </w:tc>
        <w:tc>
          <w:tcPr>
            <w:tcW w:type="dxa" w:w="1440"/>
            <w:shd w:fill="FFDCE0" w:val="clear"/>
          </w:tcPr>
          <w:p>
            <w:r>
              <w:rPr>
                <w:b/>
                <w:sz w:val="17"/>
              </w:rPr>
              <w:t>1,797</w:t>
            </w:r>
          </w:p>
        </w:tc>
        <w:tc>
          <w:tcPr>
            <w:tcW w:type="dxa" w:w="1440"/>
            <w:shd w:fill="FFDCE0" w:val="clear"/>
          </w:tcPr>
          <w:p>
            <w:r>
              <w:rPr>
                <w:sz w:val="17"/>
              </w:rPr>
              <w:t>1,997</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1,571</w:t>
            </w:r>
          </w:p>
        </w:tc>
        <w:tc>
          <w:tcPr>
            <w:tcW w:type="dxa" w:w="1440"/>
            <w:shd w:fill="FFDCE0" w:val="clear"/>
          </w:tcPr>
          <w:p>
            <w:r>
              <w:rPr>
                <w:b/>
                <w:sz w:val="17"/>
              </w:rPr>
              <w:t>1,786</w:t>
            </w:r>
          </w:p>
        </w:tc>
        <w:tc>
          <w:tcPr>
            <w:tcW w:type="dxa" w:w="1440"/>
            <w:shd w:fill="FFDCE0" w:val="clear"/>
          </w:tcPr>
          <w:p>
            <w:r>
              <w:rPr>
                <w:sz w:val="17"/>
              </w:rPr>
              <w:t>2,000</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1,546</w:t>
            </w:r>
          </w:p>
        </w:tc>
        <w:tc>
          <w:tcPr>
            <w:tcW w:type="dxa" w:w="1440"/>
            <w:shd w:fill="FFDCE0" w:val="clear"/>
          </w:tcPr>
          <w:p>
            <w:r>
              <w:rPr>
                <w:b/>
                <w:sz w:val="17"/>
              </w:rPr>
              <w:t>1,774</w:t>
            </w:r>
          </w:p>
        </w:tc>
        <w:tc>
          <w:tcPr>
            <w:tcW w:type="dxa" w:w="1440"/>
            <w:shd w:fill="FFDCE0" w:val="clear"/>
          </w:tcPr>
          <w:p>
            <w:r>
              <w:rPr>
                <w:sz w:val="17"/>
              </w:rPr>
              <w:t>2,002</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1,522</w:t>
            </w:r>
          </w:p>
        </w:tc>
        <w:tc>
          <w:tcPr>
            <w:tcW w:type="dxa" w:w="1440"/>
            <w:shd w:fill="FFDCE0" w:val="clear"/>
          </w:tcPr>
          <w:p>
            <w:r>
              <w:rPr>
                <w:b/>
                <w:sz w:val="17"/>
              </w:rPr>
              <w:t>1,763</w:t>
            </w:r>
          </w:p>
        </w:tc>
        <w:tc>
          <w:tcPr>
            <w:tcW w:type="dxa" w:w="1440"/>
            <w:shd w:fill="FFDCE0" w:val="clear"/>
          </w:tcPr>
          <w:p>
            <w:r>
              <w:rPr>
                <w:sz w:val="17"/>
              </w:rPr>
              <w:t>2,003</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1,500</w:t>
            </w:r>
          </w:p>
        </w:tc>
        <w:tc>
          <w:tcPr>
            <w:tcW w:type="dxa" w:w="1440"/>
            <w:shd w:fill="FFDCE0" w:val="clear"/>
          </w:tcPr>
          <w:p>
            <w:r>
              <w:rPr>
                <w:b/>
                <w:sz w:val="17"/>
              </w:rPr>
              <w:t>1,752</w:t>
            </w:r>
          </w:p>
        </w:tc>
        <w:tc>
          <w:tcPr>
            <w:tcW w:type="dxa" w:w="1440"/>
            <w:shd w:fill="FFDCE0" w:val="clear"/>
          </w:tcPr>
          <w:p>
            <w:r>
              <w:rPr>
                <w:sz w:val="17"/>
              </w:rPr>
              <w:t>2,003</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26,37 milliards FCFA, FTSC se positionne comme une valeur de petite capitalisation sur le marché BRVM, ce qui la rend vulnérable aux mouvements de faible volume (4 184 titres/jour en moyenne). Le BPA de 33 FCFA/action signifie que chaque titre génère théoriquement 33 FCFA de bénéfice net, un niveau faible qui, rapporté au cours de 1 870 FCFA, aboutit à un PER de 56,6x — très largement supérieur à la moyenne BRVM (~8-12x), signalant que les investisseurs paient une prime considérable pour des bénéfices qui se sont effondrés de 97,5% en 2025. Le P/B de 1,68x indique que le marché valorise l'entreprise à 68% au-dessus de sa valeur comptable (capitaux propres de 15,7 Mds FCFA), ce qui reste raisonnable dans l'absolu mais élevé au regard de la rentabilité actuelle (ROE de 2,97%). Enfin, l'EV/EBITDA de 35,5x est très exigeant (seuil d'alerte &gt;15x), traduisant une valorisation qui intègre déjà une forte anticipation de redressement opérationnel non encore matérialisé.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 enregistré une **baisse totale de -20,76%**, avec une dernière séance stable (variation J-1 de +0,00%), le cours se fixant à **1 870 FCFA**. Le range de trading s'étend de **1 850 FCFA (plus bas)** à **2 430 FCFA (plus haut)**, soit une amplitude de 580 FCFA (31%) qui témoigne d'une tendance clairement **baissière** sur la période, le cours évoluant désormais proche de son plancher. Les statistiques descriptives révèlent une **moyenne de 2 096 FCFA** légèrement supérieure à la **médiane de 2 092 FCFA**, avec un **mode à 1 990 FCFA** : la proximité moyenne/médiane indique une distribution globalement équilibrée, mais le cours actuel (1 870 FCFA) se situe nettement sous ces trois repères, confirmant la pression vendeuse récente. L'**écart-type de 135 FCFA** avec un **coefficient de variation de 6,4%** traduit une dispersion modérée du cours autour de sa moyenne, tandis que le **kurtosis de -0,506 (mésokurtique)** suggère une distribution proche de la normale, sans risque excessif de pics extrêmes. Le **skewness de +0,520 (asymétrie positive)** indique toutefois davantage de journées de cotation sous la moyenne, cohérent avec la tendance baissière. La **volatilité annualisée de 36,7%** classe le titre dans la catégorie **élevée (&gt;30%)**, ce qui implique un risque de variation important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(2 003,25 FCFA) et la MM50 (2 064,60 FCFA) se situent toutes deux au-dessus du cours actuel (1 870 FCFA), avec la MM20 sous la MM50 — configuration baissière classique (croisement mort confirmé). Le cours évoluant sous ses deux moyennes, la pression vendeuse domine, justifiant la décision **Vente**.</w:t>
      </w:r>
    </w:p>
    <w:p>
      <w:pPr>
        <w:spacing w:after="120" w:line="276" w:lineRule="auto"/>
      </w:pPr>
      <w:r>
        <w:t>**Bandes de Bollinger** : Le cours (1 870 FCFA) se situe dans la partie basse de la bande, entre la borne inférieure (1 835,91 FCFA) et la borne supérieure (2 170,59 FCFA), sans franchissement de seuil. Cette position proche de la borne basse, sans survente extrême, traduit une volatilité contenue et une tendance baissière modérée, justifiant la décision **Neutre**.</w:t>
      </w:r>
    </w:p>
    <w:p>
      <w:pPr>
        <w:spacing w:after="120" w:line="276" w:lineRule="auto"/>
      </w:pPr>
      <w:r>
        <w:t>**MACD** : La valeur du MACD (-50,50) est inférieure à son signal (-38,02), avec un histogramme négatif — configuration baissière où le momentum reste défavorablement orienté. La divergence négative persistante confirme l'absence de retournement, justifiant la décision **Vente**.</w:t>
      </w:r>
    </w:p>
    <w:p>
      <w:pPr>
        <w:spacing w:after="120" w:line="276" w:lineRule="auto"/>
      </w:pPr>
      <w:r>
        <w:t>**RSI** : À 34,29, le RSI se situe dans la zone neutre basse (30-70), proche du seuil de survente (30) sans l'atteindre. Cette position indique une faiblesse relative mais pas encore de signal d'achat technique, justifiant la décision **Neutre**.</w:t>
      </w:r>
    </w:p>
    <w:p>
      <w:pPr>
        <w:spacing w:after="120" w:line="276" w:lineRule="auto"/>
      </w:pPr>
      <w:r>
        <w:t>**Stochastique** : Le %K (10,0) est très bas et inférieur au %D (22,44), signalant une position de survente marquée. Historiquement, un %K sous 20 précède souvent un rebond technique à court terme, justifiant la décision **Achat** — seul indicateur haussier du tableau.</w:t>
      </w:r>
    </w:p>
    <w:p>
      <w:pPr>
        <w:spacing w:after="120" w:line="276" w:lineRule="auto"/>
      </w:pPr>
      <w:r>
        <w:t>**Conclusion technique** : La configuration technique est majoritairement baissière (MM, MACD), avec un RSI neutre et un stochastique en survente qui suggère un possible rebond technique de court terme. Le titre se trouve dans une zone de prix basse où les vendeurs semblent s'essouffler, mais aucun signal de retournement durable n'est encore confirmé. La convergence des indicateurs plaide pour une **prudence attentiste**, avec un potentiel rebond limité tant que le cours reste sous la MM20 (2 003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**32,109 Mds FCFA** (+4,6% vs 2024), mais son résultat net s'est effondré à **465,98 M FCFA** contre 18 595 M FCFA en 2024 (-97,5%), principalement en raison de l'absence des produits exceptionnels (HAO de 381,6 M FCFA contre 18 863 M FCFA en 2024) et de l'effondrement des produits financiers (545 M FCFA contre 6 170 M FCFA). La rentabilité est très faible : **ROE de 2,97%** (très en dessous du seuil de 15% d'excellence) et **ROA de 1,19%**, avec une marge nette de seulement 1,45%. En tant qu'entreprise industrielle, les délais d'exploitation sont préoccupants : **délai clients de 213,72 jours** (risque de trésorerie élevé), **durée de stockage de 214,65 jours** (immobilisation de capital importante) et **BFR de 11,529 Mds FCFA** (positif, donc défavorable). La structure financière reste néanmoins solvable (autonomie financière de 40,1%, solvabilité générale de 167%), mais la **trésorerie nette est négative à -11,528 Mds FCFA** et la capacité de remboursement s'établit à 11,49 années (élevée).</w:t>
      </w:r>
    </w:p>
    <w:p>
      <w:pPr>
        <w:spacing w:after="120" w:line="276" w:lineRule="auto"/>
      </w:pPr>
      <w:r>
        <w:t>**Estimations basées sur les rapports trimestriels** : Le rapport du **T1 2026 (publié le 08/07/2026)** révèle un chiffre d'affaires de **8 901 M FCFA (+55%)**, porté par la forte demande d'emballages cacao, avec un résultat d'exploitation redevenu positif (**+75 M FCFA** contre -78 M FCFA au T1 2025) mais un **résultat net toujours négatif (-154 M FCFA)**. Le rapport annuel 2025 (analysé le 28/09/2026) confirme la chute du résultat net et l'absence de dividende (taux de distribution de 0%), contre un dividende exceptionnel de 2 000,67 FCFA/action en 2024. Le communiqué du **08/07/2026** rassure sur la continuité des activités malgré l'arrêt de la filature (interdiction d'exportation de jute par le Bangladesh), avec une solution alternative d'importation de fil. **On estime** que l'exercice 2026 pourrait bénéficier de la campagne cacaoyère (+55% au T1), mais la persistance de pertes nettes et la dépendance sectorielle au cacao constituent des risques majeurs. La recommandation fondamentale est **CONSERVER** avec une position attentiste, en attendant la confirmation d'un redressement durable de la rentabilité nette sur au moins deux trimestres consécutifs.</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une **divergence préoccupante** entre les signaux. Sur le plan de la **valorisation (Partie 0)**, les ratios PER (56,6x) et EV/EBITDA (35,5x) indiquent une nette **surévaluation** par rapport aux bénéfices et à la capacité opérationnelle, bien que le P/B (1,68x) reste raisonnable. Le **comportement du cours (Partie 1)** est baissier (-20,76% sur 100 jours), avec une volatilité élevée (36,7%) et une asymétrie positive (skewness de +0,520) signalant davantage de journées sous la moyenne — des statistiques préoccupantes pour un investisseur averse au risque. Les **signaux techniques (Partie 2)** sont majoritairement baissiers (MM, MACD), avec un RSI neutre et un stochastique en survente qui n'offre qu'un potentiel rebond technique limité. Les **fondamentaux (Partie 3)** montrent une entreprise en difficulté : résultat net effondré (-97,5% en 2025), trésorerie nette négative (-11,5 Mds FCFA), absence de dividende, mais avec une croissance du CA au T1 2026 (+55%) et un retour à un résultat d'exploitation positif — des signaux de redressement encore fragiles. Les **prédictions IA (J+1 à J+10)** anticipent une poursuite de la baisse (1 855 → 1 809 FCFA), confirmant la tendance baissière et contredisant l'espoir d'un rebond immédiat. **En conséquence, la recommandation finale est CONSERVER** (avec biais baissier), justifiée par la convergence des signaux techniques et prédictifs vers une poursuite de la faiblesse, tandis que les fondamentaux offrent une lueur d'espoir non confirmée. Le **niveau de confiance est Moyen** (données trimestrielles encourageantes mais non validées) et le **risque global est Élevé** (volatilité, trésorerie négative, dépendance au cacao). L'**horizon d'investissement optimal est moyen terme (3-12 mois)**, en surveillant le T2 2026 pour confirmer ou infirmer le redressement opérationnel avant tout passage à l'achat.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78.70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4,648 titres</w:t>
            </w:r>
          </w:p>
        </w:tc>
        <w:tc>
          <w:tcPr>
            <w:tcW w:type="dxa" w:w="2268"/>
            <w:shd w:fill="FFF2CC" w:val="clear"/>
          </w:tcPr>
          <w:p>
            <w:r>
              <w:rPr>
                <w:b/>
                <w:color w:val="503200"/>
                <w:sz w:val="16"/>
              </w:rPr>
              <w:t xml:space="preserve">Cours actuel : </w:t>
            </w:r>
            <w:r>
              <w:rPr>
                <w:color w:val="000000"/>
                <w:sz w:val="17"/>
              </w:rPr>
              <w:t>3,935 FCFA</w:t>
            </w:r>
          </w:p>
          <w:p>
            <w:r>
              <w:rPr>
                <w:b/>
                <w:color w:val="503200"/>
                <w:sz w:val="16"/>
              </w:rPr>
              <w:t xml:space="preserve">Var. 100 jours : </w:t>
            </w:r>
            <w:r>
              <w:rPr>
                <w:b/>
                <w:color w:val="007800"/>
                <w:sz w:val="17"/>
              </w:rPr>
              <w:t>+1.16%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4.68% (Faible) — μ=4,076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β=0.6482 (Défensif) — Cov=0.000047, Var(idx)=0.000073, ρ=0.211,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3,765</w:t>
            </w:r>
          </w:p>
        </w:tc>
        <w:tc>
          <w:tcPr>
            <w:tcW w:type="dxa" w:w="1440"/>
            <w:shd w:fill="FAFAFA" w:val="clear"/>
          </w:tcPr>
          <w:p>
            <w:r>
              <w:rPr>
                <w:b/>
                <w:sz w:val="17"/>
              </w:rPr>
              <w:t>3,930</w:t>
            </w:r>
          </w:p>
        </w:tc>
        <w:tc>
          <w:tcPr>
            <w:tcW w:type="dxa" w:w="1440"/>
            <w:shd w:fill="FAFAFA" w:val="clear"/>
          </w:tcPr>
          <w:p>
            <w:r>
              <w:rPr>
                <w:sz w:val="17"/>
              </w:rPr>
              <w:t>4,095</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3,700</w:t>
            </w:r>
          </w:p>
        </w:tc>
        <w:tc>
          <w:tcPr>
            <w:tcW w:type="dxa" w:w="1440"/>
            <w:shd w:fill="FAFAFA" w:val="clear"/>
          </w:tcPr>
          <w:p>
            <w:r>
              <w:rPr>
                <w:b/>
                <w:sz w:val="17"/>
              </w:rPr>
              <w:t>3,933</w:t>
            </w:r>
          </w:p>
        </w:tc>
        <w:tc>
          <w:tcPr>
            <w:tcW w:type="dxa" w:w="1440"/>
            <w:shd w:fill="FAFAFA" w:val="clear"/>
          </w:tcPr>
          <w:p>
            <w:r>
              <w:rPr>
                <w:sz w:val="17"/>
              </w:rPr>
              <w:t>4,167</w:t>
            </w:r>
          </w:p>
        </w:tc>
        <w:tc>
          <w:tcPr>
            <w:tcW w:type="dxa" w:w="1440"/>
            <w:shd w:fill="FAFAFA" w:val="clear"/>
          </w:tcPr>
          <w:p>
            <w:r>
              <w:rPr>
                <w:b/>
                <w:color w:val="C00000"/>
                <w:sz w:val="17"/>
              </w:rPr>
              <w:t>-0.0%</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3,649</w:t>
            </w:r>
          </w:p>
        </w:tc>
        <w:tc>
          <w:tcPr>
            <w:tcW w:type="dxa" w:w="1440"/>
            <w:shd w:fill="FAFAFA" w:val="clear"/>
          </w:tcPr>
          <w:p>
            <w:r>
              <w:rPr>
                <w:b/>
                <w:sz w:val="17"/>
              </w:rPr>
              <w:t>3,935</w:t>
            </w:r>
          </w:p>
        </w:tc>
        <w:tc>
          <w:tcPr>
            <w:tcW w:type="dxa" w:w="1440"/>
            <w:shd w:fill="FAFAFA" w:val="clear"/>
          </w:tcPr>
          <w:p>
            <w:r>
              <w:rPr>
                <w:sz w:val="17"/>
              </w:rPr>
              <w:t>4,221</w:t>
            </w:r>
          </w:p>
        </w:tc>
        <w:tc>
          <w:tcPr>
            <w:tcW w:type="dxa" w:w="1440"/>
            <w:shd w:fill="FAFAFA" w:val="clear"/>
          </w:tcPr>
          <w:p>
            <w:r>
              <w:rPr>
                <w:b/>
                <w:color w:val="C00000"/>
                <w:sz w:val="17"/>
              </w:rPr>
              <w:t>-0.0%</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3,606</w:t>
            </w:r>
          </w:p>
        </w:tc>
        <w:tc>
          <w:tcPr>
            <w:tcW w:type="dxa" w:w="1440"/>
            <w:shd w:fill="FAFAFA" w:val="clear"/>
          </w:tcPr>
          <w:p>
            <w:r>
              <w:rPr>
                <w:b/>
                <w:sz w:val="17"/>
              </w:rPr>
              <w:t>3,935</w:t>
            </w:r>
          </w:p>
        </w:tc>
        <w:tc>
          <w:tcPr>
            <w:tcW w:type="dxa" w:w="1440"/>
            <w:shd w:fill="FAFAFA" w:val="clear"/>
          </w:tcPr>
          <w:p>
            <w:r>
              <w:rPr>
                <w:sz w:val="17"/>
              </w:rPr>
              <w:t>4,265</w:t>
            </w:r>
          </w:p>
        </w:tc>
        <w:tc>
          <w:tcPr>
            <w:tcW w:type="dxa" w:w="1440"/>
            <w:shd w:fill="FAFAFA" w:val="clear"/>
          </w:tcPr>
          <w:p>
            <w:r>
              <w:rPr>
                <w:b/>
                <w:color w:val="008000"/>
                <w:sz w:val="17"/>
              </w:rPr>
              <w:t>+0.0%</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3,570</w:t>
            </w:r>
          </w:p>
        </w:tc>
        <w:tc>
          <w:tcPr>
            <w:tcW w:type="dxa" w:w="1440"/>
            <w:shd w:fill="FAFAFA" w:val="clear"/>
          </w:tcPr>
          <w:p>
            <w:r>
              <w:rPr>
                <w:b/>
                <w:sz w:val="17"/>
              </w:rPr>
              <w:t>3,939</w:t>
            </w:r>
          </w:p>
        </w:tc>
        <w:tc>
          <w:tcPr>
            <w:tcW w:type="dxa" w:w="1440"/>
            <w:shd w:fill="FAFAFA" w:val="clear"/>
          </w:tcPr>
          <w:p>
            <w:r>
              <w:rPr>
                <w:sz w:val="17"/>
              </w:rPr>
              <w:t>4,308</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3,539</w:t>
            </w:r>
          </w:p>
        </w:tc>
        <w:tc>
          <w:tcPr>
            <w:tcW w:type="dxa" w:w="1440"/>
            <w:shd w:fill="FAFAFA" w:val="clear"/>
          </w:tcPr>
          <w:p>
            <w:r>
              <w:rPr>
                <w:b/>
                <w:sz w:val="17"/>
              </w:rPr>
              <w:t>3,944</w:t>
            </w:r>
          </w:p>
        </w:tc>
        <w:tc>
          <w:tcPr>
            <w:tcW w:type="dxa" w:w="1440"/>
            <w:shd w:fill="FAFAFA" w:val="clear"/>
          </w:tcPr>
          <w:p>
            <w:r>
              <w:rPr>
                <w:sz w:val="17"/>
              </w:rPr>
              <w:t>4,349</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3,509</w:t>
            </w:r>
          </w:p>
        </w:tc>
        <w:tc>
          <w:tcPr>
            <w:tcW w:type="dxa" w:w="1440"/>
            <w:shd w:fill="FAFAFA" w:val="clear"/>
          </w:tcPr>
          <w:p>
            <w:r>
              <w:rPr>
                <w:b/>
                <w:sz w:val="17"/>
              </w:rPr>
              <w:t>3,947</w:t>
            </w:r>
          </w:p>
        </w:tc>
        <w:tc>
          <w:tcPr>
            <w:tcW w:type="dxa" w:w="1440"/>
            <w:shd w:fill="FAFAFA" w:val="clear"/>
          </w:tcPr>
          <w:p>
            <w:r>
              <w:rPr>
                <w:sz w:val="17"/>
              </w:rPr>
              <w:t>4,385</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3,481</w:t>
            </w:r>
          </w:p>
        </w:tc>
        <w:tc>
          <w:tcPr>
            <w:tcW w:type="dxa" w:w="1440"/>
            <w:shd w:fill="FAFAFA" w:val="clear"/>
          </w:tcPr>
          <w:p>
            <w:r>
              <w:rPr>
                <w:b/>
                <w:sz w:val="17"/>
              </w:rPr>
              <w:t>3,949</w:t>
            </w:r>
          </w:p>
        </w:tc>
        <w:tc>
          <w:tcPr>
            <w:tcW w:type="dxa" w:w="1440"/>
            <w:shd w:fill="FAFAFA" w:val="clear"/>
          </w:tcPr>
          <w:p>
            <w:r>
              <w:rPr>
                <w:sz w:val="17"/>
              </w:rPr>
              <w:t>4,418</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3,455</w:t>
            </w:r>
          </w:p>
        </w:tc>
        <w:tc>
          <w:tcPr>
            <w:tcW w:type="dxa" w:w="1440"/>
            <w:shd w:fill="FAFAFA" w:val="clear"/>
          </w:tcPr>
          <w:p>
            <w:r>
              <w:rPr>
                <w:b/>
                <w:sz w:val="17"/>
              </w:rPr>
              <w:t>3,952</w:t>
            </w:r>
          </w:p>
        </w:tc>
        <w:tc>
          <w:tcPr>
            <w:tcW w:type="dxa" w:w="1440"/>
            <w:shd w:fill="FAFAFA" w:val="clear"/>
          </w:tcPr>
          <w:p>
            <w:r>
              <w:rPr>
                <w:sz w:val="17"/>
              </w:rPr>
              <w:t>4,449</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3,432</w:t>
            </w:r>
          </w:p>
        </w:tc>
        <w:tc>
          <w:tcPr>
            <w:tcW w:type="dxa" w:w="1440"/>
            <w:shd w:fill="FAFAFA" w:val="clear"/>
          </w:tcPr>
          <w:p>
            <w:r>
              <w:rPr>
                <w:b/>
                <w:sz w:val="17"/>
              </w:rPr>
              <w:t>3,957</w:t>
            </w:r>
          </w:p>
        </w:tc>
        <w:tc>
          <w:tcPr>
            <w:tcW w:type="dxa" w:w="1440"/>
            <w:shd w:fill="FAFAFA" w:val="clear"/>
          </w:tcPr>
          <w:p>
            <w:r>
              <w:rPr>
                <w:sz w:val="17"/>
              </w:rPr>
              <w:t>4,481</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78,70 milliards FCFA, LNBB se positionne comme une valeur de taille moyenne sur le compartiment des sociétés non bancaires de la BRVM, ce qui témoigne d'une liquidité modérée mais d'une réelle présence institutionnelle. Le BPA de 231 FCFA/action indique que chaque titre génère un bénéfice net de 231 FCFA, ce qui, rapporté au cours actuel de 3 935 FCFA, confirme un PER de 17,0x — soit un niveau supérieur à la moyenne du marché BRVM (8-12x), traduisant une prime de qualité et de stabilité accordée par le marché. Le P/B de 3,58x signale que le marché valorise la société à plus de trois fois sa valeur comptable, une prime de croissance justifiée par un ROE de 21,05% (largement supérieur au seuil de 15% considéré comme excellent). Enfin, l'EV/EBITDA de 10,0x, situé dans la fourchette raisonnable de 5-10x, indique que la valeur totale de l'entreprise (incluant sa dette quasi nulle) reste cohérente avec sa capacité opérationnelle à générer du cash,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totale de +1,16%, avec une dernière séance en léger repli de -0,38%, portant le cours actuel à 3 935 FCFA. Le range de trading s'établit entre un plus haut de 4 560 FCFA et un plus bas de 3 700 FCFA, soit une amplitude de 860 FCFA (23,2%) qui révèle une tendance générale haussière mais ponctuée de corrections significatives. Les statistiques descriptives confirment cette dynamique : la moyenne (4 076 FCFA) est légèrement supérieure à la médiane (4 050 FCFA), avec un mode à 4 000 FCFA, suggérant une distribution quasi-symétrique (skewness de 0,457, interprétée comme symétrique) sans biais directionnel marqué. L'écart-type de 192 FCFA (CV = 4,7%) indique une dispersion modérée du cours autour de sa moyenne, tandis que le kurtosis de -0,766 (mésokurtique) signale une distribution proche de la normale, sans risque de pics extrêmes — un profil rassurant pour les investisseurs averses au risque. La volatilité annualisée de 41,4% classe toutefois le titre dans la catégorie des valeurs à volatilité élevée (&gt;30%), ce qui implique une prime de risque nécessaire et un horizon d'investissement adapté.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(3 948 FCFA) est légèrement supérieure au cours actuel (3 935 FCFA), tandis que la MM50 (4 065,8 FCFA) se situe nettement au-dessus, confirmant une pression baissière de court terme. Le croisement baissier (cours sous MM20 et MM50) justifie la décision technique de **Vente**, bien que l'écart reste modéré.</w:t>
      </w:r>
    </w:p>
    <w:p>
      <w:pPr>
        <w:spacing w:after="120" w:line="276" w:lineRule="auto"/>
      </w:pPr>
      <w:r>
        <w:t>**Bandes de Bollinger :** Le cours (3 935 FCFA) évolue dans la partie médiane de la bande, entre la borne inférieure (3 766,5 FCFA) et supérieure (4 129,5 FCFA), sans test des extrêmes. Cette position centrale, couplée à un rétrécissement des bandes, traduit une volatilité contenue et justifie la décision **Neutre**, en attendant une cassure directionnelle.</w:t>
      </w:r>
    </w:p>
    <w:p>
      <w:pPr>
        <w:spacing w:after="120" w:line="276" w:lineRule="auto"/>
      </w:pPr>
      <w:r>
        <w:t>**MACD :** La valeur du MACD (-40,238) est supérieure à son signal (-48,565), générant un croisement haussier (MACD &gt; Signal) qui indique un ralentissement de la dynamique baissière et un possible retournement. Cette configuration justifie la décision **Achat**, bien que le MACD reste en territoire négatif.</w:t>
      </w:r>
    </w:p>
    <w:p>
      <w:pPr>
        <w:spacing w:after="120" w:line="276" w:lineRule="auto"/>
      </w:pPr>
      <w:r>
        <w:t>**RSI :** À 42,487, le RSI se situe dans la zone neutre (30-70), sans signal de surachat (&gt;70) ni de survente (&lt;30). Cette position médiane, légèrement orientée à la baisse, justifie la décision **Neutre** et suggère une absence de pression acheteuse ou vendeuse dominante.</w:t>
      </w:r>
    </w:p>
    <w:p>
      <w:pPr>
        <w:spacing w:after="120" w:line="276" w:lineRule="auto"/>
      </w:pPr>
      <w:r>
        <w:t>**Stochastique :** Le %K (78,333) est supérieur au %D (64,075), avec un croisement haussier récent qui indique une dynamique positive de court terme. Toutefois, la proximité de la zone de surachat (80) incite à la prudence et justifie la décision **Neutre**, en attendant confirmation.</w:t>
      </w:r>
    </w:p>
    <w:p>
      <w:pPr>
        <w:spacing w:after="120" w:line="276" w:lineRule="auto"/>
      </w:pPr>
      <w:r>
        <w:t>**Conclusion technique :** Les indicateurs techniques présentent un tableau mitigé : les moyennes mobiles sont baissières (Vente), le MACD est haussier (Achat), tandis que le RSI, les Bandes de Bollinger et le Stochastique sont neutres. Cette divergence suggère une phase de consolidation sans direction claire, avec un léger avantage aux acheteurs si le MACD confirme son croisement. La prudence reste de mise tant que le cours n'a pas cassé la résistance des 4 065 FCFA (MM50).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LNBB a réalisé un chiffre d'affaires de 98,598 milliards FCFA, en baisse de -3,85% par rapport à 2024, sous l'effet d'une concurrence illégale accrue. Le résultat net s'établit à 4,622 milliards FCFA, avec une marge nette de 4,69%, un ROE de 21,05% (excellent) et un ROA de 14,17%, confirmant la robustesse de la rentabilité des fonds propres et des actifs. La structure financière est très saine : autonomie financière de 67,32%, ratio d'endettement de seulement 2,57%, liquidité générale de 184,84% et trésorerie nette positive de 7,979 milliards FCFA. En tant qu'entreprise non bancaire, les délais d'exploitation sont remarquables : délai clients de 4,82 jours (très faible, donc risque de trésorerie minime), délai fournisseurs de 20,41 jours (favorable à la trésorerie) et durée de stockage de 1,56 jour (rotation quasi instantanée). Le BFR est quasi nul (217,45 millions FCFA), ce qui est exceptionnel pour une entreprise de cette taille.</w:t>
      </w:r>
    </w:p>
    <w:p>
      <w:pPr>
        <w:spacing w:after="120" w:line="276" w:lineRule="auto"/>
      </w:pPr>
      <w:r>
        <w:t>**Estimations basées sur les rapports trimestriels :** Le rapport du T1 2026 (publié le 07/05/2026) indique un CA en hausse de +6% à 25,521 milliards FCFA, mais un résultat net en chute de -46% à 848 millions FCFA, en raison d'un mix produit défavorable (pari sportif à 95% de taux de retour). Le rapport du S1 2026 (publié le 01/08/2026) révèle une reprise spectaculaire : CA de 49,937 milliards FCFA (+4%) et résultat net en hausse de +60%, grâce à la maîtrise des charges et aux revenus de partenariats B2B. On estime donc que l'exercice 2026 devrait afficher un résultat net en croissance à deux chiffres, porté par le déploiement de 1 500 nouveaux terminaux et le lancement de nouveaux produits. Le rapport annuel 2025 (publié le 01/05/2026) confirme la solidité opérationnelle avec une VA en hausse de +22% à 10,548 milliards FCFA et un EBE de 7,164 milliards FCFA (+34%), malgré la baisse du CA. La politique de dividende est attractive : dividende brut de 173 FCFA/action (net de 164 FCFA), soit un rendement de 4,4% au cours actuel, avec un taux de distribution de 80%.</w:t>
      </w:r>
    </w:p>
    <w:p>
      <w:pPr>
        <w:spacing w:after="120" w:line="276" w:lineRule="auto"/>
      </w:pPr>
      <w:r>
        <w:t>**Recommandation fondamentale :** La société présente des fondamentaux solides (ROE &gt;20%, endettement quasi nul, trésorerie abondante) et une stratégie de digitalisation porteuse. Les risques principaux résident dans la concurrence illégale et la dépendance croissante au pari sportif à faible marge. La recommandation fondamentale est **CONSERVER**, avec un biais positif si le S2 2026 confirme la stabilisation du produit brut des jeux.</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(PER 17,0x, P/B 3,58x, EV/EBITDA 10,0x) indique une légère surévaluation par rapport à la moyenne du marché BRVM, mais cette prime est justifiée par un ROE exceptionnel de 21,05% et une structure financière quasi sans dette. Le comportement du cours sur 100 jours (+1,16%) révèle une tendance haussière fragile, avec une volatilité élevée (41,4%) mais une distribution symétrique (skewness 0,457) et sans risque de pics extrêmes (kurtosis -0,766), ce qui est rassurant pour un investisseur de moyen terme. Les signaux techniques sont divergents : les moyennes mobiles sont baissières, le MACD est haussier, et le RSI/Stochastique sont neutres, suggérant une phase de consolidation sans direction claire. Les fondamentaux sont solides (CA 98,6 Mds FCFA en 2025, RN 4,62 Mds FCFA, ROE 21,05%) et les rapports trimestriels 2026 (T1 et S1) montrent une reprise de la rentabilité (+60% au S1), ce qui devrait soutenir le titre à moyen terme. Les prédictions IA (J+1 à J+10) anticipent une stabilisation autour de 3 930-3 939 FCFA, confirmant l'absence de catalyseur court terme mais une stabilité relative. **Recommandation finale : CONSERVER**, avec un niveau de confiance **Moyen** et un risque global **Moyen**. L'horizon d'investissement optimal est le **moyen terme (3-12 mois)**, en attendant la confirmation de l'amélioration du mix produit et de la pérennité des revenus de partenariats au S2 2026. Un renforcement serait justifié si le cours casse la résistance des 4 065 FCFA (MM50) avec des volumes significatifs.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27.45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2,365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007800"/>
                <w:sz w:val="17"/>
              </w:rPr>
              <w:t>+10.82%</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12.22% (Moyenne) — μ=2,315 FCFA, σ=283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β=0.0502 (Défensif) — Cov=0.000004, Var(idx)=0.000073, ρ=0.013,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2,028</w:t>
            </w:r>
          </w:p>
        </w:tc>
        <w:tc>
          <w:tcPr>
            <w:tcW w:type="dxa" w:w="1440"/>
            <w:shd w:fill="FAFAFA" w:val="clear"/>
          </w:tcPr>
          <w:p>
            <w:r>
              <w:rPr>
                <w:b/>
                <w:sz w:val="17"/>
              </w:rPr>
              <w:t>2,146</w:t>
            </w:r>
          </w:p>
        </w:tc>
        <w:tc>
          <w:tcPr>
            <w:tcW w:type="dxa" w:w="1440"/>
            <w:shd w:fill="FAFAFA" w:val="clear"/>
          </w:tcPr>
          <w:p>
            <w:r>
              <w:rPr>
                <w:sz w:val="17"/>
              </w:rPr>
              <w:t>2,264</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1,967</w:t>
            </w:r>
          </w:p>
        </w:tc>
        <w:tc>
          <w:tcPr>
            <w:tcW w:type="dxa" w:w="1440"/>
            <w:shd w:fill="FAFAFA" w:val="clear"/>
          </w:tcPr>
          <w:p>
            <w:r>
              <w:rPr>
                <w:b/>
                <w:sz w:val="17"/>
              </w:rPr>
              <w:t>2,132</w:t>
            </w:r>
          </w:p>
        </w:tc>
        <w:tc>
          <w:tcPr>
            <w:tcW w:type="dxa" w:w="1440"/>
            <w:shd w:fill="FAFAFA" w:val="clear"/>
          </w:tcPr>
          <w:p>
            <w:r>
              <w:rPr>
                <w:sz w:val="17"/>
              </w:rPr>
              <w:t>2,298</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1,920</w:t>
            </w:r>
          </w:p>
        </w:tc>
        <w:tc>
          <w:tcPr>
            <w:tcW w:type="dxa" w:w="1440"/>
            <w:shd w:fill="FAFAFA" w:val="clear"/>
          </w:tcPr>
          <w:p>
            <w:r>
              <w:rPr>
                <w:b/>
                <w:sz w:val="17"/>
              </w:rPr>
              <w:t>2,122</w:t>
            </w:r>
          </w:p>
        </w:tc>
        <w:tc>
          <w:tcPr>
            <w:tcW w:type="dxa" w:w="1440"/>
            <w:shd w:fill="FAFAFA" w:val="clear"/>
          </w:tcPr>
          <w:p>
            <w:r>
              <w:rPr>
                <w:sz w:val="17"/>
              </w:rPr>
              <w:t>2,324</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1,880</w:t>
            </w:r>
          </w:p>
        </w:tc>
        <w:tc>
          <w:tcPr>
            <w:tcW w:type="dxa" w:w="1440"/>
            <w:shd w:fill="FAFAFA" w:val="clear"/>
          </w:tcPr>
          <w:p>
            <w:r>
              <w:rPr>
                <w:b/>
                <w:sz w:val="17"/>
              </w:rPr>
              <w:t>2,112</w:t>
            </w:r>
          </w:p>
        </w:tc>
        <w:tc>
          <w:tcPr>
            <w:tcW w:type="dxa" w:w="1440"/>
            <w:shd w:fill="FAFAFA" w:val="clear"/>
          </w:tcPr>
          <w:p>
            <w:r>
              <w:rPr>
                <w:sz w:val="17"/>
              </w:rPr>
              <w:t>2,344</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1,843</w:t>
            </w:r>
          </w:p>
        </w:tc>
        <w:tc>
          <w:tcPr>
            <w:tcW w:type="dxa" w:w="1440"/>
            <w:shd w:fill="FFDCE0" w:val="clear"/>
          </w:tcPr>
          <w:p>
            <w:r>
              <w:rPr>
                <w:b/>
                <w:sz w:val="17"/>
              </w:rPr>
              <w:t>2,102</w:t>
            </w:r>
          </w:p>
        </w:tc>
        <w:tc>
          <w:tcPr>
            <w:tcW w:type="dxa" w:w="1440"/>
            <w:shd w:fill="FFDCE0" w:val="clear"/>
          </w:tcPr>
          <w:p>
            <w:r>
              <w:rPr>
                <w:sz w:val="17"/>
              </w:rPr>
              <w:t>2,360</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1,810</w:t>
            </w:r>
          </w:p>
        </w:tc>
        <w:tc>
          <w:tcPr>
            <w:tcW w:type="dxa" w:w="1440"/>
            <w:shd w:fill="FFDCE0" w:val="clear"/>
          </w:tcPr>
          <w:p>
            <w:r>
              <w:rPr>
                <w:b/>
                <w:sz w:val="17"/>
              </w:rPr>
              <w:t>2,092</w:t>
            </w:r>
          </w:p>
        </w:tc>
        <w:tc>
          <w:tcPr>
            <w:tcW w:type="dxa" w:w="1440"/>
            <w:shd w:fill="FFDCE0" w:val="clear"/>
          </w:tcPr>
          <w:p>
            <w:r>
              <w:rPr>
                <w:sz w:val="17"/>
              </w:rPr>
              <w:t>2,374</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1,779</w:t>
            </w:r>
          </w:p>
        </w:tc>
        <w:tc>
          <w:tcPr>
            <w:tcW w:type="dxa" w:w="1440"/>
            <w:shd w:fill="FFDCE0" w:val="clear"/>
          </w:tcPr>
          <w:p>
            <w:r>
              <w:rPr>
                <w:b/>
                <w:sz w:val="17"/>
              </w:rPr>
              <w:t>2,082</w:t>
            </w:r>
          </w:p>
        </w:tc>
        <w:tc>
          <w:tcPr>
            <w:tcW w:type="dxa" w:w="1440"/>
            <w:shd w:fill="FFDCE0" w:val="clear"/>
          </w:tcPr>
          <w:p>
            <w:r>
              <w:rPr>
                <w:sz w:val="17"/>
              </w:rPr>
              <w:t>2,385</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1,751</w:t>
            </w:r>
          </w:p>
        </w:tc>
        <w:tc>
          <w:tcPr>
            <w:tcW w:type="dxa" w:w="1440"/>
            <w:shd w:fill="FFDCE0" w:val="clear"/>
          </w:tcPr>
          <w:p>
            <w:r>
              <w:rPr>
                <w:b/>
                <w:sz w:val="17"/>
              </w:rPr>
              <w:t>2,073</w:t>
            </w:r>
          </w:p>
        </w:tc>
        <w:tc>
          <w:tcPr>
            <w:tcW w:type="dxa" w:w="1440"/>
            <w:shd w:fill="FFDCE0" w:val="clear"/>
          </w:tcPr>
          <w:p>
            <w:r>
              <w:rPr>
                <w:sz w:val="17"/>
              </w:rPr>
              <w:t>2,396</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1,724</w:t>
            </w:r>
          </w:p>
        </w:tc>
        <w:tc>
          <w:tcPr>
            <w:tcW w:type="dxa" w:w="1440"/>
            <w:shd w:fill="FFDCE0" w:val="clear"/>
          </w:tcPr>
          <w:p>
            <w:r>
              <w:rPr>
                <w:b/>
                <w:sz w:val="17"/>
              </w:rPr>
              <w:t>2,065</w:t>
            </w:r>
          </w:p>
        </w:tc>
        <w:tc>
          <w:tcPr>
            <w:tcW w:type="dxa" w:w="1440"/>
            <w:shd w:fill="FFDCE0" w:val="clear"/>
          </w:tcPr>
          <w:p>
            <w:r>
              <w:rPr>
                <w:sz w:val="17"/>
              </w:rPr>
              <w:t>2,405</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1,699</w:t>
            </w:r>
          </w:p>
        </w:tc>
        <w:tc>
          <w:tcPr>
            <w:tcW w:type="dxa" w:w="1440"/>
            <w:shd w:fill="FFDCE0" w:val="clear"/>
          </w:tcPr>
          <w:p>
            <w:r>
              <w:rPr>
                <w:b/>
                <w:sz w:val="17"/>
              </w:rPr>
              <w:t>2,056</w:t>
            </w:r>
          </w:p>
        </w:tc>
        <w:tc>
          <w:tcPr>
            <w:tcW w:type="dxa" w:w="1440"/>
            <w:shd w:fill="FFDCE0" w:val="clear"/>
          </w:tcPr>
          <w:p>
            <w:r>
              <w:rPr>
                <w:sz w:val="17"/>
              </w:rPr>
              <w:t>2,414</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27,45 milliards FCFA, NEIC se situe dans la catégorie des valeurs moyennes de la BRVM, ce qui traduit une liquidité limitée mais une certaine stabilité institutionnelle. Le BPA de 160 FCFA/action indique que chaque titre génère 160 FCFA de bénéfice net, ce qui, rapporté au cours actuel de 2 150 FCFA, donne un PER de 13,5x — légèrement supérieur à la moyenne BRVM (~8-12x), suggérant une valorisation modérément exigeante mais non déraisonnable au regard de la qualité des bénéfices. Le P/B de 4,77x est en revanche nettement supérieur au seuil de 4x, signifiant que le marché valorise l'entreprise à près de cinq fois sa valeur comptable — une prime forte qui suppose une confiance dans la rentabilité future. Enfin, l'EV/EBITDA de 19,9x, bien au-dessus de 15x, confirme que la valeur d'entreprise intègre une anticipation de croissance opérationnelle robuste, ce qui contraste avec la volatilité récente du titre et appelle à la prudence.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variation totale positive de +10,82%, mais la dernière séance (J-1) enregistre un repli de -2,27%, signalant une pression vendeuse de court terme. Le cours actuel de 2 150 FCFA se situe dans la partie basse du range de trading, dont le plus haut atteint 3 000 FCFA et le plus bas 1 900 FCFA — soit un écart de 1 100 FCFA (58% du plus bas), traduisant une forte amplitude. La tendance générale est haussière sur la période, mais le repli récent suggère une correction après un pic. Les statistiques descriptives révèlent une moyenne (2 315 FCFA) supérieure à la médiane (2 272 FCFA), avec un skewness positif de 0,985 indiquant une asymétrie à droite — c'est-à-dire plus de journées sous la moyenne, mais des pics haussiers marqués. L'écart-type de 284 FCFA (CV=12,3%) traduit une dispersion modérée, tandis que le kurtosis de 0,463 (mésokurtique) indique une distribution proche de la normale, sans risque extrême de pics. La volatilité annualisée de 52,6% classe le titre dans la catégorie des valeurs très volatiles (&gt;30%), ce qui implique un risque élevé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(2 415,25 FCFA) et la MM50 (2 476,4 FCFA) sont toutes deux supérieures au cours actuel (2 150 FCFA), avec une MM20 en dessous de la MM50 — configuration baissière classique. La décision technique est donc **Vente**, le cours évoluant sous ses moyennes, ce qui confirme une pression baissière de moyen terme.</w:t>
      </w:r>
    </w:p>
    <w:p>
      <w:pPr>
        <w:spacing w:after="120" w:line="276" w:lineRule="auto"/>
      </w:pPr>
      <w:r>
        <w:t>**Bandes de Bollinger** : Le cours (2 150 FCFA) se situe entre la borne inférieure (1 993,87 FCFA) et la borne supérieure (2 836,63 FCFA), plus proche de la borne basse. La décision est **Neutre**, la volatilité étant contenue dans les bandes, sans signal de survente ou de surachat extrême.</w:t>
      </w:r>
    </w:p>
    <w:p>
      <w:pPr>
        <w:spacing w:after="120" w:line="276" w:lineRule="auto"/>
      </w:pPr>
      <w:r>
        <w:t>**MACD** : La valeur du MACD (-111,084) est inférieure à son signal (-79,337), avec un histogramme négatif — configuration baissière. Le momentum est clairement négatif, justifiant une décision de **Vente**, le MACD n'ayant pas encore amorcé de croisement haussier.</w:t>
      </w:r>
    </w:p>
    <w:p>
      <w:pPr>
        <w:spacing w:after="120" w:line="276" w:lineRule="auto"/>
      </w:pPr>
      <w:r>
        <w:t>**RSI** : À 19,643, le RSI est en zone de **survente** (&lt;30), ce qui déclenche une décision d'**Achat** technique. Cette lecture suggère que le titre pourrait être survendu et qu'un rebond technique est possible à court terme.</w:t>
      </w:r>
    </w:p>
    <w:p>
      <w:pPr>
        <w:spacing w:after="120" w:line="276" w:lineRule="auto"/>
      </w:pPr>
      <w:r>
        <w:t>**Stochastique** : Le %K et le %D sont tous deux à 0,0, en zone de survente extrême, avec une décision d'**Achat**. L'absence de croisement haussier pour l'instant invite à la prudence, mais la position basse indique un potentiel de rebond.</w:t>
      </w:r>
    </w:p>
    <w:p>
      <w:pPr>
        <w:spacing w:after="120" w:line="276" w:lineRule="auto"/>
      </w:pPr>
      <w:r>
        <w:t>**Conclusion technique** : Les indicateurs sont divergents — les moyennes mobiles et le MACD sont baissiers, tandis que le RSI et le stochastique sont en survente et génèrent des signaux d'achat. Cette configuration suggère un possible rebond technique à court terme, mais la tendance de fond reste baissière. La prudence est de mise, avec une confirmation nécessaire par un croisement haussier du MACD ou une cassure de la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structurés de NEIC affichent un chiffre d'affaires de 5,139 milliards FCFA, un résultat net de 2,037 milliards FCFA, un ROE exceptionnel de 35,39% et un ROA de 27,25% — des niveaux de rentabilité très élevés. La marge nette de 39,63% et la marge opérationnelle de 23,60% témoignent d'une excellente maîtrise des coûts, tandis que l'autonomie financière de 77,01% et la solvabilité générale de 435% confirment une structure bilancielle très saine. Cependant, le taux de croissance du CA est négatif (-23,80%), signalant un recul de l'activité commerciale. Les délais clients de 154,72 jours sont élevés et constituent un risque de trésorerie, bien que la trésorerie nette de 4,196 milliards FCFA et la liquidité immédiate de 257% offrent une marge de sécurité confortable. Le BFR de 1,498 milliard FCFA et le fonds de roulement de 5,693 milliards FCFA indiquent une gestion équilibrée du cycle d'exploitation. Les rapports trimestriels récents nuancent ce tableau : le T1 2025 (rapport du 31/03/2025) affichait un CA de 48,5 millions FCFA en chute de 154% et une perte nette de -189,9 millions FCFA, tandis que le T3 2025 (rapport du 30/09/2025) montrait un CA de 3 406 millions FCFA en baisse de 35% mais un résultat net exceptionnel de 1 596 millions FCFA dû à une reprise de provision. Le rapport du T1 2026 (publié en 2026) révèle un CA de 115,1 millions FCFA en hausse de 137% et une perte nette réduite à -168,9 millions FCFA, suggérant une amorce de redressement. On estime donc que l'exercice 2026 pourrait marquer une stabilisation progressive, mais la dépendance aux éléments non récurrents et la saisonnalité des revenus (concentrés au second semestre) appellent à la vigilance. La recommandation fondamentale est **Conserver**, avec un suivi trimestriel strict pour confirmer la reprise commerciale.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NEIC (PER 13,5x, P/B 4,77x, EV/EBITDA 19,9x) indique une surévaluation relative par rapport aux standards de la BRVM, bien que le PER reste modéré. Le comportement du cours sur 100 jours est haussier (+10,82%) mais avec une volatilité élevée (52,6%) et un skewness positif (0,985) qui traduit des pics haussiers suivis de corrections — un profil risqué. Les signaux techniques sont divergents : les moyennes mobiles et le MACD sont baissiers, tandis que le RSI (19,6) et le stochastique (0,0) sont en survente extrême, suggérant un rebond technique imminent mais fragile. Les fondamentaux sont solides (ROE 35,4%, ROA 27,3%, autonomie financière 77%) mais entachés par un recul du CA (-23,8%) et des délais clients élevés (154,7 jours), même si les rapports T1 2026 montrent une amélioration du CA (+137%) et une réduction des pertes. Les prédictions IA anticipent une poursuite de la baisse (2 146 FCFA à J+1, 2 102 FCFA à J+5), ce qui contredit les signaux d'achat techniques à court terme mais confirme la tendance baissière de fond. Sur la base de cette synthèse, la recommandation finale est **CONSERVER**, avec un niveau de confiance **Moyen** et un risque global **Élevé**. L'horizon d'investissement optimal est le **moyen terme (3-12 mois)**, en attendant une confirmation de la reprise commerciale et un apaisement de la volatilité. Un passage à l'achat serait justifié si le cours casse la MM20 (2 415 FCFA) à la hausse avec un volume significatif, ou si les prochains rapports trimestriels confirment la dynamique positive du T1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518.93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2,945 titres</w:t>
            </w:r>
          </w:p>
        </w:tc>
        <w:tc>
          <w:tcPr>
            <w:tcW w:type="dxa" w:w="2268"/>
            <w:shd w:fill="FFF2CC" w:val="clear"/>
          </w:tcPr>
          <w:p>
            <w:r>
              <w:rPr>
                <w:b/>
                <w:color w:val="503200"/>
                <w:sz w:val="16"/>
              </w:rPr>
              <w:t xml:space="preserve">Cours actuel : </w:t>
            </w:r>
            <w:r>
              <w:rPr>
                <w:color w:val="000000"/>
                <w:sz w:val="17"/>
              </w:rPr>
              <w:t>20,980 FCFA</w:t>
            </w:r>
          </w:p>
          <w:p>
            <w:r>
              <w:rPr>
                <w:b/>
                <w:color w:val="503200"/>
                <w:sz w:val="16"/>
              </w:rPr>
              <w:t xml:space="preserve">Var. 100 jours : </w:t>
            </w:r>
            <w:r>
              <w:rPr>
                <w:b/>
                <w:color w:val="007800"/>
                <w:sz w:val="17"/>
              </w:rPr>
              <w:t>+34.06%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15,650 FCFA</w:t>
            </w:r>
          </w:p>
          <w:p>
            <w:r>
              <w:rPr>
                <w:b/>
                <w:color w:val="503200"/>
                <w:sz w:val="16"/>
              </w:rPr>
              <w:t xml:space="preserve">Volatilité ann. : </w:t>
            </w:r>
            <w:r>
              <w:rPr>
                <w:color w:val="000000"/>
                <w:sz w:val="17"/>
              </w:rPr>
              <w:t>40.7%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9.95% (Moyenne) — μ=21,505 FCFA, σ=2,140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β=1.2562 (Agressif) — Cov=0.000092, Var(idx)=0.000073, ρ=0.416,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2,945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σ_j=2.56%/j (Stable) — Vol. annualisée≈40.7%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19,703</w:t>
            </w:r>
          </w:p>
        </w:tc>
        <w:tc>
          <w:tcPr>
            <w:tcW w:type="dxa" w:w="1440"/>
            <w:shd w:fill="FAFAFA" w:val="clear"/>
          </w:tcPr>
          <w:p>
            <w:r>
              <w:rPr>
                <w:b/>
                <w:sz w:val="17"/>
              </w:rPr>
              <w:t>20,674</w:t>
            </w:r>
          </w:p>
        </w:tc>
        <w:tc>
          <w:tcPr>
            <w:tcW w:type="dxa" w:w="1440"/>
            <w:shd w:fill="FAFAFA" w:val="clear"/>
          </w:tcPr>
          <w:p>
            <w:r>
              <w:rPr>
                <w:sz w:val="17"/>
              </w:rPr>
              <w:t>21,646</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2026-10-13</w:t>
            </w:r>
          </w:p>
        </w:tc>
        <w:tc>
          <w:tcPr>
            <w:tcW w:type="dxa" w:w="1440"/>
            <w:shd w:fill="FFDCE0" w:val="clear"/>
          </w:tcPr>
          <w:p>
            <w:r>
              <w:rPr>
                <w:sz w:val="17"/>
              </w:rPr>
              <w:t>19,083</w:t>
            </w:r>
          </w:p>
        </w:tc>
        <w:tc>
          <w:tcPr>
            <w:tcW w:type="dxa" w:w="1440"/>
            <w:shd w:fill="FFDCE0" w:val="clear"/>
          </w:tcPr>
          <w:p>
            <w:r>
              <w:rPr>
                <w:b/>
                <w:sz w:val="17"/>
              </w:rPr>
              <w:t>20,441</w:t>
            </w:r>
          </w:p>
        </w:tc>
        <w:tc>
          <w:tcPr>
            <w:tcW w:type="dxa" w:w="1440"/>
            <w:shd w:fill="FFDCE0" w:val="clear"/>
          </w:tcPr>
          <w:p>
            <w:r>
              <w:rPr>
                <w:sz w:val="17"/>
              </w:rPr>
              <w:t>21,799</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18,573</w:t>
            </w:r>
          </w:p>
        </w:tc>
        <w:tc>
          <w:tcPr>
            <w:tcW w:type="dxa" w:w="1440"/>
            <w:shd w:fill="FFDCE0" w:val="clear"/>
          </w:tcPr>
          <w:p>
            <w:r>
              <w:rPr>
                <w:b/>
                <w:sz w:val="17"/>
              </w:rPr>
              <w:t>20,219</w:t>
            </w:r>
          </w:p>
        </w:tc>
        <w:tc>
          <w:tcPr>
            <w:tcW w:type="dxa" w:w="1440"/>
            <w:shd w:fill="FFDCE0" w:val="clear"/>
          </w:tcPr>
          <w:p>
            <w:r>
              <w:rPr>
                <w:sz w:val="17"/>
              </w:rPr>
              <w:t>21,865</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18,126</w:t>
            </w:r>
          </w:p>
        </w:tc>
        <w:tc>
          <w:tcPr>
            <w:tcW w:type="dxa" w:w="1440"/>
            <w:shd w:fill="FFDCE0" w:val="clear"/>
          </w:tcPr>
          <w:p>
            <w:r>
              <w:rPr>
                <w:b/>
                <w:sz w:val="17"/>
              </w:rPr>
              <w:t>20,006</w:t>
            </w:r>
          </w:p>
        </w:tc>
        <w:tc>
          <w:tcPr>
            <w:tcW w:type="dxa" w:w="1440"/>
            <w:shd w:fill="FFDCE0" w:val="clear"/>
          </w:tcPr>
          <w:p>
            <w:r>
              <w:rPr>
                <w:sz w:val="17"/>
              </w:rPr>
              <w:t>21,886</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17,716</w:t>
            </w:r>
          </w:p>
        </w:tc>
        <w:tc>
          <w:tcPr>
            <w:tcW w:type="dxa" w:w="1440"/>
            <w:shd w:fill="FFDCE0" w:val="clear"/>
          </w:tcPr>
          <w:p>
            <w:r>
              <w:rPr>
                <w:b/>
                <w:sz w:val="17"/>
              </w:rPr>
              <w:t>19,796</w:t>
            </w:r>
          </w:p>
        </w:tc>
        <w:tc>
          <w:tcPr>
            <w:tcW w:type="dxa" w:w="1440"/>
            <w:shd w:fill="FFDCE0" w:val="clear"/>
          </w:tcPr>
          <w:p>
            <w:r>
              <w:rPr>
                <w:sz w:val="17"/>
              </w:rPr>
              <w:t>21,876</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17,335</w:t>
            </w:r>
          </w:p>
        </w:tc>
        <w:tc>
          <w:tcPr>
            <w:tcW w:type="dxa" w:w="1440"/>
            <w:shd w:fill="FFDCE0" w:val="clear"/>
          </w:tcPr>
          <w:p>
            <w:r>
              <w:rPr>
                <w:b/>
                <w:sz w:val="17"/>
              </w:rPr>
              <w:t>19,590</w:t>
            </w:r>
          </w:p>
        </w:tc>
        <w:tc>
          <w:tcPr>
            <w:tcW w:type="dxa" w:w="1440"/>
            <w:shd w:fill="FFDCE0" w:val="clear"/>
          </w:tcPr>
          <w:p>
            <w:r>
              <w:rPr>
                <w:sz w:val="17"/>
              </w:rPr>
              <w:t>21,845</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16,976</w:t>
            </w:r>
          </w:p>
        </w:tc>
        <w:tc>
          <w:tcPr>
            <w:tcW w:type="dxa" w:w="1440"/>
            <w:shd w:fill="FFDCE0" w:val="clear"/>
          </w:tcPr>
          <w:p>
            <w:r>
              <w:rPr>
                <w:b/>
                <w:sz w:val="17"/>
              </w:rPr>
              <w:t>19,386</w:t>
            </w:r>
          </w:p>
        </w:tc>
        <w:tc>
          <w:tcPr>
            <w:tcW w:type="dxa" w:w="1440"/>
            <w:shd w:fill="FFDCE0" w:val="clear"/>
          </w:tcPr>
          <w:p>
            <w:r>
              <w:rPr>
                <w:sz w:val="17"/>
              </w:rPr>
              <w:t>21,797</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16,635</w:t>
            </w:r>
          </w:p>
        </w:tc>
        <w:tc>
          <w:tcPr>
            <w:tcW w:type="dxa" w:w="1440"/>
            <w:shd w:fill="FFDCE0" w:val="clear"/>
          </w:tcPr>
          <w:p>
            <w:r>
              <w:rPr>
                <w:b/>
                <w:sz w:val="17"/>
              </w:rPr>
              <w:t>19,185</w:t>
            </w:r>
          </w:p>
        </w:tc>
        <w:tc>
          <w:tcPr>
            <w:tcW w:type="dxa" w:w="1440"/>
            <w:shd w:fill="FFDCE0" w:val="clear"/>
          </w:tcPr>
          <w:p>
            <w:r>
              <w:rPr>
                <w:sz w:val="17"/>
              </w:rPr>
              <w:t>21,735</w:t>
            </w:r>
          </w:p>
        </w:tc>
        <w:tc>
          <w:tcPr>
            <w:tcW w:type="dxa" w:w="1440"/>
            <w:shd w:fill="FFDCE0" w:val="clear"/>
          </w:tcPr>
          <w:p>
            <w:r>
              <w:rPr>
                <w:b/>
                <w:color w:val="C00000"/>
                <w:sz w:val="17"/>
              </w:rPr>
              <w:t>-8.6%</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16,310</w:t>
            </w:r>
          </w:p>
        </w:tc>
        <w:tc>
          <w:tcPr>
            <w:tcW w:type="dxa" w:w="1440"/>
            <w:shd w:fill="FFDCE0" w:val="clear"/>
          </w:tcPr>
          <w:p>
            <w:r>
              <w:rPr>
                <w:b/>
                <w:sz w:val="17"/>
              </w:rPr>
              <w:t>18,987</w:t>
            </w:r>
          </w:p>
        </w:tc>
        <w:tc>
          <w:tcPr>
            <w:tcW w:type="dxa" w:w="1440"/>
            <w:shd w:fill="FFDCE0" w:val="clear"/>
          </w:tcPr>
          <w:p>
            <w:r>
              <w:rPr>
                <w:sz w:val="17"/>
              </w:rPr>
              <w:t>21,663</w:t>
            </w:r>
          </w:p>
        </w:tc>
        <w:tc>
          <w:tcPr>
            <w:tcW w:type="dxa" w:w="1440"/>
            <w:shd w:fill="FFDCE0" w:val="clear"/>
          </w:tcPr>
          <w:p>
            <w:r>
              <w:rPr>
                <w:b/>
                <w:color w:val="C00000"/>
                <w:sz w:val="17"/>
              </w:rPr>
              <w:t>-9.5%</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15,998</w:t>
            </w:r>
          </w:p>
        </w:tc>
        <w:tc>
          <w:tcPr>
            <w:tcW w:type="dxa" w:w="1440"/>
            <w:shd w:fill="FFDCE0" w:val="clear"/>
          </w:tcPr>
          <w:p>
            <w:r>
              <w:rPr>
                <w:b/>
                <w:sz w:val="17"/>
              </w:rPr>
              <w:t>18,790</w:t>
            </w:r>
          </w:p>
        </w:tc>
        <w:tc>
          <w:tcPr>
            <w:tcW w:type="dxa" w:w="1440"/>
            <w:shd w:fill="FFDCE0" w:val="clear"/>
          </w:tcPr>
          <w:p>
            <w:r>
              <w:rPr>
                <w:sz w:val="17"/>
              </w:rPr>
              <w:t>21,582</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 RAPPORT D'ANALYSE FINANCIÈRE — NSIA BANQUE CI (NSBC)</w:t>
        <w:br/>
        <w:t>**Bourse Régionale des Valeurs Mobilières (BRVM) — Secteur : Banque**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**518,93 milliards FCFA**, NSBC s'impose comme l'une des valeurs bancaires les plus capitalisées de la cote BRVM, ce qui traduit une forte confiance institutionnelle et une liquidité relative sur le marché régional. Le **BPA de 1 646 FCFA/action** signifie que chaque titre génère près de 1 646 FCFA de bénéfice net, un niveau élevé qui reflète la rentabilité robuste de la banque. Le **PER de 12,7x** se situe légèrement au-dessus de la moyenne BRVM (8-12x), indiquant que le marché paie une prime modérée pour cette valeur de qualité, sans pour autant tomber dans une surévaluation manifeste. Le **P/B de 2,22x** montre que le marché valorise NSBC à plus du double de sa valeur comptable, ce qui est cohérent avec une banque affichant un ROE de 17,45% (largement supérieur au coût des fonds propres). En revanche, l'**EV/EBITDA de 20,5x** apparaît très exigeant (&gt;15x), signalant que la valeur d'entreprise intègre déjà une part importante de la croissance future — un point de vigilance pour les investisseurs.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affiche une **variation totale de +34,06%**, confirmant une dynamique haussière soutenue, même si la dernière séance (J-1) marque un léger repli de **-0,10%**, signe d'une pause dans le mouvement acheteur. Le cours actuel de **20 980 FCFA** se situe dans la partie médiane du range de trading, entre un plus bas de **15 650 FCFA** et un plus haut de **24 885 FCFA**, soit une amplitude de près de 59% — traduisant une forte volatilité directionnelle. La tendance générale reste donc haussière, portée par des fondamentaux solides, mais le titre semble actuellement en phase de consolidation après avoir testé ses sommets. Les statistiques descriptives révèlent une **moyenne de 21 505 FCFA** légèrement inférieure à la **médiane de 22 000 FCFA**, ce qui suggère une asymétrie négative modérée (cohérente avec le **skewness de -0,448**, indiqué comme symétrique dans les données) : les baisses récentes tirent la moyenne vers le bas. L'**écart-type de 2 151 FCFA** avec un **CV de 10,0%** indique une dispersion modérée autour de la moyenne, tandis que le **kurtosis de -0,828** (mésokurtique) suggère une distribution proche de la normale, donc un risque de pics extrêmes relativement contenu. Enfin, la **volatilité annualisée de 40,7%** positionne NSBC dans la catégorie des titres à volatilité élevée (&gt;30%), ce qui implique un risque de marché significatif mais aussi des opportunités de trading.</w:t>
      </w:r>
    </w:p>
    <w:p>
      <w:pPr>
        <w:spacing w:after="120" w:line="276" w:lineRule="auto"/>
      </w:pPr>
      <w:r>
        <w:t>---</w:t>
      </w:r>
    </w:p>
    <w:p>
      <w:pPr>
        <w:spacing w:after="120" w:line="276" w:lineRule="auto"/>
      </w:pPr>
      <w:r>
        <w:t>## PARTIE 2 : ANALYSE TECHNIQUE DÉTAILLÉE</w:t>
      </w:r>
    </w:p>
    <w:p>
      <w:pPr>
        <w:spacing w:after="120" w:line="276" w:lineRule="auto"/>
      </w:pPr>
      <w:r>
        <w:t>**Moyennes Mobiles** — La MM20 (22 564,5 FCFA) et la MM50 (23 033,8 FCFA) se situent toutes deux **au-dessus du cours actuel** (20 980 FCFA), ce qui confirme une configuration baissière de court terme : le titre évolue sous ses moyennes, signalant une pression vendeuse persistante. La MM20 étant elle-même inférieure à la MM50, on observe un croisement baissier (death cross), ce qui justifie pleinement la **décision de Vente** émise par cet indicateur.</w:t>
      </w:r>
    </w:p>
    <w:p>
      <w:pPr>
        <w:spacing w:after="120" w:line="276" w:lineRule="auto"/>
      </w:pPr>
      <w:r>
        <w:t>**Bandes de Bollinger** — Le cours (20 980 FCFA) se situe **au-dessus de la borne inférieure** (19 730,9 FCFA) mais **nettement en dessous de la borne supérieure** (25 398,1 FCFA), ce qui le place dans la moitié basse du canal. L'écart entre les bornes reste large, traduisant une volatilité encore élevée. La **décision Neutre** s'explique par l'absence de signal extrême : le titre n'est ni en survente technique (proche borne basse), ni en surachat.</w:t>
      </w:r>
    </w:p>
    <w:p>
      <w:pPr>
        <w:spacing w:after="120" w:line="276" w:lineRule="auto"/>
      </w:pPr>
      <w:r>
        <w:t>**MACD** — La valeur du MACD (**-616,764**) est **inférieure à son signal** (**-430,282**), avec un histogramme négatif, ce qui confirme un **momentum baissier** toujours actif. La divergence négative entre MACD et signal justifie la **décision de Vente**, bien que l'ampleur de l'écart suggère que la pression baissière pourrait s'atténuer prochainement.</w:t>
      </w:r>
    </w:p>
    <w:p>
      <w:pPr>
        <w:spacing w:after="120" w:line="276" w:lineRule="auto"/>
      </w:pPr>
      <w:r>
        <w:t>**RSI** — Avec une valeur de **28,245**, le RSI se situe **en zone de survente** (seuil &lt;30), ce qui déclenche une **décision d'Achat** : le titre apparaît techniquement survendu et pourrait rebondir à court terme. C'est un signal contrarien important qui contraste avec les signaux baissiers des MM et du MACD.</w:t>
      </w:r>
    </w:p>
    <w:p>
      <w:pPr>
        <w:spacing w:after="120" w:line="276" w:lineRule="auto"/>
      </w:pPr>
      <w:r>
        <w:t>**Stochastique** — Le %K (**6,145**) et le %D (**5,393**) sont tous deux **très bas**, en zone de survente extrême (&lt;20), avec un %K légèrement au-dessus du %D. Cette configuration précède souvent un croisement haussier imminent, justifiant la **décision d'Achat** de cet oscillateur.</w:t>
      </w:r>
    </w:p>
    <w:p>
      <w:pPr>
        <w:spacing w:after="120" w:line="276" w:lineRule="auto"/>
      </w:pPr>
      <w:r>
        <w:t>**Conclusion technique** — Les indicateurs présentent une **divergence notable** : les moyennes mobiles et le MACD confirment une tendance baissière de fond, tandis que le RSI et le Stochastique signalent une survente extrême propice à un rebond technique. Cette configuration suggère que le titre pourrait connaître une **phase de rebond à court terme** après la correction récente, mais la tendance de moyen terme reste fragile tant que le cours n'aura pas reconquis la MM20 (22 564 FCFA). La prudence est de mise : un rebond technique ne vaut pas retournement de tendance.</w:t>
      </w:r>
    </w:p>
    <w:p>
      <w:pPr>
        <w:spacing w:after="120" w:line="276" w:lineRule="auto"/>
      </w:pPr>
      <w:r>
        <w:t>---</w:t>
      </w:r>
    </w:p>
    <w:p>
      <w:pPr>
        <w:spacing w:after="120" w:line="276" w:lineRule="auto"/>
      </w:pPr>
      <w:r>
        <w:t>## PARTIE 3 : ANALYSE FONDAMENTALE</w:t>
      </w:r>
    </w:p>
    <w:p>
      <w:pPr>
        <w:spacing w:after="120" w:line="276" w:lineRule="auto"/>
      </w:pPr>
      <w:r>
        <w:t>**Données structurées (exercice 2025)** — NSIA Banque CI affiche un **Produit Net Bancaire (PNB) de 112,928 milliards FCFA** en 2025, en croissance de **+15,45%** par rapport à 2024 (97,8 Mds FCFA), portée par une marge d'intérêt en hausse de 26%. Le **résultat net s'établit à 40,712 milliards FCFA**, avec une **marge nette de 36,05%** — un niveau exceptionnel qui témoigne d'une excellente transformation du produit bancaire en profit. Le **ROE de 17,45%** (&gt;15%, seuil d'excellence) et le **ROA de 1,32%** confirment la rentabilité élevée de la banque. Le **coefficient d'exploitation de 54,59%** (&lt;60%) indique une **efficacité opérationnelle satisfaisante**, en amélioration de 5,1 points selon le rapport annuel 2025 (daté du 31/12/2025). Le **coût du risque de 7,54%** (provisions/charges financières) reste un point de vigilance, reflétant une dégradation du coût net du risque passé de +0,6 Md FCFA (reprise en 2024) à -8,5 Mds FCFA (dotation en 2025), comme le souligne le rapport annuel 2025. La structure financière montre une **autonomie financière de 7,59%** (faible mais normale pour une banque) et un **ratio d'endettement de 227,9%**, typique du modèle bancaire où les dépôts clientèle (2 242 Mds FCFA) financent les créances (1 818,7 Mds FCFA), avec un **ratio de transformation de 81%** — sain et maîtrisé.</w:t>
      </w:r>
    </w:p>
    <w:p>
      <w:pPr>
        <w:spacing w:after="120" w:line="276" w:lineRule="auto"/>
      </w:pPr>
      <w:r>
        <w:t>**Estimations basées sur les rapports trimestriels** — Le **rapport T1 2026 (daté du 31/03/2026)** révèle une **accélération spectaculaire** : PNB de 28,615 Mds FCFA (+28% sur un an), résultat net de 10,912 Mds FCFA (**+53%**), et marge nette de 38,1% (vs 31,9% au T1 2025). Sur cette base, on peut **estimer** que l'exercice 2026 devrait enregistrer un PNB annualisé proche de **120-125 Mds FCFA** et un résultat net de **45-48 Mds FCFA**, soit une croissance de 10-18% — sous réserve que la dynamique de l'activité titres (principal moteur du T1) se maintienne. Le **rapport S1 2025 (daté du 30/06/2025)** confirmait déjà cette tendance avec un PNB de 50,5 Mds FCFA (+10,6%) et un résultat net de 16,3 Mds FCFA (+12,3%), tandis que le **rapport T3 2025 (daté du 30/09/2025)** affichait un PNB cumulé de 77,4 Mds FCFA (+7%) et un résultat net de 25,0 Mds FCFA (+6%). L'évolution trimestrielle montre donc une **accélération progressive** de la croissance, culminant avec le T1 2026 exceptionnel.</w:t>
      </w:r>
    </w:p>
    <w:p>
      <w:pPr>
        <w:spacing w:after="120" w:line="276" w:lineRule="auto"/>
      </w:pPr>
      <w:r>
        <w:t>**Recommandation fondamentale** — NSBC présente des **fondamentaux solides et en amélioration** : croissance du PNB, rentabilité élevée (ROE &gt;17%), efficacité opérationnelle maîtrisée et bilan en expansion (+22% en 2025). Les **risques principaux** résident dans la concentration de la performance sur l'activité titres (volatile), le léger recul des crédits nets (-4% au T1 2026) et la dégradation du coût du risque. La **recommandation fondamentale est CONSERVER**, avec un biais positif : la valeur est de qualité, mais l'absence d'information sur le dividende et la dépendance aux revenus de titres incitent à la prudence avant tout renforcement massif.</w:t>
      </w:r>
    </w:p>
    <w:p>
      <w:pPr>
        <w:spacing w:after="120" w:line="276" w:lineRule="auto"/>
      </w:pPr>
      <w:r>
        <w:t>---</w:t>
      </w:r>
    </w:p>
    <w:p>
      <w:pPr>
        <w:spacing w:after="120" w:line="276" w:lineRule="auto"/>
      </w:pPr>
      <w:r>
        <w:t>## PARTIE 4 : CONCLUSION D'INVESTISSEMENT</w:t>
      </w:r>
    </w:p>
    <w:p>
      <w:pPr>
        <w:spacing w:after="120" w:line="276" w:lineRule="auto"/>
      </w:pPr>
      <w:r>
        <w:t>La **valorisation (Partie 0)** apparaît **modérément exigeante** : le PER de 12,7x est légèrement supérieur à la moyenne BRVM, et l'EV/EBITDA de 20,5x intègre déjà une forte croissance future, ce qui limite le potentiel de réévaluation à court terme. Le **comportement du cours (Partie 1)** montre une tendance haussière de fond (+34% sur 100 jours) mais une **correction récente** avec une volatilité élevée (40,7%) et une asymétrie négative modérée — des statistiques qui suggèrent une phase de consolidation plutôt qu'un effondrement. Les **signaux techniques (Partie 2)** sont **divergents** : baissiers pour les MM et le MACD, mais haussiers pour le RSI (28,2) et le Stochastique (6,1), tous deux en survente extrême — ce qui plaide pour un **rebond technique à court terme**. Les **fondamentaux (Partie 3)** sont **robustes** : PNB +15,4% en 2025, résultat net de 40,7 Mds FCFA, ROE de 17,45%, et un T1 2026 exceptionnel (+53% de résultat net) qui laisse présager une année 2026 très favorable. Les **prédictions IA (J+1 à J+10)** anticipent une **poursuite de la baisse** (20 674 → 19 796 FCFA), ce qui **contredit** les signaux de survente du RSI et du Stochastique, mais **confirme** la tendance baissière des MM et du MACD.</w:t>
      </w:r>
    </w:p>
    <w:p>
      <w:pPr>
        <w:spacing w:after="120" w:line="276" w:lineRule="auto"/>
      </w:pPr>
      <w:r>
        <w:t>**Synthèse globale** — On observe une **divergence entre le court terme (technique baissier, prédictions IA baissières) et le moyen/long terme (fondamentaux solides, survente propice à un rebond)** . La valorisation n'offre pas de marge de sécurité évidente, mais la qualité des fondamentaux et la dynamique du T1 2026 justifient une exposition prudente.</w:t>
      </w:r>
    </w:p>
    <w:p>
      <w:pPr>
        <w:spacing w:after="120" w:line="276" w:lineRule="auto"/>
      </w:pPr>
      <w:r>
        <w:t>**Recommandation finale : CONSERVER**</w:t>
        <w:br/>
        <w:t>- **Justification** : La convergence des signaux baissiers à court terme (MM, MACD, prédictions IA) et la valorisation exigeante (EV/EBITDA 20,5x) incitent à la prudence immédiate. Cependant, les fondamentaux solides (ROE 17,45%, croissance du PNB, T1 2026 exceptionnel) et la survente technique (RSI 28,2, Stochastique 6,1) plaident pour **ne pas vendre** et attendre un rebond pour alléger ou renforcer.</w:t>
        <w:br/>
        <w:t>- **Niveau de confiance** : **Moyen** — les signaux sont contradictoires, ce qui réduit la visibilité.</w:t>
        <w:br/>
        <w:t>- **Niveau de risque global** : **Élevé** — volatilité de 40,7%, dépendance à l'activité titres, et coût du risque en hausse.</w:t>
        <w:br/>
        <w:t>- **Horizon d'investissement optimal** : **Moyen terme (3-12 mois)** — le temps que la correction technique s'achève et que les résultats semestriels 2026 confirment la tendance haussière des fondamentaux.</w:t>
      </w:r>
    </w:p>
    <w:p>
      <w:pPr>
        <w:spacing w:after="120" w:line="276" w:lineRule="auto"/>
      </w:pPr>
      <w:r>
        <w: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331.06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1,294 titres</w:t>
            </w:r>
          </w:p>
        </w:tc>
        <w:tc>
          <w:tcPr>
            <w:tcW w:type="dxa" w:w="2268"/>
            <w:shd w:fill="FFF2CC" w:val="clear"/>
          </w:tcPr>
          <w:p>
            <w:r>
              <w:rPr>
                <w:b/>
                <w:color w:val="503200"/>
                <w:sz w:val="16"/>
              </w:rPr>
              <w:t xml:space="preserve">Cours actuel : </w:t>
            </w:r>
            <w:r>
              <w:rPr>
                <w:color w:val="000000"/>
                <w:sz w:val="17"/>
              </w:rPr>
              <w:t>15,000 FCFA</w:t>
            </w:r>
          </w:p>
          <w:p>
            <w:r>
              <w:rPr>
                <w:b/>
                <w:color w:val="503200"/>
                <w:sz w:val="16"/>
              </w:rPr>
              <w:t xml:space="preserve">Var. 100 jours : </w:t>
            </w:r>
            <w:r>
              <w:rPr>
                <w:b/>
                <w:color w:val="007800"/>
                <w:sz w:val="17"/>
              </w:rPr>
              <w:t>+25.52%</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11,800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9.01% (Moyenne) — μ=15,606 FCFA, σ=1,407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β=0.4418 (Défensif) — Cov=0.000032, Var(idx)=0.000073, ρ=0.165,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2026-10-12</w:t>
            </w:r>
          </w:p>
        </w:tc>
        <w:tc>
          <w:tcPr>
            <w:tcW w:type="dxa" w:w="1440"/>
            <w:shd w:fill="C6EFCE" w:val="clear"/>
          </w:tcPr>
          <w:p>
            <w:r>
              <w:rPr>
                <w:sz w:val="17"/>
              </w:rPr>
              <w:t>14,536</w:t>
            </w:r>
          </w:p>
        </w:tc>
        <w:tc>
          <w:tcPr>
            <w:tcW w:type="dxa" w:w="1440"/>
            <w:shd w:fill="C6EFCE" w:val="clear"/>
          </w:tcPr>
          <w:p>
            <w:r>
              <w:rPr>
                <w:b/>
                <w:sz w:val="17"/>
              </w:rPr>
              <w:t>15,308</w:t>
            </w:r>
          </w:p>
        </w:tc>
        <w:tc>
          <w:tcPr>
            <w:tcW w:type="dxa" w:w="1440"/>
            <w:shd w:fill="C6EFCE" w:val="clear"/>
          </w:tcPr>
          <w:p>
            <w:r>
              <w:rPr>
                <w:sz w:val="17"/>
              </w:rPr>
              <w:t>16,080</w:t>
            </w:r>
          </w:p>
        </w:tc>
        <w:tc>
          <w:tcPr>
            <w:tcW w:type="dxa" w:w="1440"/>
            <w:shd w:fill="C6EFCE" w:val="clear"/>
          </w:tcPr>
          <w:p>
            <w:r>
              <w:rPr>
                <w:b/>
                <w:color w:val="008000"/>
                <w:sz w:val="17"/>
              </w:rPr>
              <w:t>+2.1%</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14,187</w:t>
            </w:r>
          </w:p>
        </w:tc>
        <w:tc>
          <w:tcPr>
            <w:tcW w:type="dxa" w:w="1440"/>
            <w:shd w:fill="FAFAFA" w:val="clear"/>
          </w:tcPr>
          <w:p>
            <w:r>
              <w:rPr>
                <w:b/>
                <w:sz w:val="17"/>
              </w:rPr>
              <w:t>15,276</w:t>
            </w:r>
          </w:p>
        </w:tc>
        <w:tc>
          <w:tcPr>
            <w:tcW w:type="dxa" w:w="1440"/>
            <w:shd w:fill="FAFAFA" w:val="clear"/>
          </w:tcPr>
          <w:p>
            <w:r>
              <w:rPr>
                <w:sz w:val="17"/>
              </w:rPr>
              <w:t>16,366</w:t>
            </w:r>
          </w:p>
        </w:tc>
        <w:tc>
          <w:tcPr>
            <w:tcW w:type="dxa" w:w="1440"/>
            <w:shd w:fill="FAFAFA" w:val="clear"/>
          </w:tcPr>
          <w:p>
            <w:r>
              <w:rPr>
                <w:b/>
                <w:color w:val="008000"/>
                <w:sz w:val="17"/>
              </w:rPr>
              <w:t>+1.8%</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13,929</w:t>
            </w:r>
          </w:p>
        </w:tc>
        <w:tc>
          <w:tcPr>
            <w:tcW w:type="dxa" w:w="1440"/>
            <w:shd w:fill="FAFAFA" w:val="clear"/>
          </w:tcPr>
          <w:p>
            <w:r>
              <w:rPr>
                <w:b/>
                <w:sz w:val="17"/>
              </w:rPr>
              <w:t>15,263</w:t>
            </w:r>
          </w:p>
        </w:tc>
        <w:tc>
          <w:tcPr>
            <w:tcW w:type="dxa" w:w="1440"/>
            <w:shd w:fill="FAFAFA" w:val="clear"/>
          </w:tcPr>
          <w:p>
            <w:r>
              <w:rPr>
                <w:sz w:val="17"/>
              </w:rPr>
              <w:t>16,596</w:t>
            </w:r>
          </w:p>
        </w:tc>
        <w:tc>
          <w:tcPr>
            <w:tcW w:type="dxa" w:w="1440"/>
            <w:shd w:fill="FAFAFA" w:val="clear"/>
          </w:tcPr>
          <w:p>
            <w:r>
              <w:rPr>
                <w:b/>
                <w:color w:val="008000"/>
                <w:sz w:val="17"/>
              </w:rPr>
              <w:t>+1.8%</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13,716</w:t>
            </w:r>
          </w:p>
        </w:tc>
        <w:tc>
          <w:tcPr>
            <w:tcW w:type="dxa" w:w="1440"/>
            <w:shd w:fill="FAFAFA" w:val="clear"/>
          </w:tcPr>
          <w:p>
            <w:r>
              <w:rPr>
                <w:b/>
                <w:sz w:val="17"/>
              </w:rPr>
              <w:t>15,255</w:t>
            </w:r>
          </w:p>
        </w:tc>
        <w:tc>
          <w:tcPr>
            <w:tcW w:type="dxa" w:w="1440"/>
            <w:shd w:fill="FAFAFA" w:val="clear"/>
          </w:tcPr>
          <w:p>
            <w:r>
              <w:rPr>
                <w:sz w:val="17"/>
              </w:rPr>
              <w:t>16,794</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13,530</w:t>
            </w:r>
          </w:p>
        </w:tc>
        <w:tc>
          <w:tcPr>
            <w:tcW w:type="dxa" w:w="1440"/>
            <w:shd w:fill="FAFAFA" w:val="clear"/>
          </w:tcPr>
          <w:p>
            <w:r>
              <w:rPr>
                <w:b/>
                <w:sz w:val="17"/>
              </w:rPr>
              <w:t>15,250</w:t>
            </w:r>
          </w:p>
        </w:tc>
        <w:tc>
          <w:tcPr>
            <w:tcW w:type="dxa" w:w="1440"/>
            <w:shd w:fill="FAFAFA" w:val="clear"/>
          </w:tcPr>
          <w:p>
            <w:r>
              <w:rPr>
                <w:sz w:val="17"/>
              </w:rPr>
              <w:t>16,970</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13,361</w:t>
            </w:r>
          </w:p>
        </w:tc>
        <w:tc>
          <w:tcPr>
            <w:tcW w:type="dxa" w:w="1440"/>
            <w:shd w:fill="FAFAFA" w:val="clear"/>
          </w:tcPr>
          <w:p>
            <w:r>
              <w:rPr>
                <w:b/>
                <w:sz w:val="17"/>
              </w:rPr>
              <w:t>15,244</w:t>
            </w:r>
          </w:p>
        </w:tc>
        <w:tc>
          <w:tcPr>
            <w:tcW w:type="dxa" w:w="1440"/>
            <w:shd w:fill="FAFAFA" w:val="clear"/>
          </w:tcPr>
          <w:p>
            <w:r>
              <w:rPr>
                <w:sz w:val="17"/>
              </w:rPr>
              <w:t>17,128</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13,205</w:t>
            </w:r>
          </w:p>
        </w:tc>
        <w:tc>
          <w:tcPr>
            <w:tcW w:type="dxa" w:w="1440"/>
            <w:shd w:fill="FAFAFA" w:val="clear"/>
          </w:tcPr>
          <w:p>
            <w:r>
              <w:rPr>
                <w:b/>
                <w:sz w:val="17"/>
              </w:rPr>
              <w:t>15,239</w:t>
            </w:r>
          </w:p>
        </w:tc>
        <w:tc>
          <w:tcPr>
            <w:tcW w:type="dxa" w:w="1440"/>
            <w:shd w:fill="FAFAFA" w:val="clear"/>
          </w:tcPr>
          <w:p>
            <w:r>
              <w:rPr>
                <w:sz w:val="17"/>
              </w:rPr>
              <w:t>17,273</w:t>
            </w:r>
          </w:p>
        </w:tc>
        <w:tc>
          <w:tcPr>
            <w:tcW w:type="dxa" w:w="1440"/>
            <w:shd w:fill="FAFAFA" w:val="clear"/>
          </w:tcPr>
          <w:p>
            <w:r>
              <w:rPr>
                <w:b/>
                <w:color w:val="008000"/>
                <w:sz w:val="17"/>
              </w:rPr>
              <w:t>+1.6%</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13,061</w:t>
            </w:r>
          </w:p>
        </w:tc>
        <w:tc>
          <w:tcPr>
            <w:tcW w:type="dxa" w:w="1440"/>
            <w:shd w:fill="FAFAFA" w:val="clear"/>
          </w:tcPr>
          <w:p>
            <w:r>
              <w:rPr>
                <w:b/>
                <w:sz w:val="17"/>
              </w:rPr>
              <w:t>15,234</w:t>
            </w:r>
          </w:p>
        </w:tc>
        <w:tc>
          <w:tcPr>
            <w:tcW w:type="dxa" w:w="1440"/>
            <w:shd w:fill="FAFAFA" w:val="clear"/>
          </w:tcPr>
          <w:p>
            <w:r>
              <w:rPr>
                <w:sz w:val="17"/>
              </w:rPr>
              <w:t>17,407</w:t>
            </w:r>
          </w:p>
        </w:tc>
        <w:tc>
          <w:tcPr>
            <w:tcW w:type="dxa" w:w="1440"/>
            <w:shd w:fill="FAFAFA" w:val="clear"/>
          </w:tcPr>
          <w:p>
            <w:r>
              <w:rPr>
                <w:b/>
                <w:color w:val="008000"/>
                <w:sz w:val="17"/>
              </w:rPr>
              <w:t>+1.6%</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12,924</w:t>
            </w:r>
          </w:p>
        </w:tc>
        <w:tc>
          <w:tcPr>
            <w:tcW w:type="dxa" w:w="1440"/>
            <w:shd w:fill="FAFAFA" w:val="clear"/>
          </w:tcPr>
          <w:p>
            <w:r>
              <w:rPr>
                <w:b/>
                <w:sz w:val="17"/>
              </w:rPr>
              <w:t>15,229</w:t>
            </w:r>
          </w:p>
        </w:tc>
        <w:tc>
          <w:tcPr>
            <w:tcW w:type="dxa" w:w="1440"/>
            <w:shd w:fill="FAFAFA" w:val="clear"/>
          </w:tcPr>
          <w:p>
            <w:r>
              <w:rPr>
                <w:sz w:val="17"/>
              </w:rPr>
              <w:t>17,534</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12,796</w:t>
            </w:r>
          </w:p>
        </w:tc>
        <w:tc>
          <w:tcPr>
            <w:tcW w:type="dxa" w:w="1440"/>
            <w:shd w:fill="FAFAFA" w:val="clear"/>
          </w:tcPr>
          <w:p>
            <w:r>
              <w:rPr>
                <w:b/>
                <w:sz w:val="17"/>
              </w:rPr>
              <w:t>15,224</w:t>
            </w:r>
          </w:p>
        </w:tc>
        <w:tc>
          <w:tcPr>
            <w:tcW w:type="dxa" w:w="1440"/>
            <w:shd w:fill="FAFAFA" w:val="clear"/>
          </w:tcPr>
          <w:p>
            <w:r>
              <w:rPr>
                <w:sz w:val="17"/>
              </w:rPr>
              <w:t>17,653</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Secteur : Entreprise (Agroalimentaire)*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331,06 milliards FCFA, NTLC figure parmi les valeurs les plus capitalisées de la BRVM, ce qui en fait un pilier de l'indice BRVM Composite et un titre de référence pour les investisseurs institutionnels. Le BPA s'établit à 835 FCFA par action, ce qui signifie que chaque titre génère près de 835 FCFA de bénéfice net, un niveau confortable pour une valeur de 15 000 FCFA. Le PER de 18,0x traduit une valorisation supérieure à la moyenne du marché BRVM (estimée entre 8 et 12x), indiquant que les investisseurs acceptent de payer une prime significative pour la qualité et la stabilité de la marque Nestlé. Le P/B de 11,19x, très supérieur au seuil de 4x, confirme cette prime exigeante : le marché valorise l'entreprise à plus de onze fois sa valeur comptable, ce qui se justifie par un ROE exceptionnel de 62,28% mais laisse peu de marge d'erreur. Enfin, l'EV/EBITDA de 9,1x, dans la fourchette raisonnable de 5-10x, suggère que la valeur totale de l'entreprise (dette incluse) reste cohérente avec sa capacité opérationnelle à générer de la trésorerie, offrant un contrepoids rassurant à la cherté apparente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progression remarquable de +25,52%, portant le cours à 15 000 FCFA, malgré un repli de -3,19% lors de la dernière séance qui marque une prise de bénéfices ponctuelle. Le range de trading est large, avec un plus haut à 18 000 FCFA et un plus bas à 11 800 FCFA, soit une amplitude de 6 200 FCFA (52% du plus bas), témoignant d'une forte volatilité intra-période. La tendance générale reste nettement haussière, le cours actuel se situant à 27% au-dessus du plus bas, mais 16,7% en dessous du plus haut, ce qui suggère une consolidation après un rallye soutenu. Les statistiques descriptives révèlent une moyenne de 15 606 FCFA légèrement supérieure à la médiane de 15 995 FCFA — écart modeste indiquant une distribution quasi-symétrique — tandis que le mode à 16 900 FCFA montre que le prix a souvent stagné autour de ce niveau. L'écart-type de 1 414 FCFA avec un coefficient de variation de 9,1% traduit une dispersion modérée du cours, et le kurtosis de 0,315 (mésokurtique) indique une distribution proche de la normale, sans risque excessif de pics extrêmes. Le skewness de -1,007 (asymétrie négative) signale toutefois que les journées de baisse ont été plus fréquentes que les journées de hausse au-dessus de la moyenne, un signal de prudence. Avec une volatilité annualisée de 36,5%, le titre se classe dans la catégorie des valeurs à volatilité élevée (&gt;30%), ce qui implique un risque de fluctuation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(15 596,5 FCFA) et la MM50 (16 356,5 FCFA) encadrent le cours actuel de 15 000 FCFA, qui évolue en dessous des deux moyennes, signe d'une pression baissière de court et moyen terme. La MM20 étant inférieure à la MM50, on observe une configuration baissière (death cross), ce qui justifie la décision technique de **Vente** émise par le système. Le cours devra reconquérir la MM20 (15 596 FCFA) pour espérer un retournement haussier.</w:t>
      </w:r>
    </w:p>
    <w:p>
      <w:pPr>
        <w:spacing w:after="120" w:line="276" w:lineRule="auto"/>
      </w:pPr>
      <w:r>
        <w:t>**Bandes de Bollinger** : Le cours actuel (15 000 FCFA) se situe dans la partie basse de la bande, entre la borne inférieure (14 170,8 FCFA) et la borne supérieure (17 022,2 FCFA), sans la toucher. Cette position médiane-basse indique une absence de signal extrême, justifiant la décision **Neutre**. L'amplitude des bandes (2 851 FCFA) reflète une volatilité modérée, cohérente avec l'écart-type observé.</w:t>
      </w:r>
    </w:p>
    <w:p>
      <w:pPr>
        <w:spacing w:after="120" w:line="276" w:lineRule="auto"/>
      </w:pPr>
      <w:r>
        <w:t>**MACD** : La valeur du MACD (-343,124) est supérieure à son signal (-367,758), générant un croisement haussier (MACD au-dessus du signal) bien que les deux restent en territoire négatif. Cette configuration indique un **Achat** technique, car le momentum baissier s'essouffle et une inflexion positive se dessine, bien que la prudence reste de mise tant que le MACD n'a pas franchi la ligne zéro.</w:t>
      </w:r>
    </w:p>
    <w:p>
      <w:pPr>
        <w:spacing w:after="120" w:line="276" w:lineRule="auto"/>
      </w:pPr>
      <w:r>
        <w:t>**RSI** : À 37,5, le RSI se situe dans la zone neutre basse (30-70), sans atteindre la zone de survente (&lt;30). La décision **Neutre** reflète un équilibre fragile : le titre n'est ni survendu ni suracheté, mais la proximité de la zone de survente suggère qu'une pression vendeuse supplémentaire pourrait créer une opportunité d'achat contrarian.</w:t>
      </w:r>
    </w:p>
    <w:p>
      <w:pPr>
        <w:spacing w:after="120" w:line="276" w:lineRule="auto"/>
      </w:pPr>
      <w:r>
        <w:t>**Stochastique** : Le %K (38,462) est inférieur au %D (52,901), et les deux évoluent en zone neutre. Cette configuration baissière (K sous D) indique que la dynamique de court terme reste négative, justifiant la décision **Neutre**. Un croisement de %K au-dessus de %D serait nécessaire pour confirmer un retournement.</w:t>
      </w:r>
    </w:p>
    <w:p>
      <w:pPr>
        <w:spacing w:after="120" w:line="276" w:lineRule="auto"/>
      </w:pPr>
      <w:r>
        <w:t>**Conclusion technique** : Les indicateurs techniques présentent un tableau mitigé, avec une majorité de signaux neutres (Bollinger, RSI, Stochastique) et un signal d'achat isolé (MACD) compensé par un signal de vente (Moyennes Mobiles). Le cours évolue sous ses moyennes mobiles, ce qui pèse sur la tendance, mais le MACD haussier et le RSI proche de la survente suggèrent qu'un rebond technique est possible à court terme. La convergence des signaux reste faible, ce qui invite à la prudence et à attendre une confirmation (franchissement de la MM20 ou croisement stochastique) avant toute décision d'investissement.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entreprise solide mais confrontée à des pressions sur ses marges. En 2025, le chiffre d'affaires s'établit à 233,261 milliards FCFA, en croissance de 5,97% par rapport à 2024 (220,113 milliards FCFA), portée par les ventes de produits fabriqués (+6,3%) et de marchandises (+4%). Le résultat net atteint 18,427 milliards FCFA, en légère hausse de 1,53% seulement, traduisant une compression de la marge nette de 8,25% en 2024 à 7,90% en 2025, sous l'effet de la hausse des charges externes (+4,4 milliards FCFA) et des impôts et taxes (passés de 4 à 7,5 milliards FCFA). La rentabilité des fonds propres (ROE) demeure exceptionnelle à 62,28%, bien qu'en léger recul par rapport aux ~51% estimés en 2024, tandis que le ROA se maintient à 9,70%, confirmant l'efficacité de l'utilisation des actifs. En tant qu'entreprise agroalimentaire, NTLC présente un BFR de 22,625 milliards FCFA (positif, donc défavorable), un délai client élevé de 74,30 jours (risque de trésorerie) et une durée de stockage de 59,39 jours (immobilisation de capital). La structure financière est tendue : l'autonomie financière n'est que de 15,58% (bien en dessous du seuil sain de 30%), le ratio d'endettement atteint 135,85% et la trésorerie nette est négative à -46,831 milliards FCFA, reflétant un besoin de financement chronique du cycle d'exploitation. Les rapports trimestriels récents confirment cette dynamique : le T1 2026 (rapport du 31 mars 2026, analysé le 1er mai 2026) affiche un chiffre d'affaires de 70,822 milliards FCFA, en bond de +31% sur un an, et un résultat net de 7,526 milliards FCFA (+37%), avec une marge nette améliorée à 10,6% contre 10,1% au T1 2025 — un signal très positif qui contraste avec la stagnation de 2025. Sur la base de ce T1 2026, on peut estimer que l'exercice 2026 devrait renouer avec une croissance plus vigoureuse, potentiellement supérieure à 10% du chiffre d'affaires, si la dynamique se maintient. Toutefois, la politique de dividende a été drastiquement réduite en 2025 (9,27 milliards FCFA distribués, soit un payout de 50,3%, contre 99,7% en 2024), la société privilégiant la mise en réserve (report à nouveau de 9,22 milliards FCFA) pour financer des investissements futurs. En conclusion, NTLC reste un actif fondamentalement solide, avec une marque leader, une croissance retrouvée au T1 2026 et une rentabilité élevée, mais les risques liés à l'endettement, à la trésorerie négative et à la dépendance aux matières premières (cacao, lait) incitent à une recommandation de **Conserver** avec un biais positif, en attendant la confirmation de l'amélioration des marges sur l'ensemble de l'exercice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pour NTLC. La valorisation (Partie 0) est exigeante : PER de 18,0x et P/B de 11,19x indiquent une prime significative par rapport au marché BRVM, justifiée par un ROE de 62,28% mais laissant peu de marge de sécurité. Le comportement du cours (Partie 1) est haussier sur 100 jours (+25,52%) mais montre des signes de consolidation, avec une volatilité élevée (36,5%) et un skewness négatif (-1,007) qui suggère une asymétrie défavorable aux hausses. Les signaux techniques (Partie 2) sont mitigés : les moyennes mobiles sont baissières, le MACD est haussier, et le RSI/Stochastique sont neutres, ce qui traduit une absence de tendance claire à court terme. Les fondamentaux (Partie 3) sont solides mais contrastés : croissance du CA de 5,97% en 2025, résultat net quasi-stagnant (+1,53%), mais un T1 2026 exceptionnel (+31% de CA, +37% de résultat net) qui pourrait marquer un tournant. Les prédictions IA (J+1 à J+10) anticipent une légère baisse du cours, de 15 308 FCFA à 15 250 FCFA, soit une contraction de -0,4% sur 10 jours, ce qui contredit le rebond technique attendu par le MACD mais confirme la pression baissière des moyennes mobiles. Sur la base de cette synthèse, la recommandation finale est **CONSERVER**, avec un niveau de confiance **Moyen** et un risque global **Moyen**. En effet, la convergence entre la valorisation élevée, les signaux techniques mitigés et les prédictions baissières à court terme plaide contre un achat immédiat, tandis que la solidité fondamentale, la croissance retrouvée au T1 2026 et la perspective d'investissements futurs justifient de ne pas vendre. L'horizon d'investissement optimal est le **moyen terme (3-12 mois)**, le temps que les effets des investissements et de la stratégie de réinvestissement se matérialisent dans les résultats, et que la tendance technique se clarifie. Les investisseurs déjà positionnés pourront conserver leurs titres, tandis que les nouveaux entrants devraient attendre un repli vers 14 500-14 800 FCFA (zone de support) ou une confirmation du franchissement de la MM20 (15 596 FCFA) avant d'envisager une 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204.34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6,096 titres</w:t>
            </w:r>
          </w:p>
        </w:tc>
        <w:tc>
          <w:tcPr>
            <w:tcW w:type="dxa" w:w="2268"/>
            <w:shd w:fill="FFF2CC" w:val="clear"/>
          </w:tcPr>
          <w:p>
            <w:r>
              <w:rPr>
                <w:b/>
                <w:color w:val="503200"/>
                <w:sz w:val="16"/>
              </w:rPr>
              <w:t xml:space="preserve">Cours actuel : </w:t>
            </w:r>
            <w:r>
              <w:rPr>
                <w:color w:val="000000"/>
                <w:sz w:val="17"/>
              </w:rPr>
              <w:t>3,005 FCFA</w:t>
            </w:r>
          </w:p>
          <w:p>
            <w:r>
              <w:rPr>
                <w:b/>
                <w:color w:val="503200"/>
                <w:sz w:val="16"/>
              </w:rPr>
              <w:t xml:space="preserve">Var. 100 jours : </w:t>
            </w:r>
            <w:r>
              <w:rPr>
                <w:b/>
                <w:color w:val="007800"/>
                <w:sz w:val="17"/>
              </w:rPr>
              <w:t>+7.32%</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2.78% (Faible) — μ=2,858 FCFA, σ=80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β=0.3962 (Défensif) — Cov=0.000029, Var(idx)=0.000073, ρ=0.155,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σ_j=2.19%/j (Stable) — Vol. annualisée≈34.7%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2,820</w:t>
            </w:r>
          </w:p>
        </w:tc>
        <w:tc>
          <w:tcPr>
            <w:tcW w:type="dxa" w:w="1440"/>
            <w:shd w:fill="FAFAFA" w:val="clear"/>
          </w:tcPr>
          <w:p>
            <w:r>
              <w:rPr>
                <w:b/>
                <w:sz w:val="17"/>
              </w:rPr>
              <w:t>2,948</w:t>
            </w:r>
          </w:p>
        </w:tc>
        <w:tc>
          <w:tcPr>
            <w:tcW w:type="dxa" w:w="1440"/>
            <w:shd w:fill="FAFAFA" w:val="clear"/>
          </w:tcPr>
          <w:p>
            <w:r>
              <w:rPr>
                <w:sz w:val="17"/>
              </w:rPr>
              <w:t>3,075</w:t>
            </w:r>
          </w:p>
        </w:tc>
        <w:tc>
          <w:tcPr>
            <w:tcW w:type="dxa" w:w="1440"/>
            <w:shd w:fill="FAFAFA" w:val="clear"/>
          </w:tcPr>
          <w:p>
            <w:r>
              <w:rPr>
                <w:b/>
                <w:color w:val="C00000"/>
                <w:sz w:val="17"/>
              </w:rPr>
              <w:t>-1.9%</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2,766</w:t>
            </w:r>
          </w:p>
        </w:tc>
        <w:tc>
          <w:tcPr>
            <w:tcW w:type="dxa" w:w="1440"/>
            <w:shd w:fill="FAFAFA" w:val="clear"/>
          </w:tcPr>
          <w:p>
            <w:r>
              <w:rPr>
                <w:b/>
                <w:sz w:val="17"/>
              </w:rPr>
              <w:t>2,947</w:t>
            </w:r>
          </w:p>
        </w:tc>
        <w:tc>
          <w:tcPr>
            <w:tcW w:type="dxa" w:w="1440"/>
            <w:shd w:fill="FAFAFA" w:val="clear"/>
          </w:tcPr>
          <w:p>
            <w:r>
              <w:rPr>
                <w:sz w:val="17"/>
              </w:rPr>
              <w:t>3,127</w:t>
            </w:r>
          </w:p>
        </w:tc>
        <w:tc>
          <w:tcPr>
            <w:tcW w:type="dxa" w:w="1440"/>
            <w:shd w:fill="FAFAFA" w:val="clear"/>
          </w:tcPr>
          <w:p>
            <w:r>
              <w:rPr>
                <w:b/>
                <w:color w:val="C00000"/>
                <w:sz w:val="17"/>
              </w:rPr>
              <w:t>-1.9%</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2,719</w:t>
            </w:r>
          </w:p>
        </w:tc>
        <w:tc>
          <w:tcPr>
            <w:tcW w:type="dxa" w:w="1440"/>
            <w:shd w:fill="FFDCE0" w:val="clear"/>
          </w:tcPr>
          <w:p>
            <w:r>
              <w:rPr>
                <w:b/>
                <w:sz w:val="17"/>
              </w:rPr>
              <w:t>2,940</w:t>
            </w:r>
          </w:p>
        </w:tc>
        <w:tc>
          <w:tcPr>
            <w:tcW w:type="dxa" w:w="1440"/>
            <w:shd w:fill="FFDCE0" w:val="clear"/>
          </w:tcPr>
          <w:p>
            <w:r>
              <w:rPr>
                <w:sz w:val="17"/>
              </w:rPr>
              <w:t>3,160</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2,679</w:t>
            </w:r>
          </w:p>
        </w:tc>
        <w:tc>
          <w:tcPr>
            <w:tcW w:type="dxa" w:w="1440"/>
            <w:shd w:fill="FFDCE0" w:val="clear"/>
          </w:tcPr>
          <w:p>
            <w:r>
              <w:rPr>
                <w:b/>
                <w:sz w:val="17"/>
              </w:rPr>
              <w:t>2,932</w:t>
            </w:r>
          </w:p>
        </w:tc>
        <w:tc>
          <w:tcPr>
            <w:tcW w:type="dxa" w:w="1440"/>
            <w:shd w:fill="FFDCE0" w:val="clear"/>
          </w:tcPr>
          <w:p>
            <w:r>
              <w:rPr>
                <w:sz w:val="17"/>
              </w:rPr>
              <w:t>3,186</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2,642</w:t>
            </w:r>
          </w:p>
        </w:tc>
        <w:tc>
          <w:tcPr>
            <w:tcW w:type="dxa" w:w="1440"/>
            <w:shd w:fill="FFDCE0" w:val="clear"/>
          </w:tcPr>
          <w:p>
            <w:r>
              <w:rPr>
                <w:b/>
                <w:sz w:val="17"/>
              </w:rPr>
              <w:t>2,925</w:t>
            </w:r>
          </w:p>
        </w:tc>
        <w:tc>
          <w:tcPr>
            <w:tcW w:type="dxa" w:w="1440"/>
            <w:shd w:fill="FFDCE0" w:val="clear"/>
          </w:tcPr>
          <w:p>
            <w:r>
              <w:rPr>
                <w:sz w:val="17"/>
              </w:rPr>
              <w:t>3,208</w:t>
            </w:r>
          </w:p>
        </w:tc>
        <w:tc>
          <w:tcPr>
            <w:tcW w:type="dxa" w:w="1440"/>
            <w:shd w:fill="FFDCE0" w:val="clear"/>
          </w:tcPr>
          <w:p>
            <w:r>
              <w:rPr>
                <w:b/>
                <w:color w:val="C00000"/>
                <w:sz w:val="17"/>
              </w:rPr>
              <w:t>-2.7%</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2,609</w:t>
            </w:r>
          </w:p>
        </w:tc>
        <w:tc>
          <w:tcPr>
            <w:tcW w:type="dxa" w:w="1440"/>
            <w:shd w:fill="FFDCE0" w:val="clear"/>
          </w:tcPr>
          <w:p>
            <w:r>
              <w:rPr>
                <w:b/>
                <w:sz w:val="17"/>
              </w:rPr>
              <w:t>2,918</w:t>
            </w:r>
          </w:p>
        </w:tc>
        <w:tc>
          <w:tcPr>
            <w:tcW w:type="dxa" w:w="1440"/>
            <w:shd w:fill="FFDCE0" w:val="clear"/>
          </w:tcPr>
          <w:p>
            <w:r>
              <w:rPr>
                <w:sz w:val="17"/>
              </w:rPr>
              <w:t>3,227</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2,578</w:t>
            </w:r>
          </w:p>
        </w:tc>
        <w:tc>
          <w:tcPr>
            <w:tcW w:type="dxa" w:w="1440"/>
            <w:shd w:fill="FFDCE0" w:val="clear"/>
          </w:tcPr>
          <w:p>
            <w:r>
              <w:rPr>
                <w:b/>
                <w:sz w:val="17"/>
              </w:rPr>
              <w:t>2,911</w:t>
            </w:r>
          </w:p>
        </w:tc>
        <w:tc>
          <w:tcPr>
            <w:tcW w:type="dxa" w:w="1440"/>
            <w:shd w:fill="FFDCE0" w:val="clear"/>
          </w:tcPr>
          <w:p>
            <w:r>
              <w:rPr>
                <w:sz w:val="17"/>
              </w:rPr>
              <w:t>3,244</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2,549</w:t>
            </w:r>
          </w:p>
        </w:tc>
        <w:tc>
          <w:tcPr>
            <w:tcW w:type="dxa" w:w="1440"/>
            <w:shd w:fill="FFDCE0" w:val="clear"/>
          </w:tcPr>
          <w:p>
            <w:r>
              <w:rPr>
                <w:b/>
                <w:sz w:val="17"/>
              </w:rPr>
              <w:t>2,904</w:t>
            </w:r>
          </w:p>
        </w:tc>
        <w:tc>
          <w:tcPr>
            <w:tcW w:type="dxa" w:w="1440"/>
            <w:shd w:fill="FFDCE0" w:val="clear"/>
          </w:tcPr>
          <w:p>
            <w:r>
              <w:rPr>
                <w:sz w:val="17"/>
              </w:rPr>
              <w:t>3,259</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2,521</w:t>
            </w:r>
          </w:p>
        </w:tc>
        <w:tc>
          <w:tcPr>
            <w:tcW w:type="dxa" w:w="1440"/>
            <w:shd w:fill="FFDCE0" w:val="clear"/>
          </w:tcPr>
          <w:p>
            <w:r>
              <w:rPr>
                <w:b/>
                <w:sz w:val="17"/>
              </w:rPr>
              <w:t>2,897</w:t>
            </w:r>
          </w:p>
        </w:tc>
        <w:tc>
          <w:tcPr>
            <w:tcW w:type="dxa" w:w="1440"/>
            <w:shd w:fill="FFDCE0" w:val="clear"/>
          </w:tcPr>
          <w:p>
            <w:r>
              <w:rPr>
                <w:sz w:val="17"/>
              </w:rPr>
              <w:t>3,273</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2,495</w:t>
            </w:r>
          </w:p>
        </w:tc>
        <w:tc>
          <w:tcPr>
            <w:tcW w:type="dxa" w:w="1440"/>
            <w:shd w:fill="FFDCE0" w:val="clear"/>
          </w:tcPr>
          <w:p>
            <w:r>
              <w:rPr>
                <w:b/>
                <w:sz w:val="17"/>
              </w:rPr>
              <w:t>2,890</w:t>
            </w:r>
          </w:p>
        </w:tc>
        <w:tc>
          <w:tcPr>
            <w:tcW w:type="dxa" w:w="1440"/>
            <w:shd w:fill="FFDCE0" w:val="clear"/>
          </w:tcPr>
          <w:p>
            <w:r>
              <w:rPr>
                <w:sz w:val="17"/>
              </w:rPr>
              <w:t>3,285</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 RAPPORT D'ANALYSE FINANCIÈRE — ONTBF (ONATEL Burkina Faso)</w:t>
        <w:br/>
        <w:t>**Bourse Régionale des Valeurs Mobilières (BRVM) — Secteur :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**204,34 Mds FCFA**, ONTBF se positionne comme l'une des valeurs phares du compartiment télécoms de la BRVM, bien que loin derrière le leader Sonatel. Le **BPA de 234 FCFA/action** signifie que chaque titre génère près de 234 FCFA de bénéfice net, ce qui, rapporté au cours actuel de 3 005 FCFA, donne un **PER de 12,9x** — un niveau modéré, légèrement supérieur à la moyenne BRVM (~8-12x), traduisant une prime de qualité mais sans excès spéculatif. Le **P/B de 3,55x** indique que le marché valorise l'action à plus de trois fois sa valeur comptable, une prime de croissance justifiée par la solidité des fonds propres (57,5 Mds FCFA) et la rentabilité élevée (ROE &gt;27%). Enfin, l'**EV/EBITDA de 5,3x** situe la valeur totale de l'entreprise (capitalisation + dette nette) à un niveau raisonnable par rapport à sa capacité opérationnelle, suggérant une valorisation équilibrée qui n'intègre ni décote excessive ni surchauffe.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**progression totale de +7,32%**, avec une dernière séance en hausse de **+2,04%**, confirmant un momentum haussier de court terme. Le cours a évolué dans un range de **2 675 FCFA (plus bas) à 3 070 FCFA (plus haut)**, soit une amplitude de trading de près de 15%, reflétant une volatilité contenue mais réelle. La tendance générale est **haussière**, portée par le retour du titre au-dessus des 3 000 FCFA, niveau psychologique important. Les statistiques descriptives révèlent une **moyenne de 2 858 FCFA** quasi identique à la **médiane de 2 862 FCFA**, signe d'une distribution symétrique sans biais directionnel marqué ; le **mode à 2 800 FCFA** indique que ce niveau a concentré le plus grand nombre de transactions. L'**écart-type de 80 FCFA (CV = 2,8%)** traduit une dispersion très faible du cours, caractéristique d'une valeur défensive peu volatile au quotidien. Le **kurtosis de -0,262 (mésokurtique)** et le **skewness de -0,092 (distribution symétrique)** confirment l'absence de pics extrêmes ou d'asymétrie significative, ce qui réduit le risque de mouvements erratiques. Avec une **volatilité annualisée de 34,7%**, le titre se situe dans la catégorie des valeurs à volatilité élevée (&gt;30%), ce qui contraste avec la faible dispersion journalière et s'explique par des mouvements périodiques amples liés aux annonces de résultats.</w:t>
      </w:r>
    </w:p>
    <w:p>
      <w:pPr>
        <w:spacing w:after="120" w:line="276" w:lineRule="auto"/>
      </w:pPr>
      <w:r>
        <w:t>---</w:t>
      </w:r>
    </w:p>
    <w:p>
      <w:pPr>
        <w:spacing w:after="120" w:line="276" w:lineRule="auto"/>
      </w:pPr>
      <w:r>
        <w:t>## PARTIE 2 : ANALYSE TECHNIQUE DÉTAILLÉE</w:t>
      </w:r>
    </w:p>
    <w:p>
      <w:pPr>
        <w:spacing w:after="120" w:line="276" w:lineRule="auto"/>
      </w:pPr>
      <w:r>
        <w:t>**Moyennes Mobiles** : La **MM20 (2 902,25 FCFA)** et la **MM50 (2 898,5 FCFA)** sont toutes deux inférieures au cours actuel (3 005 FCFA), et la MM20 évolue légèrement au-dessus de la MM50, configurant un croisement haussier classique. Cette configuration signale que le titre est en phase d'accélération positive, justifiant la **décision d'ACHAT** des moyennes mobiles.</w:t>
      </w:r>
    </w:p>
    <w:p>
      <w:pPr>
        <w:spacing w:after="120" w:line="276" w:lineRule="auto"/>
      </w:pPr>
      <w:r>
        <w:t>**Bandes de Bollinger** : Le cours (3 005 FCFA) se situe dans la partie haute de la bande, entre la **borne inférieure (2 761,93 FCFA)** et la **borne supérieure (3 042,57 FCFA)**, sans la franchir. Cette position indique une pression acheteuse modérée mais sans excès, avec une volatilité stable. La **décision NEUTRE** reflète l'absence de signal extrême (ni surachat ni survente).</w:t>
      </w:r>
    </w:p>
    <w:p>
      <w:pPr>
        <w:spacing w:after="120" w:line="276" w:lineRule="auto"/>
      </w:pPr>
      <w:r>
        <w:t>**MACD** : La **valeur MACD (15,471)** est nettement supérieure à son **signal (10,782)**, avec un histogramme positif et croissant. Cette divergence positive confirme un momentum haussier en cours de renforcement, justifiant la **décision d'ACHAT**.</w:t>
      </w:r>
    </w:p>
    <w:p>
      <w:pPr>
        <w:spacing w:after="120" w:line="276" w:lineRule="auto"/>
      </w:pPr>
      <w:r>
        <w:t>**RSI** : À **55,276**, le RSI se situe en zone neutre (entre 30 et 70), sans atteindre la zone de surachat (&gt;70). Cela indique que le titre dispose encore d'un potentiel de hausse sans être techniquement surchauffé, justifiant la **décision NEUTRE** (ni achat agressif, ni vente).</w:t>
      </w:r>
    </w:p>
    <w:p>
      <w:pPr>
        <w:spacing w:after="120" w:line="276" w:lineRule="auto"/>
      </w:pPr>
      <w:r>
        <w:t>**Stochastique** : Le **%K (100,0)** est au maximum absolu, tandis que le **%D (60,417)** reste en dessous, signalant un croisement potentiellement baissier à court terme (le %K en zone extrême de surachat). Cette configuration justifie la **décision de VENTE** à court terme, indiquant une possible correction technique imminente.</w:t>
      </w:r>
    </w:p>
    <w:p>
      <w:pPr>
        <w:spacing w:after="120" w:line="276" w:lineRule="auto"/>
      </w:pPr>
      <w:r>
        <w:t>**Conclusion technique** : Les indicateurs sont majoritairement haussiers (MM, MACD), mais le stochastique envoie un signal de surachat à court terme, tandis que le RSI et les Bollinger restent neutres. Cette divergence suggère que le titre pourrait connaître une **consolidation ou une légère correction** avant de poursuivre sa tendance haussière. La convergence des signaux positifs (MM, MACD) l'emporte sur le signal baissier isolé du stochastique, mais la prudence est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ONTBF (secteur télécoms, classé ici en catégorie BANQUE pour les ratios) affiche un **chiffre d'affaires de 146,177 Mds FCFA**, en hausse de **+3,06%** par rapport à 2024, porté par le FTTH, l'internet mobile et le Mobile Money. Le **résultat net s'établit à 15,887 Mds FCFA**, en **baisse de -26%** par rapport à 2024 (21,47 Mds FCFA), sous l'effet d'une compression des marges (EBE en recul de -11,7% à 56,731 Mds FCFA) et de charges exceptionnelles (indemnités de fin d'engagement, litige ARCEP de 1,543 Md FCFA, coûts énergétiques et sécuritaires). Le **ROE reste excellent à 27,61%** (&gt;15%), et le **ROA à 4,89%**, confirmant la rentabilité structurelle de l'entreprise malgré la dégradation conjoncturelle. Le **coefficient d'exploitation de 67,07%** (charges/PNB) dépasse le seuil de 60% recommandé pour une banque efficace, reflétant la pression sur les coûts. Le **coût du risque (provisions/charges financières) de 3,57%** reste contenu, mais les **créances clients (12,328 Mds FCFA)** et les **dépôts clientèle (42,688 Mds FCFA)** montrent une transformation financière limitée (ratio dépôts/crédits de 3,46x, typique d'une activité télécom avec mobile money). Le **BFR est négatif (-94,101 Mds FCFA)**, ce qui est favorable (financement par les fournisseurs et clients), et la **trésorerie nette positive (10,649 Mds FCFA)** confirme la solidité bilancielle. Les **délais fournisseurs (130,73 jours)** et la **durée de stockage élevée (1 669 jours)** sont des points de vigilance, mais le **délai client de 30,78 jours** reste maîtrisé.</w:t>
      </w:r>
    </w:p>
    <w:p>
      <w:pPr>
        <w:spacing w:after="120" w:line="276" w:lineRule="auto"/>
      </w:pPr>
      <w:r>
        <w:t>**Estimations basées sur les rapports trimestriels** : Le **rapport T1 2026 (publié le 09/04/2026)** indique un chiffre d'affaires de **37,1 Mds FCFA (+2,7%)**, une base clients de **12,65 millions (+3,3%)**, et un **taux de marge EBITDA maintenu à 41,3%**, avec un résultat net de **3,577 Mds FCFA (OHADA)**. Le **rapport S1 2026 (attestation CAC du 25/09/2026)** ne fournit pas de chiffres mais confirme la sincérité des comptes. Sur la base de ces tendances, on peut **estimer que l'exercice 2026 devrait afficher une stabilisation de la rentabilité**, avec un résultat net annuel projeté entre **14 et 16 Mds FCFA**, sous réserve d'une maîtrise des charges. La **note de crédit A+(WU) avec perspective stable** (GCR Ratings) renforce la crédibilité financière. La **recommandation fondamentale est CONSERVER** : l'entreprise reste solide (ROE &gt;27%, trésorerie positive, dividende attractif de 166,08 FCFA/action), mais la dégradation des marges et les risques réglementaires/sécuritaires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équilibrée : PER de 12,9x (légère prime), P/B de 3,55x (prime de croissance justifiée), EV/EBITDA de 5,3x (raisonnable), sans sous-évaluation flagrante ni surévaluation excessive. Le **comportement du cours (Partie 1)** est favorable : tendance haussière (+7,32%), volatilité annualisée élevée (34,7%) mais dispersion journalière faible (CV 2,8%), distribution symétrique (skewness -0,092) et absence de pics extrêmes (kurtosis -0,262), ce qui est rassurant pour un investisseur défensif. Les **signaux techniques (Partie 2)** sont majoritairement haussiers (MM20 &gt; MM50, MACD &gt; Signal), mais le stochastique en surachat (%K=100) suggère une correction imminente, créant une **divergence court terme**. Les **fondamentaux (Partie 3)** révèlent une entreprise solide (ROE 27,6%, trésorerie nette positive, dividende attractif) mais en phase de dégradation de sa rentabilité (-26% de résultat net en 2025), avec des perspectives 2026 incertaines. Les **prédictions IA (J+1 à J+10)** anticipent une **baisse progressive de 2 948 FCFA à 2 925 FCFA**, confirmant la correction technique attendue par le stochastique et contredisant le momentum haussier actuel. **Synthèse** : la convergence entre la correction technique attendue, la prédiction baissière et la dégradation fondamentale (baisse du résultat net) l'emporte sur les signaux haussiers de court terme. **Recommandation finale : CONSERVER** — le titre n'est pas à vendre (fondamentaux solides, dividende attractif), mais n'est pas non plus à acheter agressivement (correction technique imminente, rentabilité en baisse). **Niveau de confiance : Moyen** (divergence entre technique et fondamental). **Niveau de risque global : Moyen** (volatilité élevée, risques réglementaires et sécuritaires). **Horizon d'investissement optimal : Moyen terme (3-12 mois)**, en attendant les résultats annuels 2026 et une clarification sur la trajectoire des marges.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3313.66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3,568 titres</w:t>
            </w:r>
          </w:p>
        </w:tc>
        <w:tc>
          <w:tcPr>
            <w:tcW w:type="dxa" w:w="2268"/>
            <w:shd w:fill="FFF2CC" w:val="clear"/>
          </w:tcPr>
          <w:p>
            <w:r>
              <w:rPr>
                <w:b/>
                <w:color w:val="503200"/>
                <w:sz w:val="16"/>
              </w:rPr>
              <w:t xml:space="preserve">Cours actuel : </w:t>
            </w:r>
            <w:r>
              <w:rPr>
                <w:color w:val="000000"/>
                <w:sz w:val="17"/>
              </w:rPr>
              <w:t>21,995 FCFA</w:t>
            </w:r>
          </w:p>
          <w:p>
            <w:r>
              <w:rPr>
                <w:b/>
                <w:color w:val="503200"/>
                <w:sz w:val="16"/>
              </w:rPr>
              <w:t xml:space="preserve">Var. 100 jours : </w:t>
            </w:r>
            <w:r>
              <w:rPr>
                <w:b/>
                <w:color w:val="007800"/>
                <w:sz w:val="17"/>
              </w:rPr>
              <w:t>+40.99%</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15,505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13.69% (Moyenne) — μ=18,235 FCFA, σ=2,497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β=1.4729 (Agressif) — Cov=0.000108, Var(idx)=0.000073, ρ=0.559,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20,673</w:t>
            </w:r>
          </w:p>
        </w:tc>
        <w:tc>
          <w:tcPr>
            <w:tcW w:type="dxa" w:w="1440"/>
            <w:shd w:fill="FAFAFA" w:val="clear"/>
          </w:tcPr>
          <w:p>
            <w:r>
              <w:rPr>
                <w:b/>
                <w:sz w:val="17"/>
              </w:rPr>
              <w:t>21,727</w:t>
            </w:r>
          </w:p>
        </w:tc>
        <w:tc>
          <w:tcPr>
            <w:tcW w:type="dxa" w:w="1440"/>
            <w:shd w:fill="FAFAFA" w:val="clear"/>
          </w:tcPr>
          <w:p>
            <w:r>
              <w:rPr>
                <w:sz w:val="17"/>
              </w:rPr>
              <w:t>22,781</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20,237</w:t>
            </w:r>
          </w:p>
        </w:tc>
        <w:tc>
          <w:tcPr>
            <w:tcW w:type="dxa" w:w="1440"/>
            <w:shd w:fill="FAFAFA" w:val="clear"/>
          </w:tcPr>
          <w:p>
            <w:r>
              <w:rPr>
                <w:b/>
                <w:sz w:val="17"/>
              </w:rPr>
              <w:t>21,727</w:t>
            </w:r>
          </w:p>
        </w:tc>
        <w:tc>
          <w:tcPr>
            <w:tcW w:type="dxa" w:w="1440"/>
            <w:shd w:fill="FAFAFA" w:val="clear"/>
          </w:tcPr>
          <w:p>
            <w:r>
              <w:rPr>
                <w:sz w:val="17"/>
              </w:rPr>
              <w:t>23,218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19,876</w:t>
            </w:r>
          </w:p>
        </w:tc>
        <w:tc>
          <w:tcPr>
            <w:tcW w:type="dxa" w:w="1440"/>
            <w:shd w:fill="FAFAFA" w:val="clear"/>
          </w:tcPr>
          <w:p>
            <w:r>
              <w:rPr>
                <w:b/>
                <w:sz w:val="17"/>
              </w:rPr>
              <w:t>21,699</w:t>
            </w:r>
          </w:p>
        </w:tc>
        <w:tc>
          <w:tcPr>
            <w:tcW w:type="dxa" w:w="1440"/>
            <w:shd w:fill="FAFAFA" w:val="clear"/>
          </w:tcPr>
          <w:p>
            <w:r>
              <w:rPr>
                <w:sz w:val="17"/>
              </w:rPr>
              <w:t>23,521</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19,565</w:t>
            </w:r>
          </w:p>
        </w:tc>
        <w:tc>
          <w:tcPr>
            <w:tcW w:type="dxa" w:w="1440"/>
            <w:shd w:fill="FAFAFA" w:val="clear"/>
          </w:tcPr>
          <w:p>
            <w:r>
              <w:rPr>
                <w:b/>
                <w:sz w:val="17"/>
              </w:rPr>
              <w:t>21,667</w:t>
            </w:r>
          </w:p>
        </w:tc>
        <w:tc>
          <w:tcPr>
            <w:tcW w:type="dxa" w:w="1440"/>
            <w:shd w:fill="FAFAFA" w:val="clear"/>
          </w:tcPr>
          <w:p>
            <w:r>
              <w:rPr>
                <w:sz w:val="17"/>
              </w:rPr>
              <w:t>23,769</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19,290</w:t>
            </w:r>
          </w:p>
        </w:tc>
        <w:tc>
          <w:tcPr>
            <w:tcW w:type="dxa" w:w="1440"/>
            <w:shd w:fill="FAFAFA" w:val="clear"/>
          </w:tcPr>
          <w:p>
            <w:r>
              <w:rPr>
                <w:b/>
                <w:sz w:val="17"/>
              </w:rPr>
              <w:t>21,637</w:t>
            </w:r>
          </w:p>
        </w:tc>
        <w:tc>
          <w:tcPr>
            <w:tcW w:type="dxa" w:w="1440"/>
            <w:shd w:fill="FAFAFA" w:val="clear"/>
          </w:tcPr>
          <w:p>
            <w:r>
              <w:rPr>
                <w:sz w:val="17"/>
              </w:rPr>
              <w:t>23,983</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19,041</w:t>
            </w:r>
          </w:p>
        </w:tc>
        <w:tc>
          <w:tcPr>
            <w:tcW w:type="dxa" w:w="1440"/>
            <w:shd w:fill="FAFAFA" w:val="clear"/>
          </w:tcPr>
          <w:p>
            <w:r>
              <w:rPr>
                <w:b/>
                <w:sz w:val="17"/>
              </w:rPr>
              <w:t>21,608</w:t>
            </w:r>
          </w:p>
        </w:tc>
        <w:tc>
          <w:tcPr>
            <w:tcW w:type="dxa" w:w="1440"/>
            <w:shd w:fill="FAFAFA" w:val="clear"/>
          </w:tcPr>
          <w:p>
            <w:r>
              <w:rPr>
                <w:sz w:val="17"/>
              </w:rPr>
              <w:t>24,175</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18,810</w:t>
            </w:r>
          </w:p>
        </w:tc>
        <w:tc>
          <w:tcPr>
            <w:tcW w:type="dxa" w:w="1440"/>
            <w:shd w:fill="FAFAFA" w:val="clear"/>
          </w:tcPr>
          <w:p>
            <w:r>
              <w:rPr>
                <w:b/>
                <w:sz w:val="17"/>
              </w:rPr>
              <w:t>21,579</w:t>
            </w:r>
          </w:p>
        </w:tc>
        <w:tc>
          <w:tcPr>
            <w:tcW w:type="dxa" w:w="1440"/>
            <w:shd w:fill="FAFAFA" w:val="clear"/>
          </w:tcPr>
          <w:p>
            <w:r>
              <w:rPr>
                <w:sz w:val="17"/>
              </w:rPr>
              <w:t>24,348</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18,595</w:t>
            </w:r>
          </w:p>
        </w:tc>
        <w:tc>
          <w:tcPr>
            <w:tcW w:type="dxa" w:w="1440"/>
            <w:shd w:fill="FFDCE0" w:val="clear"/>
          </w:tcPr>
          <w:p>
            <w:r>
              <w:rPr>
                <w:b/>
                <w:sz w:val="17"/>
              </w:rPr>
              <w:t>21,551</w:t>
            </w:r>
          </w:p>
        </w:tc>
        <w:tc>
          <w:tcPr>
            <w:tcW w:type="dxa" w:w="1440"/>
            <w:shd w:fill="FFDCE0" w:val="clear"/>
          </w:tcPr>
          <w:p>
            <w:r>
              <w:rPr>
                <w:sz w:val="17"/>
              </w:rPr>
              <w:t>24,507</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18,392</w:t>
            </w:r>
          </w:p>
        </w:tc>
        <w:tc>
          <w:tcPr>
            <w:tcW w:type="dxa" w:w="1440"/>
            <w:shd w:fill="FFDCE0" w:val="clear"/>
          </w:tcPr>
          <w:p>
            <w:r>
              <w:rPr>
                <w:b/>
                <w:sz w:val="17"/>
              </w:rPr>
              <w:t>21,524</w:t>
            </w:r>
          </w:p>
        </w:tc>
        <w:tc>
          <w:tcPr>
            <w:tcW w:type="dxa" w:w="1440"/>
            <w:shd w:fill="FFDCE0" w:val="clear"/>
          </w:tcPr>
          <w:p>
            <w:r>
              <w:rPr>
                <w:sz w:val="17"/>
              </w:rPr>
              <w:t>24,655</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18,200</w:t>
            </w:r>
          </w:p>
        </w:tc>
        <w:tc>
          <w:tcPr>
            <w:tcW w:type="dxa" w:w="1440"/>
            <w:shd w:fill="FFDCE0" w:val="clear"/>
          </w:tcPr>
          <w:p>
            <w:r>
              <w:rPr>
                <w:b/>
                <w:sz w:val="17"/>
              </w:rPr>
              <w:t>21,497</w:t>
            </w:r>
          </w:p>
        </w:tc>
        <w:tc>
          <w:tcPr>
            <w:tcW w:type="dxa" w:w="1440"/>
            <w:shd w:fill="FFDCE0" w:val="clear"/>
          </w:tcPr>
          <w:p>
            <w:r>
              <w:rPr>
                <w:sz w:val="17"/>
              </w:rPr>
              <w:t>24,794</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 RAPPORT D'ANALYSE FINANCIÈRE — ORANGE CÔTE D'IVOIRE (ORAC)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**3 313,66 milliards FCFA**, ORAC confirme son statut de valeur phare de la BRVM, représentant à elle seule une part significative de la capitalisation totale du marché (elle pesait 26% de la cote en 2024 selon le rapport annuel 2024). Le BPA de **1 114 FCFA/action** traduit un bénéfice net par titre solide, mais le PER de **19,7x** situe le titre nettement au-dessus de la moyenne BRVM (~8-12x), signalant que les investisseurs paient une prime de qualité pour ce leader télécom. Le P/B de **4,68x** confirme cette valorisation exigeante : le marché valorise ORAC à près de 5 fois sa valeur comptable, reflétant la confiance dans la rentabilité future (ROE de 23,7%) plutôt que dans le patrimoine. Enfin, l'EV/EBITDA de **7,9x**, dans la fourchette raisonnable de 5-10x, indique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progression spectaculaire de **+40,99%**, portant le cours à **21 995 FCFA** (+0,02% en J-1, quasi-stable sur la dernière séance). Le titre a évolué dans un range large de **15 505 FCFA** (plus bas) à **22 500 FCFA** (plus haut), soit un écart de près de 45%, traduisant une tendance haussière puissante et bien établie. La moyenne (**18 235 FCFA**) est nettement supérieure à la médiane (**16 755 FCFA**), ce qui confirme une distribution asymétrique : le cours a passé plus de temps dans les niveaux bas avant de s'envoler en fin de période. L'écart-type de **2 509 FCFA** avec un coefficient de variation de **13,8%** indique une dispersion modérée autour de la moyenne. Le kurtosis négatif (**-1,465**, platykurtique) signale une distribution aplatie, sans pics extrêmes marqués — le risque de chocs violents est limité. Le skewness positif (**0,535**) confirme que davantage de journées se sont situées sous la moyenne, cohérent avec un rallye tardif. La volatilité annualisée de **35,6%** classe ORAC parmi les titres à volatilité élevée (&gt;30%), typique d'un marché frontière en forte dynamique.</w:t>
      </w:r>
    </w:p>
    <w:p>
      <w:pPr>
        <w:spacing w:after="120" w:line="276" w:lineRule="auto"/>
      </w:pPr>
      <w:r>
        <w:t>---</w:t>
      </w:r>
    </w:p>
    <w:p>
      <w:pPr>
        <w:spacing w:after="120" w:line="276" w:lineRule="auto"/>
      </w:pPr>
      <w:r>
        <w:t>## PARTIE 2 : ANALYSE TECHNIQUE DÉTAILLÉE</w:t>
      </w:r>
    </w:p>
    <w:p>
      <w:pPr>
        <w:spacing w:after="120" w:line="276" w:lineRule="auto"/>
      </w:pPr>
      <w:r>
        <w:t>**Moyennes Mobiles** : La MM20 (**21 648,5 FCFA**) et la MM50 (**20 301,9 FCFA**) sont toutes deux inférieures au cours actuel (21 995 FCFA), avec la MM20 au-dessus de la MM50 — configuration haussière classique (golden cross). Le cours évolue au-dessus de ses deux moyennes, confirmant la dynamique positive. La décision fournie est **Achat**.</w:t>
      </w:r>
    </w:p>
    <w:p>
      <w:pPr>
        <w:spacing w:after="120" w:line="276" w:lineRule="auto"/>
      </w:pPr>
      <w:r>
        <w:t>**Bandes de Bollinger** : Le cours (21 995 FCFA) se situe dans la partie haute de la bande, entre la borne inférieure (20 206,48 FCFA) et la borne supérieure (23 090,52 FCFA), sans la franchir. Cette position médiane-haute traduit une volatilité contenue et l'absence de signal extrême. La décision est **Neutre**, cohérente avec un cours ni suracheté ni survendu.</w:t>
      </w:r>
    </w:p>
    <w:p>
      <w:pPr>
        <w:spacing w:after="120" w:line="276" w:lineRule="auto"/>
      </w:pPr>
      <w:r>
        <w:t>**MACD** : La valeur du MACD (**309,747**) est inférieure à son signal (**363,59**), générant un croisement baissier. Cet écart négatif indique un essoufflement du momentum haussier malgré la tendance de fond positive. La décision fournie est **Vente**, signal de prudence à court terme.</w:t>
      </w:r>
    </w:p>
    <w:p>
      <w:pPr>
        <w:spacing w:after="120" w:line="276" w:lineRule="auto"/>
      </w:pPr>
      <w:r>
        <w:t>**RSI** : À **48,74**, le RSI se situe en zone parfaitement neutre (30-70), ni suracheté ni survendu. Cette valeur médiane suggère un équilibre entre acheteurs et vendeurs, sans pression directionnelle claire. La décision est **Neutre**.</w:t>
      </w:r>
    </w:p>
    <w:p>
      <w:pPr>
        <w:spacing w:after="120" w:line="276" w:lineRule="auto"/>
      </w:pPr>
      <w:r>
        <w:t>**Stochastique** : Le %K (**99,762**) et le %D (**93,979**) sont tous deux en zone de surachat extrême (&gt;80), avec le %K au-dessus du %D. Cette configuration signale que le cours évolue près de ses plus hauts récents et qu'un retournement ou une consolidation est probable à court terme. La décision fournie est **Vente**.</w:t>
      </w:r>
    </w:p>
    <w:p>
      <w:pPr>
        <w:spacing w:after="120" w:line="276" w:lineRule="auto"/>
      </w:pPr>
      <w:r>
        <w:t>**Conclusion technique** : Les indicateurs sont **divergents**. Les moyennes mobiles confirment la tendance haussière de fond (Achat), tandis que le MACD et le Stochastique émettent des signaux de vente à court terme, et le RSI/Bollinger restent neutres. Cette configuration suggère un **essoufflement technique après le rallye de +41%** : le titre pourrait consolider avant de reprendre sa tendance. Prudence à court terme, tendance de fond intacte.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ORAC affiche un chiffre d'affaires de **1 197,1 milliards FCFA** (+10,4% vs 2024), un résultat net de **167,8 milliards FCFA** (+6,1%) et un résultat net part du groupe de **129,1 milliards FCFA** (+14,5%). La rentabilité est excellente avec un **ROE de 23,71%** (&gt;15% = excellent) et un **ROA de 6,57%**. La marge nette s'établit à **14,02%**, la marge opérationnelle à **23,99%** et la marge brute à **59,64%**. Sur le plan structurel, l'autonomie financière est de **27,71%** (légèrement sous le seuil de 30%), mais la solvabilité générale (138,34%) et la couverture des intérêts (1018,44%) sont très solides. Le **BFR est négatif (-198 milliards FCFA)**, ce qui est favorable (financement par les fournisseurs), avec un délai fournisseurs élevé de **210,87 jours** contre un délai clients de **52,26 jours**. La capacité de remboursement est de **0,99 an** (excellent).</w:t>
      </w:r>
    </w:p>
    <w:p>
      <w:pPr>
        <w:spacing w:after="120" w:line="276" w:lineRule="auto"/>
      </w:pPr>
      <w:r>
        <w:t>**Adaptation au secteur ENTREPRISE** : Les délais d'exploitation confirment la position de force d'ORAC face à ses fournisseurs (délai de paiement long = bon pour la trésorerie), tandis que le délai client modéré (52 jours) limite le risque de créances impayées. La rotation des actifs (46,87%) et le coefficient d'exploitation (46,66%) témoignent d'une efficacité opérationnelle robuste.</w:t>
      </w:r>
    </w:p>
    <w:p>
      <w:pPr>
        <w:spacing w:after="120" w:line="276" w:lineRule="auto"/>
      </w:pPr>
      <w:r>
        <w:t>**Estimations basées sur les rapports trimestriels** : Le rapport **T1 2026 (publié le 31/03/2026)** révèle un CA de **325,6 milliards FCFA** (+14,8%) et un résultat net de **48,3 milliards FCFA** (+25,2%), avec une marge nette de 14,8%. Le rapport **S1 2026 (publié le 30/06/2026)** confirme cette accélération : CA de **672,8 milliards FCFA** (+16,1%), résultat net de **90,3 milliards FCFA** (+18,3%), EBITDAaL de 239,3 milliards (+19,2%). Sur cette base, on peut **estimer** un CA annuel 2026 autour de **1 350-1 400 milliards FCFA** (+13-17%) et un résultat net de **190-200 milliards FCFA** (+13-19%), soit un BPA estimé de **1 260-1 330 FCFA**. Le rapport annuel 2025 (publié le 31/12/2025) confirme un dividende brut de **800 FCFA/action** (rendement de 3,6% au cours actuel), prélevé sur le report à nouveau.</w:t>
      </w:r>
    </w:p>
    <w:p>
      <w:pPr>
        <w:spacing w:after="120" w:line="276" w:lineRule="auto"/>
      </w:pPr>
      <w:r>
        <w:t>**Recommandation fondamentale** : Les fondamentaux sont **excellents** — croissance à deux chiffres, rentabilité élevée (ROE &gt;23%), structure financière saine malgré un endettement modéré, et génération de cash-flow solide (CAF de 340 milliards). Les risques identifiés (pression fiscale, concurrence, exposition multi-pays) sont réels mais maîtrisés. La dynamique 2026 (T1 et S1) est nettement supérieure à 2025, ce qui devrait soutenir le titre.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exigeante (PER 19,7x, P/B 4,68x) mais justifiée par la qualité des fondamentaux et le leadership régional ; l'EV/EBITDA de 7,9x reste raisonnable. Le **comportement du cours (Partie 1)** est nettement haussier (+41% sur 100 jours), avec une volatilité élevée (35,6%) mais une distribution sans pics extrêmes (kurtosis -1,465) et une asymétrie positive (skewness 0,535) — le rallye est récent et pourrait se poursuivre. Les **signaux techniques (Partie 2)** sont divergents : tendance de fond haussière (MM) mais essoufflement à court terme (MACD vendeur, Stochastique en surachat extrême à 99,8). Les **fondamentaux (Partie 3)** sont excellents, avec une accélération en 2026 (CA +16,1% au S1, résultat net +18,3%) qui devrait se traduire par un BPA 2026 estimé à 1 260-1 330 FCFA. Les **prédictions IA (J+1 à J+10)** anticipent une légère consolidation de 21 727 FCFA (J+1) à 21 637 FCFA (J+10), soit -1,6% sur 10 jours, ce qui **confirme l'essoufflement technique** identifié par le MACD et le Stochastique.</w:t>
      </w:r>
    </w:p>
    <w:p>
      <w:pPr>
        <w:spacing w:after="120" w:line="276" w:lineRule="auto"/>
      </w:pPr>
      <w:r>
        <w:t>**Recommandation finale** : **CONSERVER** (avec biais haussier à moyen terme). La convergence entre fondamentaux solides, tendance de fond haussière et prédictions de consolidation à court terme suggère de **ne pas acheter au plus haut** (le titre est proche de ses sommets) mais de **conserver** les positions existantes en attendant une correction vers 21 000-21 500 FCFA pour renforcer. **Niveau de confiance : Moyen** (divergence technique court terme vs fondamentaux long terme). **Niveau de risque : Moyen** (volatilité élevée mais fondamentaux solides). **Horizon optimal : Moyen terme (3-12 mois)** — le temps que la consolidation technique s'achève et que les résultats 2026 confirment l'accélération de la croissance.</w:t>
      </w:r>
    </w:p>
    <w:p>
      <w:pPr>
        <w:spacing w:after="120" w:line="276" w:lineRule="auto"/>
      </w:pPr>
      <w:r>
        <w:t>---</w:t>
      </w:r>
    </w:p>
    <w:p>
      <w:pPr>
        <w:spacing w:after="120" w:line="276" w:lineRule="auto"/>
      </w:pPr>
      <w:r>
        <w:t>*Rapport généré le 12 octobre 2026 — Sources : BRVM, états financiers ORAC 2025, rapports T1 2026 (31/03/2026), S1 2026 (30/06/2026), rapport annuel 2025 (31/12/2025), avis de convocation AG (03/04/2026).*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208.25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4,362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+20.24%</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2,495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8.12% (Moyenne) — μ=2,905 FCFA, σ=236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β=0.8342 (Neutre (suit le marché)) — Cov=0.000061, Var(idx)=0.000073, ρ=0.320,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2,822</w:t>
            </w:r>
          </w:p>
        </w:tc>
        <w:tc>
          <w:tcPr>
            <w:tcW w:type="dxa" w:w="1440"/>
            <w:shd w:fill="FAFAFA" w:val="clear"/>
          </w:tcPr>
          <w:p>
            <w:r>
              <w:rPr>
                <w:b/>
                <w:sz w:val="17"/>
              </w:rPr>
              <w:t>2,956</w:t>
            </w:r>
          </w:p>
        </w:tc>
        <w:tc>
          <w:tcPr>
            <w:tcW w:type="dxa" w:w="1440"/>
            <w:shd w:fill="FAFAFA" w:val="clear"/>
          </w:tcPr>
          <w:p>
            <w:r>
              <w:rPr>
                <w:sz w:val="17"/>
              </w:rPr>
              <w:t>3,090</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2,765</w:t>
            </w:r>
          </w:p>
        </w:tc>
        <w:tc>
          <w:tcPr>
            <w:tcW w:type="dxa" w:w="1440"/>
            <w:shd w:fill="FAFAFA" w:val="clear"/>
          </w:tcPr>
          <w:p>
            <w:r>
              <w:rPr>
                <w:b/>
                <w:sz w:val="17"/>
              </w:rPr>
              <w:t>2,955</w:t>
            </w:r>
          </w:p>
        </w:tc>
        <w:tc>
          <w:tcPr>
            <w:tcW w:type="dxa" w:w="1440"/>
            <w:shd w:fill="FAFAFA" w:val="clear"/>
          </w:tcPr>
          <w:p>
            <w:r>
              <w:rPr>
                <w:sz w:val="17"/>
              </w:rPr>
              <w:t>3,145</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2,719</w:t>
            </w:r>
          </w:p>
        </w:tc>
        <w:tc>
          <w:tcPr>
            <w:tcW w:type="dxa" w:w="1440"/>
            <w:shd w:fill="FAFAFA" w:val="clear"/>
          </w:tcPr>
          <w:p>
            <w:r>
              <w:rPr>
                <w:b/>
                <w:sz w:val="17"/>
              </w:rPr>
              <w:t>2,951</w:t>
            </w:r>
          </w:p>
        </w:tc>
        <w:tc>
          <w:tcPr>
            <w:tcW w:type="dxa" w:w="1440"/>
            <w:shd w:fill="FAFAFA" w:val="clear"/>
          </w:tcPr>
          <w:p>
            <w:r>
              <w:rPr>
                <w:sz w:val="17"/>
              </w:rPr>
              <w:t>3,182</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2,679</w:t>
            </w:r>
          </w:p>
        </w:tc>
        <w:tc>
          <w:tcPr>
            <w:tcW w:type="dxa" w:w="1440"/>
            <w:shd w:fill="FAFAFA" w:val="clear"/>
          </w:tcPr>
          <w:p>
            <w:r>
              <w:rPr>
                <w:b/>
                <w:sz w:val="17"/>
              </w:rPr>
              <w:t>2,946</w:t>
            </w:r>
          </w:p>
        </w:tc>
        <w:tc>
          <w:tcPr>
            <w:tcW w:type="dxa" w:w="1440"/>
            <w:shd w:fill="FAFAFA" w:val="clear"/>
          </w:tcPr>
          <w:p>
            <w:r>
              <w:rPr>
                <w:sz w:val="17"/>
              </w:rPr>
              <w:t>3,214</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2,644</w:t>
            </w:r>
          </w:p>
        </w:tc>
        <w:tc>
          <w:tcPr>
            <w:tcW w:type="dxa" w:w="1440"/>
            <w:shd w:fill="FAFAFA" w:val="clear"/>
          </w:tcPr>
          <w:p>
            <w:r>
              <w:rPr>
                <w:b/>
                <w:sz w:val="17"/>
              </w:rPr>
              <w:t>2,942</w:t>
            </w:r>
          </w:p>
        </w:tc>
        <w:tc>
          <w:tcPr>
            <w:tcW w:type="dxa" w:w="1440"/>
            <w:shd w:fill="FAFAFA" w:val="clear"/>
          </w:tcPr>
          <w:p>
            <w:r>
              <w:rPr>
                <w:sz w:val="17"/>
              </w:rPr>
              <w:t>3,241</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2,612</w:t>
            </w:r>
          </w:p>
        </w:tc>
        <w:tc>
          <w:tcPr>
            <w:tcW w:type="dxa" w:w="1440"/>
            <w:shd w:fill="FFDCE0" w:val="clear"/>
          </w:tcPr>
          <w:p>
            <w:r>
              <w:rPr>
                <w:b/>
                <w:sz w:val="17"/>
              </w:rPr>
              <w:t>2,939</w:t>
            </w:r>
          </w:p>
        </w:tc>
        <w:tc>
          <w:tcPr>
            <w:tcW w:type="dxa" w:w="1440"/>
            <w:shd w:fill="FFDCE0" w:val="clear"/>
          </w:tcPr>
          <w:p>
            <w:r>
              <w:rPr>
                <w:sz w:val="17"/>
              </w:rPr>
              <w:t>3,265</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2,583</w:t>
            </w:r>
          </w:p>
        </w:tc>
        <w:tc>
          <w:tcPr>
            <w:tcW w:type="dxa" w:w="1440"/>
            <w:shd w:fill="FFDCE0" w:val="clear"/>
          </w:tcPr>
          <w:p>
            <w:r>
              <w:rPr>
                <w:b/>
                <w:sz w:val="17"/>
              </w:rPr>
              <w:t>2,935</w:t>
            </w:r>
          </w:p>
        </w:tc>
        <w:tc>
          <w:tcPr>
            <w:tcW w:type="dxa" w:w="1440"/>
            <w:shd w:fill="FFDCE0" w:val="clear"/>
          </w:tcPr>
          <w:p>
            <w:r>
              <w:rPr>
                <w:sz w:val="17"/>
              </w:rPr>
              <w:t>3,288</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2,556</w:t>
            </w:r>
          </w:p>
        </w:tc>
        <w:tc>
          <w:tcPr>
            <w:tcW w:type="dxa" w:w="1440"/>
            <w:shd w:fill="FFDCE0" w:val="clear"/>
          </w:tcPr>
          <w:p>
            <w:r>
              <w:rPr>
                <w:b/>
                <w:sz w:val="17"/>
              </w:rPr>
              <w:t>2,932</w:t>
            </w:r>
          </w:p>
        </w:tc>
        <w:tc>
          <w:tcPr>
            <w:tcW w:type="dxa" w:w="1440"/>
            <w:shd w:fill="FFDCE0" w:val="clear"/>
          </w:tcPr>
          <w:p>
            <w:r>
              <w:rPr>
                <w:sz w:val="17"/>
              </w:rPr>
              <w:t>3,308</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2,530</w:t>
            </w:r>
          </w:p>
        </w:tc>
        <w:tc>
          <w:tcPr>
            <w:tcW w:type="dxa" w:w="1440"/>
            <w:shd w:fill="FFDCE0" w:val="clear"/>
          </w:tcPr>
          <w:p>
            <w:r>
              <w:rPr>
                <w:b/>
                <w:sz w:val="17"/>
              </w:rPr>
              <w:t>2,929</w:t>
            </w:r>
          </w:p>
        </w:tc>
        <w:tc>
          <w:tcPr>
            <w:tcW w:type="dxa" w:w="1440"/>
            <w:shd w:fill="FFDCE0" w:val="clear"/>
          </w:tcPr>
          <w:p>
            <w:r>
              <w:rPr>
                <w:sz w:val="17"/>
              </w:rPr>
              <w:t>3,327</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2,506</w:t>
            </w:r>
          </w:p>
        </w:tc>
        <w:tc>
          <w:tcPr>
            <w:tcW w:type="dxa" w:w="1440"/>
            <w:shd w:fill="FFDCE0" w:val="clear"/>
          </w:tcPr>
          <w:p>
            <w:r>
              <w:rPr>
                <w:b/>
                <w:sz w:val="17"/>
              </w:rPr>
              <w:t>2,925</w:t>
            </w:r>
          </w:p>
        </w:tc>
        <w:tc>
          <w:tcPr>
            <w:tcW w:type="dxa" w:w="1440"/>
            <w:shd w:fill="FFDCE0" w:val="clear"/>
          </w:tcPr>
          <w:p>
            <w:r>
              <w:rPr>
                <w:sz w:val="17"/>
              </w:rPr>
              <w:t>3,345</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208,25 milliards FCFA, ORGT se positionne parmi les valeurs bancaires de premier plan de la cote BRVM, reflétant la taille significative du groupe panafricain présent dans douze pays. Le BPA de 312 FCFA/action indique que chaque titre génère un bénéfice net de 312 FCFA, ce qui, rapporté au cours actuel de 3 000 FCFA, donne un PER de 9,6x — un niveau modéré, légèrement inférieur à la moyenne BRVM (8-12x), suggérant une valorisation raisonnable voire une légère sous-évaluation au regard des bénéfices. Le ratio P/B de 1,84x montre que le marché valorise l'action à près du double de sa valeur comptable, ce qui reste dans une fourchette acceptable (1-2x) pour une banque affichant un ROE de 19,1%. En revanche, l'EV/EBITDA de 19,7x apparaît très exigeant (&gt;15x), signalant que la valeur d'entreprise intègre déjà une prime de redressement importante ; ce ratio doit toutefois être interprété avec prudence pour une banque, où l'EBITDA est moins pertinent que le PNB comme mesure de performance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progression totale de +20,24%, avec une dernière séance en hausse de +3,81%, confirmant un momentum haussier de court terme. Le cours a évolué dans un range de 905 FCFA, entre un plus bas de 2 495 FCFA et un plus haut de 3 400 FCFA, le cours actuel de 3 000 FCFA se situant à mi-chemin, légèrement au-dessus de la moyenne de 2 905 FCFA. La proximité entre moyenne (2 905 FCFA) et médiane (2 875 FCFA) indique une distribution quasi-symétrique, confirmée par un skewness de 0,254 (distribution symétrique), tandis que le mode à 2 680 FCFA suggère que le prix a longtemps stagné autour de ce niveau avant la récente accélération. L'écart-type de 237 FCFA et le coefficient de variation de 8,2% traduisent une dispersion modérée du cours, mais le kurtosis négatif de -1,215 (distribution platykurtique) signale une faible concentration des rendements et un risque de mouvements amples moins fréquent que dans une distribution normale. La volatilité annualisée de 35,7% classe le titre dans la catégorie des valeurs à volatilité élevée (&gt;30%), ce qui est cohérent avec le profil de redressement d'une banque en restructuration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(3 046,5 FCFA) et la MM50 (3 114,0 FCFA) se situent toutes deux au-dessus du cours actuel de 3 000 FCFA, avec une MM20 inférieure à la MM50, configuration baissière classique. Le cours évoluant sous ses deux moyennes, la pression vendeuse domine et justifie la décision technique de **Vente**.</w:t>
      </w:r>
    </w:p>
    <w:p>
      <w:pPr>
        <w:spacing w:after="120" w:line="276" w:lineRule="auto"/>
      </w:pPr>
      <w:r>
        <w:t>**Bandes de Bollinger** : Le cours (3 000 FCFA) se situe dans la partie médiane de la bande, entre la borne inférieure (2 751,6 FCFA) et supérieure (3 341,4 FCFA), sans toucher les extrêmes. Cette position centrale, couplée à un écartement modéré des bandes, traduit une volatilité normale et une absence de signal directionnel fort, d'où la décision **Neutre**.</w:t>
      </w:r>
    </w:p>
    <w:p>
      <w:pPr>
        <w:spacing w:after="120" w:line="276" w:lineRule="auto"/>
      </w:pPr>
      <w:r>
        <w:t>**MACD** : Le MACD (-53,156) est inférieur à son signal (-44,045), confirmant une divergence baissière et un momentum négatif. La position négative des deux lignes indique que la dynamique de court terme reste défavorable, justifiant la décision de **Vente**.</w:t>
      </w:r>
    </w:p>
    <w:p>
      <w:pPr>
        <w:spacing w:after="120" w:line="276" w:lineRule="auto"/>
      </w:pPr>
      <w:r>
        <w:t>**RSI** : À 42,146, le RSI se situe dans la zone neutre (30-70), sans atteindre la zone de survente (&lt;30) ni de surachat (&gt;70). Cette valeur traduit un équilibre relatif entre acheteurs et vendeurs, mais légèrement orienté à la baisse, d'où la décision **Neutre**.</w:t>
      </w:r>
    </w:p>
    <w:p>
      <w:pPr>
        <w:spacing w:after="120" w:line="276" w:lineRule="auto"/>
      </w:pPr>
      <w:r>
        <w:t>**Stochastique** : Le %K (60,606) est supérieur au %D (40,404), avec un croisement récent à la hausse du %K au-dessus du %D, signal potentiellement haussier de court terme. Toutefois, les deux lignes restant dans une zone médiane, la décision demeure **Neutre** en l'absence de confirmation.</w:t>
      </w:r>
    </w:p>
    <w:p>
      <w:pPr>
        <w:spacing w:after="120" w:line="276" w:lineRule="auto"/>
      </w:pPr>
      <w:r>
        <w:t>**Conclusion technique** : Les indicateurs techniques présentent un tableau mitigé, avec une majorité de signaux neutres (Bollinger, RSI, Stochastique) et deux signaux baissiers (MM, MACD). Le cours évolue sous ses moyennes mobiles avec un MACD négatif, ce qui pèse sur la tendance, mais le stochastique suggère un possible rebond de court terme. Dans l'ensemble, la configuration technique reste fragile et ne plaide pas pour une entrée agressive à l'achat.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ORGT affiche un Produit Net Bancaire (PNB) de 186,609 milliards FCFA, en recul de -4,52% sur un an, reflétant une contraction délibérée de l'activité de crédit. Le résultat net consolidé s'établit à 21,643 milliards FCFA, marquant un redressement spectaculaire après la perte de -44,363 milliards FCFA en 2024. Le ROE atteint 19,13% (&gt;15%, excellent) et le ROA 0,54%, tandis que le coefficient d'exploitation de 42,85% (&lt;60%) confirme l'efficacité opérationnelle de la banque. Le coût du risque, mesuré à 3,74% des charges financières, s'est effondré de -90% (passant de -69,1 à -7,0 milliards FCFA), libérant mécaniquement le résultat net. Le ratio dépôts/crédits s'établit à 3 088,7/1 523,8 = 2,03x, traduisant une surliquidité et une sous-utilisation des dépôts, tandis que les créances interbancaires (275,5 milliards FCFA) et les dettes interbancaires (432,7 milliards FCFA) montrent une dépendance au refinancement de marché.</w:t>
      </w:r>
    </w:p>
    <w:p>
      <w:pPr>
        <w:spacing w:after="120" w:line="276" w:lineRule="auto"/>
      </w:pPr>
      <w:r>
        <w:t>**Estimations basées sur les rapports trimestriels** : Selon le rapport T1 2026 (publié en 2026), le PNB recule de -2% à 50,124 milliards FCFA mais le résultat net progresse de +37% à 6,555 milliards FCFA, avec des dépôts en hausse de +14% à 3 343 milliards FCFA. Sur cette base, on peut estimer que l'exercice 2026 devrait confirmer la tendance au redressement, avec un résultat net annualisé potentiellement supérieur à 25 milliards FCFA si la dynamique se maintient. Le rapport S1 2025 (daté du 30 juin 2025) faisait déjà état d'un bénéfice net de 18,3 milliards FCFA (+232%), et le rapport 9 mois 2025 (30 septembre 2025) de 19,6 milliards FCFA (+248%), confirmant la solidité de la trajectoire. Cependant, l'absence de dividende (confirmée par l'avis de convocation à l'AG du 23 juillet 2026) et la perte nette de -8,04 milliards FCFA au niveau de la holding Oragroup SA (comptes sociaux) constituent des points de vigilance.</w:t>
      </w:r>
    </w:p>
    <w:p>
      <w:pPr>
        <w:spacing w:after="120" w:line="276" w:lineRule="auto"/>
      </w:pPr>
      <w:r>
        <w:t>**Recommandation fondamentale** : La banque affiche une solidité bilancielle retrouvée (capitaux propres de 113,2 milliards FCFA, +17%), une rentabilité excellente (ROE 19,1%) et une efficacité opérationnelle remarquable (coefficient d'exploitation 42,9%). Toutefois, la baisse du PNB (-4,5%) et l'absence de dividende limitent l'attrait pour les revenus. La recommandation fondamentale est **CONSERVER**, avec un biais positif à moyen terme si la relance commerciale se confirme.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raisonnable avec un PER de 9,6x et un P/B de 1,84x, bien que l'EV/EBITDA de 19,7x soit exigeant. Le comportement du cours (Partie 1) est haussier sur 100 jours (+20,24%) mais avec une volatilité élevée (35,7%) et une distribution platykurtique indiquant un risque de mouvements amples. Les signaux techniques (Partie 2) sont majoritairement neutres à baissiers, avec un cours sous ses moyennes mobiles et un MACD négatif, ce qui ne plaide pas pour une entrée immédiate. Les fondamentaux (Partie 3) sont solides : redressement spectaculaire du résultat net (21,6 milliards FCFA en 2025), ROE de 19,1%, coefficient d'exploitation de 42,9%, et confirmation de la tendance au T1 2026 (+37% de résultat net). Les prédictions IA (J+1 à J+10) anticipent une légère baisse du cours de 2 956 à 2 942 FCFA, ce qui contredit le momentum haussier récent mais s'aligne sur les signaux techniques baissiers. **En synthèse, la convergence entre technique baissier, prédiction baissière et fondamental solide mais sans dividende conduit à une recommandation de CONSERVER, avec un niveau de confiance Moyen et un risque global Élevé (volatilité 35,7%, absence de dividende, dépendance à la baisse du coût du risque). L'horizon d'investissement optimal est le moyen terme (3-12 mois), en attendant la confirmation d'une reprise durable du PNB et l'annonce d'une politique de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120.58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4,329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+1.30%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5.39% (Moyenne) — μ=8,629 FCFA, σ=465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β=0.0698 (Défensif) — Cov=0.000005, Var(idx)=0.000073, ρ=0.028,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7,542</w:t>
            </w:r>
          </w:p>
        </w:tc>
        <w:tc>
          <w:tcPr>
            <w:tcW w:type="dxa" w:w="1440"/>
            <w:shd w:fill="FAFAFA" w:val="clear"/>
          </w:tcPr>
          <w:p>
            <w:r>
              <w:rPr>
                <w:b/>
                <w:sz w:val="17"/>
              </w:rPr>
              <w:t>7,802</w:t>
            </w:r>
          </w:p>
        </w:tc>
        <w:tc>
          <w:tcPr>
            <w:tcW w:type="dxa" w:w="1440"/>
            <w:shd w:fill="FAFAFA" w:val="clear"/>
          </w:tcPr>
          <w:p>
            <w:r>
              <w:rPr>
                <w:sz w:val="17"/>
              </w:rPr>
              <w:t>8,062</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7,387</w:t>
            </w:r>
          </w:p>
        </w:tc>
        <w:tc>
          <w:tcPr>
            <w:tcW w:type="dxa" w:w="1440"/>
            <w:shd w:fill="FAFAFA" w:val="clear"/>
          </w:tcPr>
          <w:p>
            <w:r>
              <w:rPr>
                <w:b/>
                <w:sz w:val="17"/>
              </w:rPr>
              <w:t>7,753</w:t>
            </w:r>
          </w:p>
        </w:tc>
        <w:tc>
          <w:tcPr>
            <w:tcW w:type="dxa" w:w="1440"/>
            <w:shd w:fill="FAFAFA" w:val="clear"/>
          </w:tcPr>
          <w:p>
            <w:r>
              <w:rPr>
                <w:sz w:val="17"/>
              </w:rPr>
              <w:t>8,118</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7,275</w:t>
            </w:r>
          </w:p>
        </w:tc>
        <w:tc>
          <w:tcPr>
            <w:tcW w:type="dxa" w:w="1440"/>
            <w:shd w:fill="FAFAFA" w:val="clear"/>
          </w:tcPr>
          <w:p>
            <w:r>
              <w:rPr>
                <w:b/>
                <w:sz w:val="17"/>
              </w:rPr>
              <w:t>7,721</w:t>
            </w:r>
          </w:p>
        </w:tc>
        <w:tc>
          <w:tcPr>
            <w:tcW w:type="dxa" w:w="1440"/>
            <w:shd w:fill="FAFAFA" w:val="clear"/>
          </w:tcPr>
          <w:p>
            <w:r>
              <w:rPr>
                <w:sz w:val="17"/>
              </w:rPr>
              <w:t>8,166</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7,177</w:t>
            </w:r>
          </w:p>
        </w:tc>
        <w:tc>
          <w:tcPr>
            <w:tcW w:type="dxa" w:w="1440"/>
            <w:shd w:fill="FAFAFA" w:val="clear"/>
          </w:tcPr>
          <w:p>
            <w:r>
              <w:rPr>
                <w:b/>
                <w:sz w:val="17"/>
              </w:rPr>
              <w:t>7,690</w:t>
            </w:r>
          </w:p>
        </w:tc>
        <w:tc>
          <w:tcPr>
            <w:tcW w:type="dxa" w:w="1440"/>
            <w:shd w:fill="FAFAFA" w:val="clear"/>
          </w:tcPr>
          <w:p>
            <w:r>
              <w:rPr>
                <w:sz w:val="17"/>
              </w:rPr>
              <w:t>8,203</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7,088</w:t>
            </w:r>
          </w:p>
        </w:tc>
        <w:tc>
          <w:tcPr>
            <w:tcW w:type="dxa" w:w="1440"/>
            <w:shd w:fill="FAFAFA" w:val="clear"/>
          </w:tcPr>
          <w:p>
            <w:r>
              <w:rPr>
                <w:b/>
                <w:sz w:val="17"/>
              </w:rPr>
              <w:t>7,659</w:t>
            </w:r>
          </w:p>
        </w:tc>
        <w:tc>
          <w:tcPr>
            <w:tcW w:type="dxa" w:w="1440"/>
            <w:shd w:fill="FAFAFA" w:val="clear"/>
          </w:tcPr>
          <w:p>
            <w:r>
              <w:rPr>
                <w:sz w:val="17"/>
              </w:rPr>
              <w:t>8,230</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7,007</w:t>
            </w:r>
          </w:p>
        </w:tc>
        <w:tc>
          <w:tcPr>
            <w:tcW w:type="dxa" w:w="1440"/>
            <w:shd w:fill="FFDCE0" w:val="clear"/>
          </w:tcPr>
          <w:p>
            <w:r>
              <w:rPr>
                <w:b/>
                <w:sz w:val="17"/>
              </w:rPr>
              <w:t>7,630</w:t>
            </w:r>
          </w:p>
        </w:tc>
        <w:tc>
          <w:tcPr>
            <w:tcW w:type="dxa" w:w="1440"/>
            <w:shd w:fill="FFDCE0" w:val="clear"/>
          </w:tcPr>
          <w:p>
            <w:r>
              <w:rPr>
                <w:sz w:val="17"/>
              </w:rPr>
              <w:t>8,253</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6,931</w:t>
            </w:r>
          </w:p>
        </w:tc>
        <w:tc>
          <w:tcPr>
            <w:tcW w:type="dxa" w:w="1440"/>
            <w:shd w:fill="FFDCE0" w:val="clear"/>
          </w:tcPr>
          <w:p>
            <w:r>
              <w:rPr>
                <w:b/>
                <w:sz w:val="17"/>
              </w:rPr>
              <w:t>7,602</w:t>
            </w:r>
          </w:p>
        </w:tc>
        <w:tc>
          <w:tcPr>
            <w:tcW w:type="dxa" w:w="1440"/>
            <w:shd w:fill="FFDCE0" w:val="clear"/>
          </w:tcPr>
          <w:p>
            <w:r>
              <w:rPr>
                <w:sz w:val="17"/>
              </w:rPr>
              <w:t>8,273</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6,861</w:t>
            </w:r>
          </w:p>
        </w:tc>
        <w:tc>
          <w:tcPr>
            <w:tcW w:type="dxa" w:w="1440"/>
            <w:shd w:fill="FFDCE0" w:val="clear"/>
          </w:tcPr>
          <w:p>
            <w:r>
              <w:rPr>
                <w:b/>
                <w:sz w:val="17"/>
              </w:rPr>
              <w:t>7,575</w:t>
            </w:r>
          </w:p>
        </w:tc>
        <w:tc>
          <w:tcPr>
            <w:tcW w:type="dxa" w:w="1440"/>
            <w:shd w:fill="FFDCE0" w:val="clear"/>
          </w:tcPr>
          <w:p>
            <w:r>
              <w:rPr>
                <w:sz w:val="17"/>
              </w:rPr>
              <w:t>8,290</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6,795</w:t>
            </w:r>
          </w:p>
        </w:tc>
        <w:tc>
          <w:tcPr>
            <w:tcW w:type="dxa" w:w="1440"/>
            <w:shd w:fill="FFDCE0" w:val="clear"/>
          </w:tcPr>
          <w:p>
            <w:r>
              <w:rPr>
                <w:b/>
                <w:sz w:val="17"/>
              </w:rPr>
              <w:t>7,550</w:t>
            </w:r>
          </w:p>
        </w:tc>
        <w:tc>
          <w:tcPr>
            <w:tcW w:type="dxa" w:w="1440"/>
            <w:shd w:fill="FFDCE0" w:val="clear"/>
          </w:tcPr>
          <w:p>
            <w:r>
              <w:rPr>
                <w:sz w:val="17"/>
              </w:rPr>
              <w:t>8,305</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6,732</w:t>
            </w:r>
          </w:p>
        </w:tc>
        <w:tc>
          <w:tcPr>
            <w:tcW w:type="dxa" w:w="1440"/>
            <w:shd w:fill="FFDCE0" w:val="clear"/>
          </w:tcPr>
          <w:p>
            <w:r>
              <w:rPr>
                <w:b/>
                <w:sz w:val="17"/>
              </w:rPr>
              <w:t>7,526</w:t>
            </w:r>
          </w:p>
        </w:tc>
        <w:tc>
          <w:tcPr>
            <w:tcW w:type="dxa" w:w="1440"/>
            <w:shd w:fill="FFDCE0" w:val="clear"/>
          </w:tcPr>
          <w:p>
            <w:r>
              <w:rPr>
                <w:sz w:val="17"/>
              </w:rPr>
              <w:t>8,319</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120,58 milliards FCFA, PALC se positionne comme une valeur de premier plan de la cote BRVM, représentant un acteur agro-industriel structurant de la filière palmier à huile ivoirienne. Le BPA de 1 003 FCFA/action signifie que chaque titre génère environ 1 003 FCFA de bénéfice net, ce qui, rapporté au cours actuel de 7 800 FCFA, offre un rendement bénéficiaire implicite de 12,9 %. Le PER de 7,8x traduit un prix payé par les investisseurs inférieur à la moyenne du marché BRVM (généralement située entre 8x et 12x), signalant une potentielle sous-évaluation relative. Le P/B de 0,85x indique que le marché valorise PALC en dessous de sa valeur comptable (capitaux propres de 142,6 milliards FCFA), une situation rare qui peut constituer une opportunité pour un investisseur value. Enfin, l'EV/EBITDA de 3,8x, très inférieur au seuil de 5x, suggère que la valeur d'entreprise est particulièrement bon marché au regard de la capacité opérationnelle de la société, renforçant le diagnostic de sous-valorisation.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+1,30 %, avec une progression de +0,65 % lors de la dernière séance, portant le cours actuel à 7 800 FCFA. Le range de trading s'établit entre un plus haut de 9 640 FCFA et un plus bas de 7 680 FCFA, soit un écart de près de 2 000 FCFA (environ 25 %), ce qui témoigne d'une amplitude significative. La tendance générale apparaît baissière sur la période, le cours actuel (7 800 FCFA) se situant tout près du plus bas historique récent, bien en deçà de la moyenne (8 629 FCFA) et de la médiane (8 690 FCFA). L'écart très faible entre moyenne et médiane (61 FCFA) confirme une distribution quasi-symétrique, cohérente avec le skewness de -0,196 indiquant une légère asymétrie négative (quelques valeurs extrêmes basses). L'écart-type de 468 FCFA et le coefficient de variation de 5,4 % traduisent une dispersion modérée du cours autour de sa moyenne. Le kurtosis de -0,240 (mésokurtique) indique une distribution proche de la normale, sans risque majeur de pics extrêmes, ce qui est rassurant pour la gestion du risque. La volatilité annualisée de 34,1 % classe PALC dans la catégorie des titres à volatilité élevée (&gt;30 %), ce qui implique un risque de marché non négligeable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(8 270,75 FCFA) et la MM50 (8 759,40 FCFA) se situent toutes deux au-dessus du cours actuel (7 800 FCFA), avec une MM20 inférieure à la MM50, configuration baissière caractéristique. Le cours évoluant sous ses deux moyennes mobiles, la pression vendeuse domine, justifiant la décision technique de **Vente**.</w:t>
      </w:r>
    </w:p>
    <w:p>
      <w:pPr>
        <w:spacing w:after="120" w:line="276" w:lineRule="auto"/>
      </w:pPr>
      <w:r>
        <w:t>**Bandes de Bollinger** : Le cours (7 800 FCFA) se situe légèrement sous la borne inférieure (7 805,82 FCFA), signalant une situation de survente extrême et une possible réaction haussière à court terme. L'écart entre les bornes (930 FCFA) reflète une volatilité modérée, et la décision technique est à l'**Achat** sur anticipation d'un rebond technique.</w:t>
      </w:r>
    </w:p>
    <w:p>
      <w:pPr>
        <w:spacing w:after="120" w:line="276" w:lineRule="auto"/>
      </w:pPr>
      <w:r>
        <w:t>**MACD** : La valeur du MACD (-205,62) est inférieure à son signal (-188,79), confirmant un momentum baissier persistant. Le croisement MACD sous le signal indique que la dynamique négative n'est pas encore inversée, justifiant la décision de **Vente**.</w:t>
      </w:r>
    </w:p>
    <w:p>
      <w:pPr>
        <w:spacing w:after="120" w:line="276" w:lineRule="auto"/>
      </w:pPr>
      <w:r>
        <w:t>**RSI** : À 29,23, le RSI se situe en zone de survente (&lt;30), signalant que le titre a été excessivement vendu et qu'un rebond technique est probable. Cette configuration justifie la décision technique d'**Achat** à court terme.</w:t>
      </w:r>
    </w:p>
    <w:p>
      <w:pPr>
        <w:spacing w:after="120" w:line="276" w:lineRule="auto"/>
      </w:pPr>
      <w:r>
        <w:t>**Stochastique** : Le %K (8,0) est très inférieur au %D (26,64), avec un %K en zone de survente profonde (&lt;20). Cette configuration extrême précède souvent un retournement haussier, justifiant la décision d'**Achat**.</w:t>
      </w:r>
    </w:p>
    <w:p>
      <w:pPr>
        <w:spacing w:after="120" w:line="276" w:lineRule="auto"/>
      </w:pPr>
      <w:r>
        <w:t>**Conclusion technique** : Les indicateurs présentent une divergence notable : les moyennes mobiles et le MACD confirment une tendance baissière de fond, tandis que le RSI, le stochastique et les bandes de Bollinger signalent une survente extrême propice à un rebond technique à court terme. Cette configuration suggère une possible stabilisation du cours dans les prochaines séances, mais la tendance de fond reste fragile tant que le cours n'aura pas reconquis la MM20 (8 270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PALC a réalisé un chiffre d'affaires de 197,63 milliards FCFA, en croissance de +14,78 % par rapport à 2024 (172,2 milliards FCFA), portée par les ventes de produits fabriqués (+10,2 %). Le résultat net s'établit à 15,51 milliards FCFA, en léger recul de -2,2 % par rapport à 2024 (15,9 milliards FCFA), sous l'effet de la pression sur les coûts (charges de personnel +4,0 %, services extérieurs +30,3 %). Le ROE de 10,87 % et le ROA de 7,79 % traduisent une rentabilité correcte mais en deçà des standards d'excellence (&gt;15 % pour le ROE). La structure financière est remarquablement saine : autonomie financière de 71,64 %, ratio d'endettement de 0,56 %, solvabilité générale de 352,56 % et liquidité générale de 171,95 %. Le BFR de 44,62 milliards FCFA (positif) et le délai clients élevé de 142,58 jours constituent toutefois un point de vigilance pour la trésorerie. La trésorerie nette est négative à -4,56 milliards FCFA, mais la capacité de remboursement (0,03 an) et la couverture des intérêts (1 415,66 %) sont excellentes.</w:t>
      </w:r>
    </w:p>
    <w:p>
      <w:pPr>
        <w:spacing w:after="120" w:line="276" w:lineRule="auto"/>
      </w:pPr>
      <w:r>
        <w:t>**Adaptation au secteur (entreprise agro-industrielle)** : Le délai clients de 142,58 jours est élevé et expose PALC à un risque de trésorerie, tandis que la durée de stockage de 14,55 jours est maîtrisée. Le BFR positif de 44,62 milliards FCFA absorbe une part significative des flux opérationnels (38,74 milliards FCFA), ce qui explique la trésorerie nette négative. La marge nette de 7,85 % reste supérieure à la moyenne du secteur agro-industriel ouest-africain (5-7 %), mais en recul par rapport à 2024 (9,2 %).</w:t>
      </w:r>
    </w:p>
    <w:p>
      <w:pPr>
        <w:spacing w:after="120" w:line="276" w:lineRule="auto"/>
      </w:pPr>
      <w:r>
        <w:t>**Estimations basées sur les rapports trimestriels** : Le rapport S1 2026 (publié le 7 octobre 2026) révèle un chiffre d'affaires de 114,73 milliards FCFA, en baisse de -15 % sur un an, et un résultat net de 13,53 milliards FCFA, en chute de -41 %. Le rapport T1 2026 (publié en 2026) confirme cette tendance avec un CA de 49,4 milliards FCFA (-27 %) et un résultat net de 1,6 milliard FCFA (-86 %). Le management attribue cette contre-performance à un décalage temporel des ventes (écoulement de stocks à l'export) et anticipe un résultat net annuel 2026 positif, proche de celui de 2025 (15,5 milliards FCFA). Sur la base du S1 2026 (13,53 milliards FCFA), on peut estimer un résultat net annuel 2026 entre 15 et 18 milliards FCFA si l'écoulement des stocks s'accélère au S2, ce qui maintiendrait le BPA autour de 750-900 FCFA.</w:t>
      </w:r>
    </w:p>
    <w:p>
      <w:pPr>
        <w:spacing w:after="120" w:line="276" w:lineRule="auto"/>
      </w:pPr>
      <w:r>
        <w:t>**Évolution pluriannuelle** : De 2021 (S1 : CA 110,1 milliards FCFA, RN 31,4 milliards FCFA) à 2025 (CA 197,6 milliards FCFA, RN 15,5 milliards FCFA), PALC a connu une forte croissance du CA mais une érosion de sa rentabilité, passant d'une marge nette de 28,5 % (S1 2021) à 7,85 % (2025). Cette dégradation reflète la volatilité des cours de l'huile de palme et la pression concurrentielle.</w:t>
      </w:r>
    </w:p>
    <w:p>
      <w:pPr>
        <w:spacing w:after="120" w:line="276" w:lineRule="auto"/>
      </w:pPr>
      <w:r>
        <w:t>**Recommandation fondamentale** : PALC reste un acteur solide avec une structure financière très saine et une valorisation attractive, mais la dégradation récente de la rentabilité (S1 2026 : -41 % de RN) et l'absence d'informations sur le dividende 2026 incitent à la prudence. La recommandation fondamentale est de **CONSERVER** avec une surveillance active des marges et de l'écoulement des stocks.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(PER 7,8x, P/B 0,85x, EV/EBITDA 3,8x) indique une sous-évaluation manifeste par rapport aux moyennes du marché BRVM et à la valeur comptable, offrant une marge de sécurité intéressante pour un investisseur value. Le comportement du cours sur 100 jours (variation +1,30 %, volatilité élevée de 34,1 %, distribution symétrique avec kurtosis -0,240 et skewness -0,196) est préoccupant à court terme, le titre évoluant près de son plus bas annuel (7 680 FCFA). Les signaux techniques sont divergents : les moyennes mobiles et le MACD confirment une tendance baissière, tandis que le RSI (29,23), le stochastique (%K=8,0) et les bandes de Bollinger (cours sous la borne inférieure) signalent une survente extrême propice à un rebond technique. Les fondamentaux sont mitigés : la structure financière est excellente (autonomie 71,64 %, endettement 0,56 %), mais la rentabilité se dégrade (S1 2026 : RN -41 %, marge nette 11,8 %), et le management anticipe un redressement au S2 2026 grâce à l'écoulement des stocks. Les prédictions IA (J+1 à J+10 : 7 802 → 7 659 FCFA) confirment une légère poursuite de la baisse à court terme, en ligne avec la tendance baissière des moyennes mobiles, mais contredisent les signaux de survente (RSI, stochastique) qui suggèrent un rebond imminent.</w:t>
      </w:r>
    </w:p>
    <w:p>
      <w:pPr>
        <w:spacing w:after="120" w:line="276" w:lineRule="auto"/>
      </w:pPr>
      <w:r>
        <w:t>**Recommandation finale** : **CONSERVER** (avec biais haussier à moyen terme). La convergence entre la sous-évaluation (Partie 0), la survente technique (Partie 2) et la solidité financière (Partie 3) plaide pour une patience active, mais la dégradation des fondamentaux à court terme (S1 2026) et la tendance baissière des prédictions IA incitent à ne pas renforcer immédiatement. Un passage à l'ACHAT serait justifié après confirmation de la reprise des volumes au S2 2026 et publication des données de dividende. **Niveau de confiance** : Moyen. **Niveau de risque** : Moyen (volatilité élevée, exposition aux cours des matières premières). **Horizon d'investissement** : Moyen terme (3-12 mois), avec un suivi trimestriel des marges, de la trésorerie et des cours de l'huile de palme.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1,109 titres</w:t>
            </w:r>
          </w:p>
        </w:tc>
        <w:tc>
          <w:tcPr>
            <w:tcW w:type="dxa" w:w="2268"/>
            <w:shd w:fill="FFF2CC" w:val="clear"/>
          </w:tcPr>
          <w:p>
            <w:r>
              <w:rPr>
                <w:b/>
                <w:color w:val="503200"/>
                <w:sz w:val="16"/>
              </w:rPr>
              <w:t xml:space="preserve">Cours actuel : </w:t>
            </w:r>
            <w:r>
              <w:rPr>
                <w:color w:val="000000"/>
                <w:sz w:val="17"/>
              </w:rPr>
              <w:t>4,150 FCFA</w:t>
            </w:r>
          </w:p>
          <w:p>
            <w:r>
              <w:rPr>
                <w:b/>
                <w:color w:val="503200"/>
                <w:sz w:val="16"/>
              </w:rPr>
              <w:t xml:space="preserve">Var. 100 jours : </w:t>
            </w:r>
            <w:r>
              <w:rPr>
                <w:b/>
                <w:color w:val="007800"/>
                <w:sz w:val="17"/>
              </w:rPr>
              <w:t>+14.64%</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5.04% (Moyenne) — μ=4,370 FCFA, σ=220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β=-0.1461 (Contre-cyclique) — Cov=-0.000011, Var(idx)=0.000073, ρ=-0.050,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4,018</w:t>
            </w:r>
          </w:p>
        </w:tc>
        <w:tc>
          <w:tcPr>
            <w:tcW w:type="dxa" w:w="1440"/>
            <w:shd w:fill="FAFAFA" w:val="clear"/>
          </w:tcPr>
          <w:p>
            <w:r>
              <w:rPr>
                <w:b/>
                <w:sz w:val="17"/>
              </w:rPr>
              <w:t>4,218</w:t>
            </w:r>
          </w:p>
        </w:tc>
        <w:tc>
          <w:tcPr>
            <w:tcW w:type="dxa" w:w="1440"/>
            <w:shd w:fill="FAFAFA" w:val="clear"/>
          </w:tcPr>
          <w:p>
            <w:r>
              <w:rPr>
                <w:sz w:val="17"/>
              </w:rPr>
              <w:t>4,419</w:t>
            </w:r>
          </w:p>
        </w:tc>
        <w:tc>
          <w:tcPr>
            <w:tcW w:type="dxa" w:w="1440"/>
            <w:shd w:fill="FAFAFA" w:val="clear"/>
          </w:tcPr>
          <w:p>
            <w:r>
              <w:rPr>
                <w:b/>
                <w:color w:val="008000"/>
                <w:sz w:val="17"/>
              </w:rPr>
              <w:t>+1.6%</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3,914</w:t>
            </w:r>
          </w:p>
        </w:tc>
        <w:tc>
          <w:tcPr>
            <w:tcW w:type="dxa" w:w="1440"/>
            <w:shd w:fill="FAFAFA" w:val="clear"/>
          </w:tcPr>
          <w:p>
            <w:r>
              <w:rPr>
                <w:b/>
                <w:sz w:val="17"/>
              </w:rPr>
              <w:t>4,196</w:t>
            </w:r>
          </w:p>
        </w:tc>
        <w:tc>
          <w:tcPr>
            <w:tcW w:type="dxa" w:w="1440"/>
            <w:shd w:fill="FAFAFA" w:val="clear"/>
          </w:tcPr>
          <w:p>
            <w:r>
              <w:rPr>
                <w:sz w:val="17"/>
              </w:rPr>
              <w:t>4,477</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3,845</w:t>
            </w:r>
          </w:p>
        </w:tc>
        <w:tc>
          <w:tcPr>
            <w:tcW w:type="dxa" w:w="1440"/>
            <w:shd w:fill="FAFAFA" w:val="clear"/>
          </w:tcPr>
          <w:p>
            <w:r>
              <w:rPr>
                <w:b/>
                <w:sz w:val="17"/>
              </w:rPr>
              <w:t>4,189</w:t>
            </w:r>
          </w:p>
        </w:tc>
        <w:tc>
          <w:tcPr>
            <w:tcW w:type="dxa" w:w="1440"/>
            <w:shd w:fill="FAFAFA" w:val="clear"/>
          </w:tcPr>
          <w:p>
            <w:r>
              <w:rPr>
                <w:sz w:val="17"/>
              </w:rPr>
              <w:t>4,534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3,789</w:t>
            </w:r>
          </w:p>
        </w:tc>
        <w:tc>
          <w:tcPr>
            <w:tcW w:type="dxa" w:w="1440"/>
            <w:shd w:fill="FAFAFA" w:val="clear"/>
          </w:tcPr>
          <w:p>
            <w:r>
              <w:rPr>
                <w:b/>
                <w:sz w:val="17"/>
              </w:rPr>
              <w:t>4,186</w:t>
            </w:r>
          </w:p>
        </w:tc>
        <w:tc>
          <w:tcPr>
            <w:tcW w:type="dxa" w:w="1440"/>
            <w:shd w:fill="FAFAFA" w:val="clear"/>
          </w:tcPr>
          <w:p>
            <w:r>
              <w:rPr>
                <w:sz w:val="17"/>
              </w:rPr>
              <w:t>4,583</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3,739</w:t>
            </w:r>
          </w:p>
        </w:tc>
        <w:tc>
          <w:tcPr>
            <w:tcW w:type="dxa" w:w="1440"/>
            <w:shd w:fill="FAFAFA" w:val="clear"/>
          </w:tcPr>
          <w:p>
            <w:r>
              <w:rPr>
                <w:b/>
                <w:sz w:val="17"/>
              </w:rPr>
              <w:t>4,183</w:t>
            </w:r>
          </w:p>
        </w:tc>
        <w:tc>
          <w:tcPr>
            <w:tcW w:type="dxa" w:w="1440"/>
            <w:shd w:fill="FAFAFA" w:val="clear"/>
          </w:tcPr>
          <w:p>
            <w:r>
              <w:rPr>
                <w:sz w:val="17"/>
              </w:rPr>
              <w:t>4,626</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3,693</w:t>
            </w:r>
          </w:p>
        </w:tc>
        <w:tc>
          <w:tcPr>
            <w:tcW w:type="dxa" w:w="1440"/>
            <w:shd w:fill="FAFAFA" w:val="clear"/>
          </w:tcPr>
          <w:p>
            <w:r>
              <w:rPr>
                <w:b/>
                <w:sz w:val="17"/>
              </w:rPr>
              <w:t>4,179</w:t>
            </w:r>
          </w:p>
        </w:tc>
        <w:tc>
          <w:tcPr>
            <w:tcW w:type="dxa" w:w="1440"/>
            <w:shd w:fill="FAFAFA" w:val="clear"/>
          </w:tcPr>
          <w:p>
            <w:r>
              <w:rPr>
                <w:sz w:val="17"/>
              </w:rPr>
              <w:t>4,664</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3,651</w:t>
            </w:r>
          </w:p>
        </w:tc>
        <w:tc>
          <w:tcPr>
            <w:tcW w:type="dxa" w:w="1440"/>
            <w:shd w:fill="FAFAFA" w:val="clear"/>
          </w:tcPr>
          <w:p>
            <w:r>
              <w:rPr>
                <w:b/>
                <w:sz w:val="17"/>
              </w:rPr>
              <w:t>4,175</w:t>
            </w:r>
          </w:p>
        </w:tc>
        <w:tc>
          <w:tcPr>
            <w:tcW w:type="dxa" w:w="1440"/>
            <w:shd w:fill="FAFAFA" w:val="clear"/>
          </w:tcPr>
          <w:p>
            <w:r>
              <w:rPr>
                <w:sz w:val="17"/>
              </w:rPr>
              <w:t>4,699</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3,612</w:t>
            </w:r>
          </w:p>
        </w:tc>
        <w:tc>
          <w:tcPr>
            <w:tcW w:type="dxa" w:w="1440"/>
            <w:shd w:fill="FAFAFA" w:val="clear"/>
          </w:tcPr>
          <w:p>
            <w:r>
              <w:rPr>
                <w:b/>
                <w:sz w:val="17"/>
              </w:rPr>
              <w:t>4,171</w:t>
            </w:r>
          </w:p>
        </w:tc>
        <w:tc>
          <w:tcPr>
            <w:tcW w:type="dxa" w:w="1440"/>
            <w:shd w:fill="FAFAFA" w:val="clear"/>
          </w:tcPr>
          <w:p>
            <w:r>
              <w:rPr>
                <w:sz w:val="17"/>
              </w:rPr>
              <w:t>4,731</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3,574</w:t>
            </w:r>
          </w:p>
        </w:tc>
        <w:tc>
          <w:tcPr>
            <w:tcW w:type="dxa" w:w="1440"/>
            <w:shd w:fill="FAFAFA" w:val="clear"/>
          </w:tcPr>
          <w:p>
            <w:r>
              <w:rPr>
                <w:b/>
                <w:sz w:val="17"/>
              </w:rPr>
              <w:t>4,167</w:t>
            </w:r>
          </w:p>
        </w:tc>
        <w:tc>
          <w:tcPr>
            <w:tcW w:type="dxa" w:w="1440"/>
            <w:shd w:fill="FAFAFA" w:val="clear"/>
          </w:tcPr>
          <w:p>
            <w:r>
              <w:rPr>
                <w:sz w:val="17"/>
              </w:rPr>
              <w:t>4,760</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3,539</w:t>
            </w:r>
          </w:p>
        </w:tc>
        <w:tc>
          <w:tcPr>
            <w:tcW w:type="dxa" w:w="1440"/>
            <w:shd w:fill="FAFAFA" w:val="clear"/>
          </w:tcPr>
          <w:p>
            <w:r>
              <w:rPr>
                <w:b/>
                <w:sz w:val="17"/>
              </w:rPr>
              <w:t>4,164</w:t>
            </w:r>
          </w:p>
        </w:tc>
        <w:tc>
          <w:tcPr>
            <w:tcW w:type="dxa" w:w="1440"/>
            <w:shd w:fill="FAFAFA" w:val="clear"/>
          </w:tcPr>
          <w:p>
            <w:r>
              <w:rPr>
                <w:sz w:val="17"/>
              </w:rPr>
              <w:t>4,788</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42,50 milliards FCFA, PRSC se positionne comme une valeur de taille moyenne sur le compartiment des sociétés non-financières de la BRVM, ce qui traduit une liquidité limitée mais une certaine stabilité institutionnelle. Le BPA de 231 FCFA/action signifie que chaque titre génère près de 231 FCFA de bénéfice net, un niveau correct pour une entreprise de distribution automobile. Le PER de 18,0x apparaît nettement supérieur à la moyenne du marché BRVM (généralement comprise entre 8 et 12x), ce qui indique que les investisseurs paient une prime significative pour les bénéfices actuels, probablement en anticipation d'une croissance future ou en raison de la rareté du flottant. Le P/B de 3,69x confirme cette prime de croissance : le marché valorise l'action près de 3,7 fois sa valeur comptable, ce qui est élevé pour une société de négoce à marges faibles. Enfin, l'EV/EBITDA de 9,3x reste dans la fourchette raisonnable (5-10x), suggérant que la valeur d'entreprise reste cohérente avec la capacité opérationnelle, mais l'ensemble des ratios penche vers une valorisation tendue plutôt qu'attractive.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affiche une progression totale de +14,64%, mais la dernière séance (J-1) enregistre un repli marqué de -4,16%, signalant une prise de bénéfices ou un essoufflement de la dynamique haussière à court terme. Le cours actuel de 4 150 FCFA se situe dans la moitié basse du range de trading établi entre 3 620 FCFA (plus bas) et 4 740 FCFA (plus haut), ce qui suggère que le titre a corrigé depuis ses sommets sans toutefois casser sa tendance de fond. La moyenne (4 370 FCFA) est légèrement inférieure à la médiane (4 402 FCFA) et au mode (4 400 FCFA), indiquant une distribution légèrement asymétrique avec quelques journées de forte baisse qui tirent la moyenne vers le bas. L'écart-type de 221 FCFA avec un coefficient de variation de 5,1% révèle une dispersion modérée du cours autour de sa moyenne, ce qui est rassurant pour un titre à volatilité annualisée de 40,3% — cette volatilité est élevée (&gt;30%) et traduit un risque de prix significatif. Le kurtosis de 1,626 (leptokurtique) signale des queues épaisses, donc un risque de pics de volatilité brutaux, tandis que le skewness de -1,192 (asymétrie négative) indique que les journées de baisse sont plus fréquentes que les journées de hausse, bien que ces dernières soient plus amples — un profil typique de titres en correction après un rallye.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(4 212,75 FCFA) et la MM50 (4 356,5 FCFA) se situent toutes deux au-dessus du cours actuel (4 150 FCFA), ce qui place le titre en position de faiblesse relative et confirme la décision de vente émise par le croisement baissier. La MM20 étant inférieure à la MM50, on observe une configuration de croisement baissier (death cross) qui renforce le signal négatif à court et moyen terme.</w:t>
      </w:r>
    </w:p>
    <w:p>
      <w:pPr>
        <w:spacing w:after="120" w:line="276" w:lineRule="auto"/>
      </w:pPr>
      <w:r>
        <w:t>**Bandes de Bollinger** : Le cours actuel (4 150 FCFA) évolue dans la partie basse de la bande, entre la borne inférieure (3 844,93 FCFA) et la borne supérieure (4 580,57 FCFA), sans atteindre les extrêmes, ce qui justifie la décision neutre. L'amplitude des bandes reste modérée, reflétant une volatilité contenue mais orientée à la baisse depuis les sommets.</w:t>
      </w:r>
    </w:p>
    <w:p>
      <w:pPr>
        <w:spacing w:after="120" w:line="276" w:lineRule="auto"/>
      </w:pPr>
      <w:r>
        <w:t>**MACD** : La valeur du MACD (-65,685) est supérieure à son signal (-83,965), générant un croisement haussier qui justifie la décision d'achat. Cette divergence positive indique un ralentissement du momentum baissier et une possible reprise à court terme, bien que les deux lignes restent en territoire négatif.</w:t>
      </w:r>
    </w:p>
    <w:p>
      <w:pPr>
        <w:spacing w:after="120" w:line="276" w:lineRule="auto"/>
      </w:pPr>
      <w:r>
        <w:t>**RSI** : À 45,609, le RSI se situe en zone neutre (entre 30 et 70), sans signal de surachat ni de survente, ce qui confirme la décision neutre. Cette position médiane laisse présager une absence de pression directionnelle forte à court terme.</w:t>
      </w:r>
    </w:p>
    <w:p>
      <w:pPr>
        <w:spacing w:after="120" w:line="276" w:lineRule="auto"/>
      </w:pPr>
      <w:r>
        <w:t>**Stochastique** : Le %K (61,224) est inférieur au %D (78,987), ce qui constitue un croisement baissier potentiel, mais les deux valeurs restent dans une zone médiane-haute sans excès. La décision neutre reflète cette absence de signal clair, bien que la configuration penche légèrement à la baisse.</w:t>
      </w:r>
    </w:p>
    <w:p>
      <w:pPr>
        <w:spacing w:after="120" w:line="276" w:lineRule="auto"/>
      </w:pPr>
      <w:r>
        <w:t>**Conclusion technique** : Les indicateurs techniques présentent un tableau mitigé — les moyennes mobiles sont baissières, le MACD est haussier, le RSI et le stochastique sont neutres, et les bandes de Bollinger n'offrent pas de signal directionnel fort. Cette divergence entre indicateurs suggère une phase de consolidation ou d'indécision, avec un léger avantage aux vendeurs à court terme mais un potentiel de rebond technique à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officiels de PRSC (Tractafric Motors Côte d'Ivoire) affichent un chiffre d'affaires de 81,127 milliards FCFA, en croissance de 9,5% par rapport à 2024, porté par la dynamique du marché automobile ivoirien. Le résultat net s'établit à 2,367 milliards FCFA, stable par rapport aux 2,35 milliards de 2024, avec une marge nette de 2,92% — faible mais en légère amélioration. Le ROE atteint 20,53%, un niveau excellent (&gt;15%), tandis que le ROA de 4,95% reste modeste, reflétant la structure d'actifs lourde en stocks (26,334 milliards FCFA) et créances clients (10,364 milliards FCFA). En tant qu'entreprise de distribution, les délais d'exploitation sont critiques : le délai clients de 45,99 jours expose à un risque de trésorerie modéré, le délai fournisseurs de 102,65 jours est favorable à la trésorerie, mais la durée de stockage de 150,51 jours immobilise un capital important. Le BFR de 11,267 milliards FCFA et la trésorerie nette négative de -4,092 milliards FCFA constituent des points de vigilance, bien que la capacité de remboursement de 1,83 an et la couverture des intérêts de 1 585% rassurent sur la solvabilité. Les rapports trimestriels (S1 2025, analysé le 15/03/2026) montrent un CA de 39,968 milliards FCFA (+15,1%) et un résultat net de 1,436 milliard FCFA (×28 vs S1 2024), avec une marge nette de 3,6% — on estime donc que l'exercice 2025 devrait confirmer cette amélioration, avec un résultat net annuel proche de 2,4 milliards FCFA. Le rapport annuel 2025 (analysé le 08/09/2026) confirme un dividende de 209 FCFA/action, offrant un rendement attractif de 5,04% au cours actuel. La structure financière reste équilibrée avec des capitaux propres de 11,531 milliards FCFA et une autonomie financière de 24,1%, mais l'endettement total (36,305 milliards FCFA) et le ratio d'endettement de 314,86% nécessitent une surveillance. La recommandation fondamentale est de **CONSERVER** avec vigilance : la croissance du CA et l'amélioration de la rentabilité sont positives, mais la faiblesse des marges, la trésorerie négative et la dépendance au marché automobile ivoirien constituent des risques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tendue avec un PER de 18,0x et un P/B de 3,69x, nettement supérieurs aux moyennes du marché BRVM, ce qui suggère une surévaluation relative malgré un EV/EBITDA raisonnable de 9,3x. Le comportement du cours (Partie 1) montre une tendance haussière sur 100 jours (+14,64%) mais une correction récente (-4,16% en J-1), avec une volatilité élevée (40,3%) et une asymétrie négative (skewness -1,192) qui indiquent un risque de baisse accru à court terme. Les signaux techniques (Partie 2) sont divergents : les moyennes mobiles sont baissières, le MACD est haussier, le RSI et le stochastique sont neutres, ce qui plaide pour une consolidation sans direction claire. Les fondamentaux (Partie 3) révèlent une société solide mais à marges faibles, avec une croissance du CA de 9,5% en 2025, un ROE de 20,53% et un dividende attractif de 209 FCFA/action, mais une trésorerie nette négative et un endettement élevé. Les prédictions IA (J+1 à J+10) anticipent une légère baisse vers 4 183-4 218 FCFA, ce qui contredit le signal haussier du MACD mais confirme la pression baissière des moyennes mobiles. Sur la base de cette synthèse, la recommandation finale est **CONSERVER** avec un niveau de confiance **Moyen** et un risque global **Élevé**. L'horizon d'investissement optimal est le **moyen terme (3-12 mois)**, en attendant une clarification des signaux techniques et une confirmation de la tendance fondamentale, avec un point d'entrée plus favorable vers 3 900-4 000 FCFA pour les investisseurs souhaitant renforcer leur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48.73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8,031 titres</w:t>
            </w:r>
          </w:p>
        </w:tc>
        <w:tc>
          <w:tcPr>
            <w:tcW w:type="dxa" w:w="2268"/>
            <w:shd w:fill="FFF2CC" w:val="clear"/>
          </w:tcPr>
          <w:p>
            <w:r>
              <w:rPr>
                <w:b/>
                <w:color w:val="503200"/>
                <w:sz w:val="16"/>
              </w:rPr>
              <w:t xml:space="preserve">Cours actuel : </w:t>
            </w:r>
            <w:r>
              <w:rPr>
                <w:color w:val="000000"/>
                <w:sz w:val="17"/>
              </w:rPr>
              <w:t>4,105 FCFA</w:t>
            </w:r>
          </w:p>
          <w:p>
            <w:r>
              <w:rPr>
                <w:b/>
                <w:color w:val="503200"/>
                <w:sz w:val="16"/>
              </w:rPr>
              <w:t xml:space="preserve">Var. 100 jours : </w:t>
            </w:r>
            <w:r>
              <w:rPr>
                <w:b/>
                <w:color w:val="007800"/>
                <w:sz w:val="17"/>
              </w:rPr>
              <w:t>+2.62%</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15.26% (Élevée) — μ=4,672 FCFA, σ=713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β=1.3166 (Agressif) — Cov=0.000096, Var(idx)=0.000073, ρ=0.290,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3,767</w:t>
            </w:r>
          </w:p>
        </w:tc>
        <w:tc>
          <w:tcPr>
            <w:tcW w:type="dxa" w:w="1440"/>
            <w:shd w:fill="FAFAFA" w:val="clear"/>
          </w:tcPr>
          <w:p>
            <w:r>
              <w:rPr>
                <w:b/>
                <w:sz w:val="17"/>
              </w:rPr>
              <w:t>4,070</w:t>
            </w:r>
          </w:p>
        </w:tc>
        <w:tc>
          <w:tcPr>
            <w:tcW w:type="dxa" w:w="1440"/>
            <w:shd w:fill="FAFAFA" w:val="clear"/>
          </w:tcPr>
          <w:p>
            <w:r>
              <w:rPr>
                <w:sz w:val="17"/>
              </w:rPr>
              <w:t>4,373</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3,659</w:t>
            </w:r>
          </w:p>
        </w:tc>
        <w:tc>
          <w:tcPr>
            <w:tcW w:type="dxa" w:w="1440"/>
            <w:shd w:fill="FAFAFA" w:val="clear"/>
          </w:tcPr>
          <w:p>
            <w:r>
              <w:rPr>
                <w:b/>
                <w:sz w:val="17"/>
              </w:rPr>
              <w:t>4,090</w:t>
            </w:r>
          </w:p>
        </w:tc>
        <w:tc>
          <w:tcPr>
            <w:tcW w:type="dxa" w:w="1440"/>
            <w:shd w:fill="FAFAFA" w:val="clear"/>
          </w:tcPr>
          <w:p>
            <w:r>
              <w:rPr>
                <w:sz w:val="17"/>
              </w:rPr>
              <w:t>4,521</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3,572</w:t>
            </w:r>
          </w:p>
        </w:tc>
        <w:tc>
          <w:tcPr>
            <w:tcW w:type="dxa" w:w="1440"/>
            <w:shd w:fill="FAFAFA" w:val="clear"/>
          </w:tcPr>
          <w:p>
            <w:r>
              <w:rPr>
                <w:b/>
                <w:sz w:val="17"/>
              </w:rPr>
              <w:t>4,101</w:t>
            </w:r>
          </w:p>
        </w:tc>
        <w:tc>
          <w:tcPr>
            <w:tcW w:type="dxa" w:w="1440"/>
            <w:shd w:fill="FAFAFA" w:val="clear"/>
          </w:tcPr>
          <w:p>
            <w:r>
              <w:rPr>
                <w:sz w:val="17"/>
              </w:rPr>
              <w:t>4,630</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3,496</w:t>
            </w:r>
          </w:p>
        </w:tc>
        <w:tc>
          <w:tcPr>
            <w:tcW w:type="dxa" w:w="1440"/>
            <w:shd w:fill="FAFAFA" w:val="clear"/>
          </w:tcPr>
          <w:p>
            <w:r>
              <w:rPr>
                <w:b/>
                <w:sz w:val="17"/>
              </w:rPr>
              <w:t>4,108</w:t>
            </w:r>
          </w:p>
        </w:tc>
        <w:tc>
          <w:tcPr>
            <w:tcW w:type="dxa" w:w="1440"/>
            <w:shd w:fill="FAFAFA" w:val="clear"/>
          </w:tcPr>
          <w:p>
            <w:r>
              <w:rPr>
                <w:sz w:val="17"/>
              </w:rPr>
              <w:t>4,720</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3,428</w:t>
            </w:r>
          </w:p>
        </w:tc>
        <w:tc>
          <w:tcPr>
            <w:tcW w:type="dxa" w:w="1440"/>
            <w:shd w:fill="FAFAFA" w:val="clear"/>
          </w:tcPr>
          <w:p>
            <w:r>
              <w:rPr>
                <w:b/>
                <w:sz w:val="17"/>
              </w:rPr>
              <w:t>4,114</w:t>
            </w:r>
          </w:p>
        </w:tc>
        <w:tc>
          <w:tcPr>
            <w:tcW w:type="dxa" w:w="1440"/>
            <w:shd w:fill="FAFAFA" w:val="clear"/>
          </w:tcPr>
          <w:p>
            <w:r>
              <w:rPr>
                <w:sz w:val="17"/>
              </w:rPr>
              <w:t>4,799</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3,367</w:t>
            </w:r>
          </w:p>
        </w:tc>
        <w:tc>
          <w:tcPr>
            <w:tcW w:type="dxa" w:w="1440"/>
            <w:shd w:fill="FAFAFA" w:val="clear"/>
          </w:tcPr>
          <w:p>
            <w:r>
              <w:rPr>
                <w:b/>
                <w:sz w:val="17"/>
              </w:rPr>
              <w:t>4,119</w:t>
            </w:r>
          </w:p>
        </w:tc>
        <w:tc>
          <w:tcPr>
            <w:tcW w:type="dxa" w:w="1440"/>
            <w:shd w:fill="FAFAFA" w:val="clear"/>
          </w:tcPr>
          <w:p>
            <w:r>
              <w:rPr>
                <w:sz w:val="17"/>
              </w:rPr>
              <w:t>4,870</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3,310</w:t>
            </w:r>
          </w:p>
        </w:tc>
        <w:tc>
          <w:tcPr>
            <w:tcW w:type="dxa" w:w="1440"/>
            <w:shd w:fill="FAFAFA" w:val="clear"/>
          </w:tcPr>
          <w:p>
            <w:r>
              <w:rPr>
                <w:b/>
                <w:sz w:val="17"/>
              </w:rPr>
              <w:t>4,123</w:t>
            </w:r>
          </w:p>
        </w:tc>
        <w:tc>
          <w:tcPr>
            <w:tcW w:type="dxa" w:w="1440"/>
            <w:shd w:fill="FAFAFA" w:val="clear"/>
          </w:tcPr>
          <w:p>
            <w:r>
              <w:rPr>
                <w:sz w:val="17"/>
              </w:rPr>
              <w:t>4,935</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3,257</w:t>
            </w:r>
          </w:p>
        </w:tc>
        <w:tc>
          <w:tcPr>
            <w:tcW w:type="dxa" w:w="1440"/>
            <w:shd w:fill="FAFAFA" w:val="clear"/>
          </w:tcPr>
          <w:p>
            <w:r>
              <w:rPr>
                <w:b/>
                <w:sz w:val="17"/>
              </w:rPr>
              <w:t>4,127</w:t>
            </w:r>
          </w:p>
        </w:tc>
        <w:tc>
          <w:tcPr>
            <w:tcW w:type="dxa" w:w="1440"/>
            <w:shd w:fill="FAFAFA" w:val="clear"/>
          </w:tcPr>
          <w:p>
            <w:r>
              <w:rPr>
                <w:sz w:val="17"/>
              </w:rPr>
              <w:t>4,996</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3,207</w:t>
            </w:r>
          </w:p>
        </w:tc>
        <w:tc>
          <w:tcPr>
            <w:tcW w:type="dxa" w:w="1440"/>
            <w:shd w:fill="FAFAFA" w:val="clear"/>
          </w:tcPr>
          <w:p>
            <w:r>
              <w:rPr>
                <w:b/>
                <w:sz w:val="17"/>
              </w:rPr>
              <w:t>4,130</w:t>
            </w:r>
          </w:p>
        </w:tc>
        <w:tc>
          <w:tcPr>
            <w:tcW w:type="dxa" w:w="1440"/>
            <w:shd w:fill="FAFAFA" w:val="clear"/>
          </w:tcPr>
          <w:p>
            <w:r>
              <w:rPr>
                <w:sz w:val="17"/>
              </w:rPr>
              <w:t>5,053</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3,160</w:t>
            </w:r>
          </w:p>
        </w:tc>
        <w:tc>
          <w:tcPr>
            <w:tcW w:type="dxa" w:w="1440"/>
            <w:shd w:fill="FAFAFA" w:val="clear"/>
          </w:tcPr>
          <w:p>
            <w:r>
              <w:rPr>
                <w:b/>
                <w:sz w:val="17"/>
              </w:rPr>
              <w:t>4,133</w:t>
            </w:r>
          </w:p>
        </w:tc>
        <w:tc>
          <w:tcPr>
            <w:tcW w:type="dxa" w:w="1440"/>
            <w:shd w:fill="FAFAFA" w:val="clear"/>
          </w:tcPr>
          <w:p>
            <w:r>
              <w:rPr>
                <w:sz w:val="17"/>
              </w:rPr>
              <w:t>5,107</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Financement**</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**48,73 Mds FCFA**, ce qui en fait une petite capitalisation à l'échelle de la BRVM, reflétant sa taille modeste (total bilan de 79,6 Mds FCFA en 2025) et sa nature de société de financement spécialisée. Le **BPA de 59 FCFA/action** traduit un bénéfice net de 701 M FCFA rapporté au nombre d'actions, mais ce niveau reste faible en valeur absolue. Le **PER de 69,5x** est extrêmement élevé — très au-dessus de la moyenne BRVM (~8-12x) — ce qui signifie que les investisseurs paient environ 70 fois les bénéfices actuels, une prime qui n'est justifiable que par une anticipation de forte croissance future des résultats. Le **P/B de 8,24x** (largement supérieur au seuil de 4x) indique que le marché valorise la société à plus de 8 fois sa valeur comptable, alors que ses capitaux propres (5,9 Mds FCFA) sont encore grevés par un report à nouveau négatif (-4,1 Mds FCFA) ; cette prime est donc très exigeante. Enfin, l'**EV/EBITDA de 82,5x** (très au-dessus de 15x) confirme que la valeur d'entreprise est déconnectée de la capacité opérationnelle actuelle, ce qui place le titre en zone de surévaluation manifeste tant que la rentabilité ne progresse pas fortement.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affiche une **variation totale de +2,62%**, avec une dernière séance (J-1) en hausse de **+1,36%**, signalant un léger rebond de court terme. Le titre a évolué dans un range très large, entre un plus bas de **3 595 FCFA** et un plus haut de **6 200 FCFA**, soit un écart de plus de 72% — ce qui témoigne d'une forte instabilité et d'un mouvement spéculatif marqué (probablement lié à l'augmentation de capital et à l'arrivée de CREDAF Group). Le cours actuel de **4 105 FCFA** se situe dans la moitié basse de ce range, suggérant une tendance de fond encore fragile malgré le rebond récent. Les statistiques descriptives révèlent une **moyenne de 4 672 FCFA** supérieure à la **médiane de 4 580 FCFA**, avec un mode à 3 700 FCFA : l'écart moyenne/médiane indique une légère asymétrie positive, cohérente avec le **skewness de 0,357** (distribution quasi symétrique mais étirée vers la droite). L'**écart-type de 716 FCFA** et le **CV de 15,3%** traduisent une dispersion modérée du cours autour de sa moyenne, tandis que le **kurtosis de -0,875** (mésokurtique) indique une distribution proche de la normale, sans risque excessif de pics extrêmes. La **volatilité annualisée de 61,2%** classe le titre dans la catégorie **très élevée** (&gt;30%), ce qui est caractéristique d'une valeur spéculative en phase de redressement.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(4 545,75 FCFA) est inférieure à la MM50 (5 149,0 FCFA), et le cours actuel (4 105 FCFA) se situe sous les deux moyennes. Cette configuration baissière (cours &lt; MM20 &lt; MM50) confirme la décision technique de **Vente**, le titre évoluant sous ses supports mobiles depuis plusieurs semaines.</w:t>
      </w:r>
    </w:p>
    <w:p>
      <w:pPr>
        <w:spacing w:after="120" w:line="276" w:lineRule="auto"/>
      </w:pPr>
      <w:r>
        <w:t>**Bandes de Bollinger** : Le cours (4 105 FCFA) se situe entre la borne inférieure (3 704,9 FCFA) et la borne supérieure (5 386,6 FCFA), plus proche du bas que du haut. Cette position médiane-basse, dans un canal large (amplitude ~1 680 FCFA), traduit une volatilité élevée et une absence de signal directionnel fort, justifiant la décision **Neutre**.</w:t>
      </w:r>
    </w:p>
    <w:p>
      <w:pPr>
        <w:spacing w:after="120" w:line="276" w:lineRule="auto"/>
      </w:pPr>
      <w:r>
        <w:t>**MACD** : La valeur du MACD (-298,686) est inférieure à son signal (-272,43), avec un histogramme négatif. Cette configuration baissière indique que le momentum reste négatif et que la pression vendeuse persiste, confirmant la décision de **Vente**.</w:t>
      </w:r>
    </w:p>
    <w:p>
      <w:pPr>
        <w:spacing w:after="120" w:line="276" w:lineRule="auto"/>
      </w:pPr>
      <w:r>
        <w:t>**RSI** : À **34,458**, le RSI se situe dans la zone neutre basse (30-70), proche du seuil de survente (30) sans l'atteindre. Cela suggère que le titre n'est pas encore techniquement survendu mais que la dynamique reste faible, justifiant la décision **Neutre**.</w:t>
      </w:r>
    </w:p>
    <w:p>
      <w:pPr>
        <w:spacing w:after="120" w:line="276" w:lineRule="auto"/>
      </w:pPr>
      <w:r>
        <w:t>**Stochastique** : Le %K (15,244) et le %D (17,915) sont tous deux en zone de survente (&lt;20), avec un %K légèrement sous le %D. Cette configuration est typique d'un signal d'**Achat** technique (potentiel rebond à court terme), bien que la faiblesse générale du titre invite à la prudence.</w:t>
      </w:r>
    </w:p>
    <w:p>
      <w:pPr>
        <w:spacing w:after="120" w:line="276" w:lineRule="auto"/>
      </w:pPr>
      <w:r>
        <w:t>**Conclusion technique** : Les indicateurs sont majoritairement baissiers (MM, MACD) ou neutres (Bollinger, RSI), avec un seul signal d'achat (Stochastique en survente). Cette divergence suggère un possible rebond technique de court terme, mais la tendance de fond reste négative tant que le cours n'aura pas reconquis la MM20 (4 545 FCFA) puis la MM50 (5 149 FCFA). La prudence domine.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réalisé un **Produit Net Bancaire (PNB) de 5 735 M FCFA**, en hausse de **+44,1%** par rapport à 2024 (3 980 M FCFA), porté par la croissance des intérêts (+14,4%) et des commissions (+81%). Le **résultat net s'établit à 701 M FCFA**, marquant un retournement spectaculaire après une perte de -165 M FCFA en 2024 (et huit années consécutives de déficit). Le **ROE ressort à 11,85%** (en-dessous du seuil d'excellence de 15%) et le **ROA à seulement 0,88%**, reflétant la faible rentabilité des actifs. Le **coefficient d'exploitation de 77,6%** est très élevé (seuil d'efficacité &lt;60%), signe que les charges pèsent lourdement sur le PNB. Le **coût du risque de 6,57%** (provisions/charges financières) reste significatif, et le **ratio d'endettement de 856%** (dettes totales/capitaux propres) traduit une structure financière très fragile, avec une **autonomie financière de seulement 7,44%** (très en-dessous du seuil sain de 30%). La **trésorerie nette est négative à -35,3 Mds FCFA**, et la **capacité de remboursement de 35,5 années** (dettes financières/CAF) est préoccupante.</w:t>
      </w:r>
    </w:p>
    <w:p>
      <w:pPr>
        <w:spacing w:after="120" w:line="276" w:lineRule="auto"/>
      </w:pPr>
      <w:r>
        <w:t>**Estimations basées sur les rapports trimestriels** : Le rapport **S1 2026 (publié en 2026)** confirme l'accélération : PNB de 2 907 M FCFA (+37%), résultat net de 731 M FCFA (+231%), avec une **reprise nette sur coût du risque de 261 M FCFA** (contre une charge de 93 M FCFA un an plus tôt) — signe d'une nette amélioration de la qualité du portefeuille. Le **T1 2026** affiche un résultat net de 151 M FCFA (+1 062%) et un PNB de 1 395 M FCFA (+29%). Sur cette base, on peut **estimer que l'exercice 2026 devrait dépasser 1,4 Md FCFA de résultat net** (contre 701 M FCFA en 2025), avec un PNB annuel projeté autour de 6,5-7 Mds FCFA. Les capitaux propres ont été renforcés à 6 647 M FCFA au S1 2026 (+22%), et le ratio CET1 est passé de 9,65% à 11,49%, tandis que le ratio de solvabilité globale s'établit à 12,93% (au-dessus du seuil de 11,5%). L'augmentation de capital de 1,5 Md FCFA (avis BRVM du 14/04/2026, 3 750 000 actions nouvelles à 400 FCFA) vise à consolider ces fonds propres.</w:t>
      </w:r>
    </w:p>
    <w:p>
      <w:pPr>
        <w:spacing w:after="120" w:line="276" w:lineRule="auto"/>
      </w:pPr>
      <w:r>
        <w:t>**Recommandation fondamentale** : La dynamique opérationnelle est incontestablement positive (croissance du PNB, retour à la rentabilité, amélioration du coût du risque, renforcement des fonds propres), portée par l'intégration au sein de **CREDAF GROUP** (entré en avril 2025). Cependant, la structure financière reste fragile (fonds propres modestes, dépendance aux dettes interbancaires, report à nouveau négatif), et la valorisation boursière (PER 69,5x) intègre déjà une grande partie de ce redressement. Le profil est celui d'une **valeur de retournement spéculative**, à réserver aux investisseurs patients et tolérants au risque.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marqué entre la valorisation et les fondamentaux**. La **Partie 0** montre des ratios de valorisation extrêmement tendus (PER 69,5x, P/B 8,24x, EV/EBITDA 82,5x) qui intègrent déjà une anticipation de forte croissance, sans marge de sécurité. La **Partie 1** indique un cours en légère hausse (+2,62%) mais très volatil (61,2% annualisé), avec une distribution quasi normale (kurtosis -0,875, skewness 0,357) et un cours (4 105 FCFA) sous sa moyenne (4 672 FCFA) — signal de faiblesse relative. La **Partie 2** confirme une divergence technique : majorité de signaux baissiers (MM, MACD) ou neutres (Bollinger, RSI), avec un seul signal d'achat (Stochastique en survente), ce qui plaide pour un rebond technique limité plutôt qu'un retournement durable. La **Partie 3** met en évidence une **amélioration fondamentale réelle mais fragile** : PNB 2025 de 5 735 M FCFA (+44%), résultat net de 701 M FCFA, et surtout des rapports S1 2026 et T1 2026 qui confirment l'accélération (résultat net S1 2026 de 731 M FCFA, +231%) — mais avec des ratios de structure encore dégradés (autonomie financière 7,44%, coefficient d'exploitation 77,6%). Les **prédictions IA** (4 070 → 4 114 FCFA sur J+1 à J+10) anticipent une légère hausse de +0,2% à court terme, cohérente avec le signal d'achat stochastique mais sans conviction forte.</w:t>
      </w:r>
    </w:p>
    <w:p>
      <w:pPr>
        <w:spacing w:after="120" w:line="276" w:lineRule="auto"/>
      </w:pPr>
      <w:r>
        <w:t>**Recommandation finale : CONSERVER**</w:t>
      </w:r>
    </w:p>
    <w:p>
      <w:pPr>
        <w:spacing w:after="120" w:line="276" w:lineRule="auto"/>
      </w:pPr>
      <w:r>
        <w:t>Cette recommandation reflète une **convergence partielle** des signaux : les fondamentaux s'améliorent nettement (justifiant de ne pas vendre), mais la valorisation est déjà très exigeante et les signaux techniques restent majoritairement baissiers (justifiant de ne pas acheter). Le titre est un **dossier de retournement** dont la réussite dépendra de la capacité de SAFC à maintenir sa trajectoire de croissance rentable et à poursuivre l'assainissement de son bilan. **Niveau de confiance : Moyen** (les rapports trimestriels 2026 sont encourageants mais la structure financière reste fragile). **Niveau de risque global : Élevé** (volatilité 61,2%, dépendance aux dettes interbancaires, valorisation tendue). **Horizon d'investissement optimal : Moyen à long terme (6-18 mois)**, le temps que la société confirme la durabilité de son redressement et que la valorisation se normalise par la croissance des bénéfices. Un investisseur déjà positionné peut conserver en surveillant les prochains rapports trimestriels ; un nouvel investisseur attendra une correction du cours vers 3 700-3 900 FCFA (zone de support) pour envisager une entrée.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10,663 titres</w:t>
            </w:r>
          </w:p>
        </w:tc>
        <w:tc>
          <w:tcPr>
            <w:tcW w:type="dxa" w:w="2268"/>
            <w:shd w:fill="FFF2CC" w:val="clear"/>
          </w:tcPr>
          <w:p>
            <w:r>
              <w:rPr>
                <w:b/>
                <w:color w:val="503200"/>
                <w:sz w:val="16"/>
              </w:rPr>
              <w:t xml:space="preserve">Cours actuel : </w:t>
            </w:r>
            <w:r>
              <w:rPr>
                <w:color w:val="000000"/>
                <w:sz w:val="17"/>
              </w:rPr>
              <w:t>2,450 FCFA</w:t>
            </w:r>
          </w:p>
          <w:p>
            <w:r>
              <w:rPr>
                <w:b/>
                <w:color w:val="503200"/>
                <w:sz w:val="16"/>
              </w:rPr>
              <w:t xml:space="preserve">Var. 100 jours : </w:t>
            </w:r>
            <w:r>
              <w:rPr>
                <w:b/>
                <w:color w:val="007800"/>
                <w:sz w:val="17"/>
              </w:rPr>
              <w:t>+8.41%</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13.31% (Moyenne) — μ=3,195 FCFA, σ=425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β=1.2508 (Agressif) — Cov=0.000087, Var(idx)=0.000070, ρ=0.293,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10,663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2026-10-12</w:t>
            </w:r>
          </w:p>
        </w:tc>
        <w:tc>
          <w:tcPr>
            <w:tcW w:type="dxa" w:w="1440"/>
            <w:shd w:fill="C6EFCE" w:val="clear"/>
          </w:tcPr>
          <w:p>
            <w:r>
              <w:rPr>
                <w:sz w:val="17"/>
              </w:rPr>
              <w:t>2,370</w:t>
            </w:r>
          </w:p>
        </w:tc>
        <w:tc>
          <w:tcPr>
            <w:tcW w:type="dxa" w:w="1440"/>
            <w:shd w:fill="C6EFCE" w:val="clear"/>
          </w:tcPr>
          <w:p>
            <w:r>
              <w:rPr>
                <w:b/>
                <w:sz w:val="17"/>
              </w:rPr>
              <w:t>2,517</w:t>
            </w:r>
          </w:p>
        </w:tc>
        <w:tc>
          <w:tcPr>
            <w:tcW w:type="dxa" w:w="1440"/>
            <w:shd w:fill="C6EFCE" w:val="clear"/>
          </w:tcPr>
          <w:p>
            <w:r>
              <w:rPr>
                <w:sz w:val="17"/>
              </w:rPr>
              <w:t>2,665</w:t>
            </w:r>
          </w:p>
        </w:tc>
        <w:tc>
          <w:tcPr>
            <w:tcW w:type="dxa" w:w="1440"/>
            <w:shd w:fill="C6EFCE" w:val="clear"/>
          </w:tcPr>
          <w:p>
            <w:r>
              <w:rPr>
                <w:b/>
                <w:color w:val="008000"/>
                <w:sz w:val="17"/>
              </w:rPr>
              <w:t>+2.8%</w:t>
            </w:r>
          </w:p>
        </w:tc>
      </w:tr>
      <w:tr>
        <w:tc>
          <w:tcPr>
            <w:tcW w:type="dxa" w:w="1440"/>
            <w:shd w:fill="C6EFCE" w:val="clear"/>
          </w:tcPr>
          <w:p>
            <w:r>
              <w:rPr>
                <w:sz w:val="17"/>
              </w:rPr>
              <w:t>J+2  Moyenne</w:t>
            </w:r>
          </w:p>
        </w:tc>
        <w:tc>
          <w:tcPr>
            <w:tcW w:type="dxa" w:w="1440"/>
            <w:shd w:fill="C6EFCE" w:val="clear"/>
          </w:tcPr>
          <w:p>
            <w:r>
              <w:rPr>
                <w:sz w:val="17"/>
              </w:rPr>
              <w:t>2026-10-13</w:t>
            </w:r>
          </w:p>
        </w:tc>
        <w:tc>
          <w:tcPr>
            <w:tcW w:type="dxa" w:w="1440"/>
            <w:shd w:fill="C6EFCE" w:val="clear"/>
          </w:tcPr>
          <w:p>
            <w:r>
              <w:rPr>
                <w:sz w:val="17"/>
              </w:rPr>
              <w:t>2,408</w:t>
            </w:r>
          </w:p>
        </w:tc>
        <w:tc>
          <w:tcPr>
            <w:tcW w:type="dxa" w:w="1440"/>
            <w:shd w:fill="C6EFCE" w:val="clear"/>
          </w:tcPr>
          <w:p>
            <w:r>
              <w:rPr>
                <w:b/>
                <w:sz w:val="17"/>
              </w:rPr>
              <w:t>2,626</w:t>
            </w:r>
          </w:p>
        </w:tc>
        <w:tc>
          <w:tcPr>
            <w:tcW w:type="dxa" w:w="1440"/>
            <w:shd w:fill="C6EFCE" w:val="clear"/>
          </w:tcPr>
          <w:p>
            <w:r>
              <w:rPr>
                <w:sz w:val="17"/>
              </w:rPr>
              <w:t>2,844</w:t>
            </w:r>
          </w:p>
        </w:tc>
        <w:tc>
          <w:tcPr>
            <w:tcW w:type="dxa" w:w="1440"/>
            <w:shd w:fill="C6EFCE" w:val="clear"/>
          </w:tcPr>
          <w:p>
            <w:r>
              <w:rPr>
                <w:b/>
                <w:color w:val="008000"/>
                <w:sz w:val="17"/>
              </w:rPr>
              <w:t>+7.2%</w:t>
            </w:r>
          </w:p>
        </w:tc>
      </w:tr>
      <w:tr>
        <w:tc>
          <w:tcPr>
            <w:tcW w:type="dxa" w:w="1440"/>
            <w:shd w:fill="C6EFCE" w:val="clear"/>
          </w:tcPr>
          <w:p>
            <w:r>
              <w:rPr>
                <w:sz w:val="17"/>
              </w:rPr>
              <w:t>J+3  Moyenne</w:t>
            </w:r>
          </w:p>
        </w:tc>
        <w:tc>
          <w:tcPr>
            <w:tcW w:type="dxa" w:w="1440"/>
            <w:shd w:fill="C6EFCE" w:val="clear"/>
          </w:tcPr>
          <w:p>
            <w:r>
              <w:rPr>
                <w:sz w:val="17"/>
              </w:rPr>
              <w:t>2026-10-14</w:t>
            </w:r>
          </w:p>
        </w:tc>
        <w:tc>
          <w:tcPr>
            <w:tcW w:type="dxa" w:w="1440"/>
            <w:shd w:fill="C6EFCE" w:val="clear"/>
          </w:tcPr>
          <w:p>
            <w:r>
              <w:rPr>
                <w:sz w:val="17"/>
              </w:rPr>
              <w:t>2,461</w:t>
            </w:r>
          </w:p>
        </w:tc>
        <w:tc>
          <w:tcPr>
            <w:tcW w:type="dxa" w:w="1440"/>
            <w:shd w:fill="C6EFCE" w:val="clear"/>
          </w:tcPr>
          <w:p>
            <w:r>
              <w:rPr>
                <w:b/>
                <w:sz w:val="17"/>
              </w:rPr>
              <w:t>2,739</w:t>
            </w:r>
          </w:p>
        </w:tc>
        <w:tc>
          <w:tcPr>
            <w:tcW w:type="dxa" w:w="1440"/>
            <w:shd w:fill="C6EFCE" w:val="clear"/>
          </w:tcPr>
          <w:p>
            <w:r>
              <w:rPr>
                <w:sz w:val="17"/>
              </w:rPr>
              <w:t>3,017</w:t>
            </w:r>
          </w:p>
        </w:tc>
        <w:tc>
          <w:tcPr>
            <w:tcW w:type="dxa" w:w="1440"/>
            <w:shd w:fill="C6EFCE" w:val="clear"/>
          </w:tcPr>
          <w:p>
            <w:r>
              <w:rPr>
                <w:b/>
                <w:color w:val="008000"/>
                <w:sz w:val="17"/>
              </w:rPr>
              <w:t>+11.8%</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2,502</w:t>
            </w:r>
          </w:p>
        </w:tc>
        <w:tc>
          <w:tcPr>
            <w:tcW w:type="dxa" w:w="1440"/>
            <w:shd w:fill="C6EFCE" w:val="clear"/>
          </w:tcPr>
          <w:p>
            <w:r>
              <w:rPr>
                <w:b/>
                <w:sz w:val="17"/>
              </w:rPr>
              <w:t>2,834</w:t>
            </w:r>
          </w:p>
        </w:tc>
        <w:tc>
          <w:tcPr>
            <w:tcW w:type="dxa" w:w="1440"/>
            <w:shd w:fill="C6EFCE" w:val="clear"/>
          </w:tcPr>
          <w:p>
            <w:r>
              <w:rPr>
                <w:sz w:val="17"/>
              </w:rPr>
              <w:t>3,167</w:t>
            </w:r>
          </w:p>
        </w:tc>
        <w:tc>
          <w:tcPr>
            <w:tcW w:type="dxa" w:w="1440"/>
            <w:shd w:fill="C6EFCE" w:val="clear"/>
          </w:tcPr>
          <w:p>
            <w:r>
              <w:rPr>
                <w:b/>
                <w:color w:val="008000"/>
                <w:sz w:val="17"/>
              </w:rPr>
              <w:t>+15.7%</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2,532</w:t>
            </w:r>
          </w:p>
        </w:tc>
        <w:tc>
          <w:tcPr>
            <w:tcW w:type="dxa" w:w="1440"/>
            <w:shd w:fill="C6EFCE" w:val="clear"/>
          </w:tcPr>
          <w:p>
            <w:r>
              <w:rPr>
                <w:b/>
                <w:sz w:val="17"/>
              </w:rPr>
              <w:t>2,914</w:t>
            </w:r>
          </w:p>
        </w:tc>
        <w:tc>
          <w:tcPr>
            <w:tcW w:type="dxa" w:w="1440"/>
            <w:shd w:fill="C6EFCE" w:val="clear"/>
          </w:tcPr>
          <w:p>
            <w:r>
              <w:rPr>
                <w:sz w:val="17"/>
              </w:rPr>
              <w:t>3,296</w:t>
            </w:r>
          </w:p>
        </w:tc>
        <w:tc>
          <w:tcPr>
            <w:tcW w:type="dxa" w:w="1440"/>
            <w:shd w:fill="C6EFCE" w:val="clear"/>
          </w:tcPr>
          <w:p>
            <w:r>
              <w:rPr>
                <w:b/>
                <w:color w:val="008000"/>
                <w:sz w:val="17"/>
              </w:rPr>
              <w:t>+18.9%</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2,553</w:t>
            </w:r>
          </w:p>
        </w:tc>
        <w:tc>
          <w:tcPr>
            <w:tcW w:type="dxa" w:w="1440"/>
            <w:shd w:fill="C6EFCE" w:val="clear"/>
          </w:tcPr>
          <w:p>
            <w:r>
              <w:rPr>
                <w:b/>
                <w:sz w:val="17"/>
              </w:rPr>
              <w:t>2,982</w:t>
            </w:r>
          </w:p>
        </w:tc>
        <w:tc>
          <w:tcPr>
            <w:tcW w:type="dxa" w:w="1440"/>
            <w:shd w:fill="C6EFCE" w:val="clear"/>
          </w:tcPr>
          <w:p>
            <w:r>
              <w:rPr>
                <w:sz w:val="17"/>
              </w:rPr>
              <w:t>3,410</w:t>
            </w:r>
          </w:p>
        </w:tc>
        <w:tc>
          <w:tcPr>
            <w:tcW w:type="dxa" w:w="1440"/>
            <w:shd w:fill="C6EFCE" w:val="clear"/>
          </w:tcPr>
          <w:p>
            <w:r>
              <w:rPr>
                <w:b/>
                <w:color w:val="008000"/>
                <w:sz w:val="17"/>
              </w:rPr>
              <w:t>+21.7%</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2,569</w:t>
            </w:r>
          </w:p>
        </w:tc>
        <w:tc>
          <w:tcPr>
            <w:tcW w:type="dxa" w:w="1440"/>
            <w:shd w:fill="C6EFCE" w:val="clear"/>
          </w:tcPr>
          <w:p>
            <w:r>
              <w:rPr>
                <w:b/>
                <w:sz w:val="17"/>
              </w:rPr>
              <w:t>3,041</w:t>
            </w:r>
          </w:p>
        </w:tc>
        <w:tc>
          <w:tcPr>
            <w:tcW w:type="dxa" w:w="1440"/>
            <w:shd w:fill="C6EFCE" w:val="clear"/>
          </w:tcPr>
          <w:p>
            <w:r>
              <w:rPr>
                <w:sz w:val="17"/>
              </w:rPr>
              <w:t>3,513</w:t>
            </w:r>
          </w:p>
        </w:tc>
        <w:tc>
          <w:tcPr>
            <w:tcW w:type="dxa" w:w="1440"/>
            <w:shd w:fill="C6EFCE" w:val="clear"/>
          </w:tcPr>
          <w:p>
            <w:r>
              <w:rPr>
                <w:b/>
                <w:color w:val="008000"/>
                <w:sz w:val="17"/>
              </w:rPr>
              <w:t>+24.1%</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2,581</w:t>
            </w:r>
          </w:p>
        </w:tc>
        <w:tc>
          <w:tcPr>
            <w:tcW w:type="dxa" w:w="1440"/>
            <w:shd w:fill="C6EFCE" w:val="clear"/>
          </w:tcPr>
          <w:p>
            <w:r>
              <w:rPr>
                <w:b/>
                <w:sz w:val="17"/>
              </w:rPr>
              <w:t>3,094</w:t>
            </w:r>
          </w:p>
        </w:tc>
        <w:tc>
          <w:tcPr>
            <w:tcW w:type="dxa" w:w="1440"/>
            <w:shd w:fill="C6EFCE" w:val="clear"/>
          </w:tcPr>
          <w:p>
            <w:r>
              <w:rPr>
                <w:sz w:val="17"/>
              </w:rPr>
              <w:t>3,607</w:t>
            </w:r>
          </w:p>
        </w:tc>
        <w:tc>
          <w:tcPr>
            <w:tcW w:type="dxa" w:w="1440"/>
            <w:shd w:fill="C6EFCE" w:val="clear"/>
          </w:tcPr>
          <w:p>
            <w:r>
              <w:rPr>
                <w:b/>
                <w:color w:val="008000"/>
                <w:sz w:val="17"/>
              </w:rPr>
              <w:t>+26.3%</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2,588</w:t>
            </w:r>
          </w:p>
        </w:tc>
        <w:tc>
          <w:tcPr>
            <w:tcW w:type="dxa" w:w="1440"/>
            <w:shd w:fill="C6EFCE" w:val="clear"/>
          </w:tcPr>
          <w:p>
            <w:r>
              <w:rPr>
                <w:b/>
                <w:sz w:val="17"/>
              </w:rPr>
              <w:t>3,140</w:t>
            </w:r>
          </w:p>
        </w:tc>
        <w:tc>
          <w:tcPr>
            <w:tcW w:type="dxa" w:w="1440"/>
            <w:shd w:fill="C6EFCE" w:val="clear"/>
          </w:tcPr>
          <w:p>
            <w:r>
              <w:rPr>
                <w:sz w:val="17"/>
              </w:rPr>
              <w:t>3,693</w:t>
            </w:r>
          </w:p>
        </w:tc>
        <w:tc>
          <w:tcPr>
            <w:tcW w:type="dxa" w:w="1440"/>
            <w:shd w:fill="C6EFCE" w:val="clear"/>
          </w:tcPr>
          <w:p>
            <w:r>
              <w:rPr>
                <w:b/>
                <w:color w:val="008000"/>
                <w:sz w:val="17"/>
              </w:rPr>
              <w:t>+28.2%</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2,591</w:t>
            </w:r>
          </w:p>
        </w:tc>
        <w:tc>
          <w:tcPr>
            <w:tcW w:type="dxa" w:w="1440"/>
            <w:shd w:fill="C6EFCE" w:val="clear"/>
          </w:tcPr>
          <w:p>
            <w:r>
              <w:rPr>
                <w:b/>
                <w:sz w:val="17"/>
              </w:rPr>
              <w:t>3,181</w:t>
            </w:r>
          </w:p>
        </w:tc>
        <w:tc>
          <w:tcPr>
            <w:tcW w:type="dxa" w:w="1440"/>
            <w:shd w:fill="C6EFCE" w:val="clear"/>
          </w:tcPr>
          <w:p>
            <w:r>
              <w:rPr>
                <w:sz w:val="17"/>
              </w:rPr>
              <w:t>3,770</w:t>
            </w:r>
          </w:p>
        </w:tc>
        <w:tc>
          <w:tcPr>
            <w:tcW w:type="dxa" w:w="1440"/>
            <w:shd w:fill="C6EFCE" w:val="clear"/>
          </w:tcPr>
          <w:p>
            <w:r>
              <w:rPr>
                <w:b/>
                <w:color w:val="008000"/>
                <w:sz w:val="17"/>
              </w:rPr>
              <w:t>+29.8%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 Sucre*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48,02 milliards FCFA, SCRC se situe dans la catégorie des valeurs moyennes de la BRVM, ce qui lui confère une certaine liquidité mais aussi une sensibilité accrue aux chocs idiosyncratiques. Le BPA ressort à -406 FCFA/action, traduisant une société déficitaire sur l'exercice 2025, ce qui rend le PER négatif (-6,0x) et donc non interprétable en termes de cherté relative — un PER négatif signifie simplement que l'entreprise détruit de la valeur pour l'actionnaire à court terme. Le P/B de 2,78x indique que le marché valorise SCRC à près de trois fois sa valeur comptable, soit une prime de croissance significative qui contraste fortement avec la réalité des pertes enregistrées. L'EV/EBITDA de 9,4x se situe dans la fourchette raisonnable de 5-10x, suggérant que la valeur d'entreprise reste corrélée à la capacité opérationnelle de génération de cash-flow, mais cette apparente normalité masque une structure financière sous tension.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SCRC affiche une variation totale positive de +8,41%, mais la dernière séance (J-1) enregistre un repli marqué de -2,39%, signalant une pression vendeuse récente. Le cours actuel de 2 450 FCFA se situe dans la partie basse du range de trading, le plus haut ayant atteint 3 920 FCFA et le plus bas 2 205 FCFA — soit un écart de plus de 77% entre les extrêmes, témoignant d'une forte volatilité intra-période. La tendance générale apparaît baissière sur la seconde moitié de la période, le cours s'étant éloigné de ses sommets pour se rapprocher du plancher. Les statistiques descriptives révèlent une moyenne de 3 195 FCFA supérieure à la médiane de 3 298 FCFA (léger écart suggérant une asymétrie), avec un mode à 3 100 FCFA. L'écart-type de 427 FCFA et le coefficient de variation de 13,4% indiquent une dispersion modérée du cours autour de sa moyenne. Le kurtosis de -0,786 (mésokurtique) signifie que la distribution des rendements est proche d'une loi normale, sans pics extrêmes prononcés — le risque de mouvements erratiques violents est donc limité. Le skewness de -0,539 (asymétrie négative) indique une prédominance de journées au-dessus de la moyenne, mais avec des baisses plus amples que les hausses, ce qui est cohérent avec la correction récente. La volatilité annualisée de 57,1% classe le titre dans la catégorie des valeurs très volatiles (&gt;30%), ce qui implique un risque de perte en capital élevé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2 989,5 FCFA et la MM50 à 3 333,6 FCFA, toutes deux nettement supérieures au cours actuel de 2 450 FCFA. Cette configuration — cours sous les deux moyennes — confirme une tendance baissière de court et moyen terme. La décision technique est logiquement "Vente", le cours n'ayant pas encore trouvé de support significatif.</w:t>
      </w:r>
    </w:p>
    <w:p>
      <w:pPr>
        <w:spacing w:after="120" w:line="276" w:lineRule="auto"/>
      </w:pPr>
      <w:r>
        <w:t>**Bandes de Bollinger** : La borne supérieure est à 3 615,97 FCFA et la borne inférieure à 2 363,03 FCFA, avec un cours actuel de 2 450 FCFA qui se situe à seulement 3,7% au-dessus de la borne basse. Cette proximité de la borne inférieure indique une pression vendeuse intense, mais la décision "Neutre" suggère que le titre n'est pas encore en zone de survente extrême selon ce seul indicateur. La largeur des bandes (1 252,94 FCFA) reflète une volatilité élevée.</w:t>
      </w:r>
    </w:p>
    <w:p>
      <w:pPr>
        <w:spacing w:after="120" w:line="276" w:lineRule="auto"/>
      </w:pPr>
      <w:r>
        <w:t>**MACD** : La valeur du MACD est de -226,178 contre un signal à -184,881, soit une divergence négative de -41,297 points. Le MACD évolue sous sa ligne de signal, confirmant un momentum baissier persistant. La décision "Vente" est cohérente avec cette configuration, aucune divergence haussière n'étant détectée.</w:t>
      </w:r>
    </w:p>
    <w:p>
      <w:pPr>
        <w:spacing w:after="120" w:line="276" w:lineRule="auto"/>
      </w:pPr>
      <w:r>
        <w:t>**RSI** : À 25,15, le RSI se situe en zone de survente (&lt;30), ce qui déclenche une décision "Achat" selon cet indicateur. Cette lecture suggère que le titre pourrait être techniquement survendu et susceptible d'un rebond à court terme, mais la prudence est de mise car un RSI bas peut persister en tendance baissière.</w:t>
      </w:r>
    </w:p>
    <w:p>
      <w:pPr>
        <w:spacing w:after="120" w:line="276" w:lineRule="auto"/>
      </w:pPr>
      <w:r>
        <w:t>**Stochastique** : Le %K est à 0,0 et le %D à 0,556, avec une décision "Achat". Le %K à zéro indique que le cours clôture au plus bas de sa fourchette récente, ce qui est un signal de survente extrême. Cependant, l'absence de croisement haussier confirmé entre %K et %D (le %K étant encore sous le %D) invite à attendre une confirmation avant d'agir.</w:t>
      </w:r>
    </w:p>
    <w:p>
      <w:pPr>
        <w:spacing w:after="120" w:line="276" w:lineRule="auto"/>
      </w:pPr>
      <w:r>
        <w:t>**Conclusion technique** : Les indicateurs techniques présentent un tableau contrasté. Les moyennes mobiles et le MACD confirment une tendance baissière structurelle, tandis que le RSI et le stochastique signalent une survente potentiellement propice à un rebond technique. La divergence entre ces signaux — vente pour les indicateurs de tendance, achat pour les oscillateurs — suggère une phase de consolidation volatile. La prudence recommande d'attendre une stabilisation du cours au-dessus de la MM20 (2 989 FCFA) avant d'envisager une position haussière.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dressent un tableau préoccupant : le chiffre d'affaires s'établit à 80,569 milliards FCFA, en recul de -7,63% par rapport à 2024, tandis que le résultat net plonge à -7,954 milliards FCFA, contre un bénéfice de 2,474 milliards en 2024 — soit une dégradation de plus de 10 milliards FCFA. Le ROE ressort à -46,13% et le ROA à -5,08%, confirmant une destruction massive de valeur pour les actionnaires. La marge nette est négative à -9,87%, et la marge opérationnelle de -0,68% traduit un déséquilibre structurel entre les charges d'exploitation et les revenus. En tant qu'entreprise agro-industrielle, SCRC présente un BFR de 6,529 milliards FCFA (positif, donc défavorable) et un fonds de roulement négatif de -10,665 milliards FCFA, signe de tensions de trésorerie. Le délai clients est faible à 12,28 jours (bonne gestion du recouvrement), mais le délai fournisseurs de 366,07 jours est exceptionnellement long, ce qui constitue un avantage de trésorerie mais peut aussi refléter des difficultés de paiement. La durée de stockage de 360,73 jours est très élevée, immobilisant du capital. Le ratio d'endettement de 88,98% et l'autonomie financière de seulement 11,02% révèlent une structure financière fragile, avec des dettes financières totales de 84,873 milliards FCFA pour des capitaux propres de 17,243 milliards FCFA. La capacité de remboursement est de 11,21 années de CAF, ce qui est très élevé. Les rapports narratifs récents (analyses DEEPSEEK du 19/05/2026 et GEMINI-VISION du 23/09/2026) confirment cette détérioration : le coût de l'endettement a explosé de +262% à 6,79 milliards FCFA, et la trésorerie nette est négative à -6,505 milliards FCFA. Le rapport du 1er semestre 2025 (daté du 30/06/2025) indiquait déjà une perte nette de -6,71 milliards FCFA, et le T1 2025 (31/03/2025) montrait un résultat net de 3,21 milliards en repli de 32%. Les perspectives pour 2026 restent très incertaines : la société devra impérativement restructurer sa dette et redresser sa marge opérationnelle, mais les investissements massifs (25,2 milliards FCFA) pèsent lourdement sur la trésorerie. La recommandation fondamentale est de **conserver** avec une vigilance extrême, le potentiel de rebond existant mais les risques financiers étant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profonde entre les signaux. La valorisation (Partie 0) est paradoxale : le P/B de 2,78x suggère une prime de croissance, mais le PER négatif et le BPA de -406 FCFA traduisent une réalité déficitaire qui rend cette prime difficile à justifier. Le comportement du cours (Partie 1) est préoccupant : malgré une variation positive de +8,41% sur 100 jours, la tendance récente est baissière (-2,39% en J-1), avec une volatilité annualisée de 57,1% et un skewness négatif indiquant des baisses plus amples que les hausses. Les signaux techniques (Partie 2) sont contradictoires : les moyennes mobiles et le MACD confirment une tendance baissière, tandis que le RSI (25,15) et le stochastique (%K=0,0) signalent une survente propice à un rebond technique à court terme. Les fondamentaux (Partie 3) sont alarmants : perte nette de -7,954 milliards FCFA en 2025, ROE de -46,13%, endettement critique (88,98% de ratio d'endettement), trésorerie nette négative, et perspectives 2026 très incertaines. Les prédictions IA (J+1 à J+10) anticipent une trajectoire haussière de 2 517 FCFA à 2 914 FCFA, ce qui contredit les signaux fondamentaux et techniques de tendance mais s'aligne sur la lecture de survente des oscillateurs. Sur la base de cette synthèse, la recommandation finale est **CONSERVER** avec un niveau de confiance **Faible** et un risque global **Élevé**. La convergence entre la survente technique et les prédictions IA haussières offre une opportunité de rebond à court terme, mais la fragilité financière structurelle et l'absence de visibilité sur la rentabilité future interdisent toute position acheteuse agressive. L'horizon d'investissement optimal est **court terme (&lt;3 mois)** pour profiter d'un éventuel rebond technique, avec une surveillance rapprochée des prochains rapports trimestriels (T1 2026) pour évaluer la capacité de la société à stabiliser sa situation financière. Une vente serait prématurée compte tenu du potentiel de rebond, mais un achat supplémentaire est déconseillé sans confirmation d'une amélioration opérationnelle durable.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1,506 titres</w:t>
            </w:r>
          </w:p>
        </w:tc>
        <w:tc>
          <w:tcPr>
            <w:tcW w:type="dxa" w:w="2268"/>
            <w:shd w:fill="FFF2CC" w:val="clear"/>
          </w:tcPr>
          <w:p>
            <w:r>
              <w:rPr>
                <w:b/>
                <w:color w:val="503200"/>
                <w:sz w:val="16"/>
              </w:rPr>
              <w:t xml:space="preserve">Cours actuel : </w:t>
            </w:r>
            <w:r>
              <w:rPr>
                <w:color w:val="000000"/>
                <w:sz w:val="17"/>
              </w:rPr>
              <w:t>12,990 FCFA</w:t>
            </w:r>
          </w:p>
          <w:p>
            <w:r>
              <w:rPr>
                <w:b/>
                <w:color w:val="503200"/>
                <w:sz w:val="16"/>
              </w:rPr>
              <w:t xml:space="preserve">Var. 100 jours : </w:t>
            </w:r>
            <w:r>
              <w:rPr>
                <w:b/>
                <w:color w:val="007800"/>
                <w:sz w:val="17"/>
              </w:rPr>
              <w:t>+22.09%</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10,640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μ=12,100 FCFA, σ=730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β=0.6893 (Défensif) — Cov=0.000050, Var(idx)=0.000073, ρ=0.254,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12,302</w:t>
            </w:r>
          </w:p>
        </w:tc>
        <w:tc>
          <w:tcPr>
            <w:tcW w:type="dxa" w:w="1440"/>
            <w:shd w:fill="FAFAFA" w:val="clear"/>
          </w:tcPr>
          <w:p>
            <w:r>
              <w:rPr>
                <w:b/>
                <w:sz w:val="17"/>
              </w:rPr>
              <w:t>12,996</w:t>
            </w:r>
          </w:p>
        </w:tc>
        <w:tc>
          <w:tcPr>
            <w:tcW w:type="dxa" w:w="1440"/>
            <w:shd w:fill="FAFAFA" w:val="clear"/>
          </w:tcPr>
          <w:p>
            <w:r>
              <w:rPr>
                <w:sz w:val="17"/>
              </w:rPr>
              <w:t>13,690</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12,027</w:t>
            </w:r>
          </w:p>
        </w:tc>
        <w:tc>
          <w:tcPr>
            <w:tcW w:type="dxa" w:w="1440"/>
            <w:shd w:fill="FAFAFA" w:val="clear"/>
          </w:tcPr>
          <w:p>
            <w:r>
              <w:rPr>
                <w:b/>
                <w:sz w:val="17"/>
              </w:rPr>
              <w:t>13,009</w:t>
            </w:r>
          </w:p>
        </w:tc>
        <w:tc>
          <w:tcPr>
            <w:tcW w:type="dxa" w:w="1440"/>
            <w:shd w:fill="FAFAFA" w:val="clear"/>
          </w:tcPr>
          <w:p>
            <w:r>
              <w:rPr>
                <w:sz w:val="17"/>
              </w:rPr>
              <w:t>13,991</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11,822</w:t>
            </w:r>
          </w:p>
        </w:tc>
        <w:tc>
          <w:tcPr>
            <w:tcW w:type="dxa" w:w="1440"/>
            <w:shd w:fill="FAFAFA" w:val="clear"/>
          </w:tcPr>
          <w:p>
            <w:r>
              <w:rPr>
                <w:b/>
                <w:sz w:val="17"/>
              </w:rPr>
              <w:t>13,027</w:t>
            </w:r>
          </w:p>
        </w:tc>
        <w:tc>
          <w:tcPr>
            <w:tcW w:type="dxa" w:w="1440"/>
            <w:shd w:fill="FAFAFA" w:val="clear"/>
          </w:tcPr>
          <w:p>
            <w:r>
              <w:rPr>
                <w:sz w:val="17"/>
              </w:rPr>
              <w:t>14,232</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11,659</w:t>
            </w:r>
          </w:p>
        </w:tc>
        <w:tc>
          <w:tcPr>
            <w:tcW w:type="dxa" w:w="1440"/>
            <w:shd w:fill="FAFAFA" w:val="clear"/>
          </w:tcPr>
          <w:p>
            <w:r>
              <w:rPr>
                <w:b/>
                <w:sz w:val="17"/>
              </w:rPr>
              <w:t>13,053</w:t>
            </w:r>
          </w:p>
        </w:tc>
        <w:tc>
          <w:tcPr>
            <w:tcW w:type="dxa" w:w="1440"/>
            <w:shd w:fill="FAFAFA" w:val="clear"/>
          </w:tcPr>
          <w:p>
            <w:r>
              <w:rPr>
                <w:sz w:val="17"/>
              </w:rPr>
              <w:t>14,447</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11,510</w:t>
            </w:r>
          </w:p>
        </w:tc>
        <w:tc>
          <w:tcPr>
            <w:tcW w:type="dxa" w:w="1440"/>
            <w:shd w:fill="FAFAFA" w:val="clear"/>
          </w:tcPr>
          <w:p>
            <w:r>
              <w:rPr>
                <w:b/>
                <w:sz w:val="17"/>
              </w:rPr>
              <w:t>13,070</w:t>
            </w:r>
          </w:p>
        </w:tc>
        <w:tc>
          <w:tcPr>
            <w:tcW w:type="dxa" w:w="1440"/>
            <w:shd w:fill="FAFAFA" w:val="clear"/>
          </w:tcPr>
          <w:p>
            <w:r>
              <w:rPr>
                <w:sz w:val="17"/>
              </w:rPr>
              <w:t>14,631</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11,372</w:t>
            </w:r>
          </w:p>
        </w:tc>
        <w:tc>
          <w:tcPr>
            <w:tcW w:type="dxa" w:w="1440"/>
            <w:shd w:fill="FAFAFA" w:val="clear"/>
          </w:tcPr>
          <w:p>
            <w:r>
              <w:rPr>
                <w:b/>
                <w:sz w:val="17"/>
              </w:rPr>
              <w:t>13,083</w:t>
            </w:r>
          </w:p>
        </w:tc>
        <w:tc>
          <w:tcPr>
            <w:tcW w:type="dxa" w:w="1440"/>
            <w:shd w:fill="FAFAFA" w:val="clear"/>
          </w:tcPr>
          <w:p>
            <w:r>
              <w:rPr>
                <w:sz w:val="17"/>
              </w:rPr>
              <w:t>14,794</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11,245</w:t>
            </w:r>
          </w:p>
        </w:tc>
        <w:tc>
          <w:tcPr>
            <w:tcW w:type="dxa" w:w="1440"/>
            <w:shd w:fill="FAFAFA" w:val="clear"/>
          </w:tcPr>
          <w:p>
            <w:r>
              <w:rPr>
                <w:b/>
                <w:sz w:val="17"/>
              </w:rPr>
              <w:t>13,095</w:t>
            </w:r>
          </w:p>
        </w:tc>
        <w:tc>
          <w:tcPr>
            <w:tcW w:type="dxa" w:w="1440"/>
            <w:shd w:fill="FAFAFA" w:val="clear"/>
          </w:tcPr>
          <w:p>
            <w:r>
              <w:rPr>
                <w:sz w:val="17"/>
              </w:rPr>
              <w:t>14,945</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11,126</w:t>
            </w:r>
          </w:p>
        </w:tc>
        <w:tc>
          <w:tcPr>
            <w:tcW w:type="dxa" w:w="1440"/>
            <w:shd w:fill="FAFAFA" w:val="clear"/>
          </w:tcPr>
          <w:p>
            <w:r>
              <w:rPr>
                <w:b/>
                <w:sz w:val="17"/>
              </w:rPr>
              <w:t>13,105</w:t>
            </w:r>
          </w:p>
        </w:tc>
        <w:tc>
          <w:tcPr>
            <w:tcW w:type="dxa" w:w="1440"/>
            <w:shd w:fill="FAFAFA" w:val="clear"/>
          </w:tcPr>
          <w:p>
            <w:r>
              <w:rPr>
                <w:sz w:val="17"/>
              </w:rPr>
              <w:t>15,084</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11,014</w:t>
            </w:r>
          </w:p>
        </w:tc>
        <w:tc>
          <w:tcPr>
            <w:tcW w:type="dxa" w:w="1440"/>
            <w:shd w:fill="FAFAFA" w:val="clear"/>
          </w:tcPr>
          <w:p>
            <w:r>
              <w:rPr>
                <w:b/>
                <w:sz w:val="17"/>
              </w:rPr>
              <w:t>13,115</w:t>
            </w:r>
          </w:p>
        </w:tc>
        <w:tc>
          <w:tcPr>
            <w:tcW w:type="dxa" w:w="1440"/>
            <w:shd w:fill="FAFAFA" w:val="clear"/>
          </w:tcPr>
          <w:p>
            <w:r>
              <w:rPr>
                <w:sz w:val="17"/>
              </w:rPr>
              <w:t>15,216</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10,906</w:t>
            </w:r>
          </w:p>
        </w:tc>
        <w:tc>
          <w:tcPr>
            <w:tcW w:type="dxa" w:w="1440"/>
            <w:shd w:fill="FAFAFA" w:val="clear"/>
          </w:tcPr>
          <w:p>
            <w:r>
              <w:rPr>
                <w:b/>
                <w:sz w:val="17"/>
              </w:rPr>
              <w:t>13,122</w:t>
            </w:r>
          </w:p>
        </w:tc>
        <w:tc>
          <w:tcPr>
            <w:tcW w:type="dxa" w:w="1440"/>
            <w:shd w:fill="FAFAFA" w:val="clear"/>
          </w:tcPr>
          <w:p>
            <w:r>
              <w:rPr>
                <w:sz w:val="17"/>
              </w:rPr>
              <w:t>15,337</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Eau / Services publics*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116,91 milliards FCFA, SDCC s'impose comme une valeur de taille intermédiaire à supérieure sur la BRVM, représentant un poids notable dans l'indice sectoriel des services publics. Le BPA de 518 FCFA par action signifie que chaque titre génère un bénéfice net de 518 FCFA, ce qui, rapporté au cours actuel de 12 990 FCFA, aboutit à un PER de 25,1x — très nettement supérieur à la moyenne du marché BRVM (8-12x), signalant que les investisseurs paient une prime de croissance significative ou que le titre est surévalué. Le ratio P/B de 5,93x confirme cette exigence : le marché valorise SDCC près de six fois sa valeur comptable, une prime rarement justifiée sans perspectives de rentabilité exceptionnelles. Enfin, l'EV/EBITDA de 14,9x, dans la fourchette haute (10-15x), indique que la valeur d'entreprise intègre déjà une bonne partie de la capacité opérationnelle,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 enregistré une progression totale de +22,09%, avec une dernière séance (J-1) stable à +0,00%, le cours clôturant à 12 990 FCFA. Le titre a évolué dans un range de 10 640 FCFA (plus bas) à 13 885 FCFA (plus haut), soit une amplitude d'environ 30%, traduisant une tendance générale haussière bien affirmée, portée par un momentum acheteur soutenu. Les statistiques descriptives révèlent une moyenne de 12 100 FCFA légèrement supérieure à la médiane de 12 000 FCFA, avec un mode à 11 900 FCFA : cet écart modéré indique une distribution quasi symétrique, confirmée par un skewness de 0,469 (asymétrie positive légère) — les gains récents tirent la moyenne vers le haut sans déformer excessivement la distribution. L'écart-type de 734 FCFA (CV = 6,1%) traduit une dispersion modérée du cours autour de sa moyenne, tandis que le kurtosis de -0,335 (mésokurtique) suggère une distribution proche de la normale, sans risque marqué de pics extrêmes. La volatilité annualisée de 36,7% classe SDCC parmi les titres à volatilité élevée (&gt;30%), ce qui implique un risque de fluctuation important et justifie une gestion prudente de la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(12 773 FCFA) et la MM50 (12 528,9 FCFA) se situent toutes deux sous le cours actuel (12 990 FCFA), avec la MM20 au-dessus de la MM50 — configuration haussière classique (golden cross). Cette disposition confirme la dynamique positive et justifie la décision d'**Achat**.</w:t>
      </w:r>
    </w:p>
    <w:p>
      <w:pPr>
        <w:spacing w:after="120" w:line="276" w:lineRule="auto"/>
      </w:pPr>
      <w:r>
        <w:t>**Bandes de Bollinger** : Le cours (12 990 FCFA) évolue dans la partie supérieure de la bande (borne supérieure 14 055,59 FCFA ; borne inférieure 11 490,41 FCFA), sans la franchir. Cette position médiane-haute, couplée à un écart-type modéré, traduit une volatilité contenue et une absence de signal extrême, d'où la décision **Neutre**.</w:t>
      </w:r>
    </w:p>
    <w:p>
      <w:pPr>
        <w:spacing w:after="120" w:line="276" w:lineRule="auto"/>
      </w:pPr>
      <w:r>
        <w:t>**MACD** : La valeur du MACD (79,596) dépasse nettement son signal (44,413), avec un histogramme positif en expansion. Cette divergence haussière confirme l'accélération du momentum acheteur et valide la décision d'**Achat**.</w:t>
      </w:r>
    </w:p>
    <w:p>
      <w:pPr>
        <w:spacing w:after="120" w:line="276" w:lineRule="auto"/>
      </w:pPr>
      <w:r>
        <w:t>**RSI** : À 57,594, le RSI se situe en zone neutre (30-70), sans surachat ni survente. Le titre conserve donc un potentiel de hausse résiduel sans être en zone de risque de correction immédiate, justifiant la décision **Neutre**.</w:t>
      </w:r>
    </w:p>
    <w:p>
      <w:pPr>
        <w:spacing w:after="120" w:line="276" w:lineRule="auto"/>
      </w:pPr>
      <w:r>
        <w:t>**Stochastique** : Le %K (99,455) et le %D (92,555) sont tous deux en zone de surachat extrême, avec un %K proche de 100. Ce signal avancé de retournement potentiel à court terme justifie la décision **Vente**, en contradiction avec les autres indicateurs.</w:t>
      </w:r>
    </w:p>
    <w:p>
      <w:pPr>
        <w:spacing w:after="120" w:line="276" w:lineRule="auto"/>
      </w:pPr>
      <w:r>
        <w:t>**Conclusion technique** : Les indicateurs de tendance (MM, MACD) sont clairement haussiers et confirment la dynamique positive du titre, tandis que le RSI neutre laisse de la marge. Cependant, le stochastique en surachat extrême (%K ≈ 99) constitue un signal de prudence à court terme, suggérant une possible consolidation avant poursuite de la hausse. La convergence globale reste positive mais appelle à la vigilance sur les points d'entrée.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a réalisé un chiffre d'affaires de 189,430 milliards FCFA, en croissance de +9,98% sur un an, avec un résultat net de 4,663 milliards FCFA (+31% selon le rapport annuel 2025), une marge nette de 2,46% et un ROE de 23,65% — niveau excellent (&gt;15%) qui témoigne d'une forte rentabilité des fonds propres. Le ROA reste faible à 0,99%, reflet d'un actif très lourd (472,672 milliards FCFA) typique d'une activité de réseau d'eau. L'analyse sectorielle (entreprise non bancaire) révèle un point de vigilance majeur : le délai clients de 749,25 jours, extrêmement élevé, génère un BFR de 104,748 milliards FCFA et une trésorerie nette négative de -61,710 milliards FCFA, avec un flux opérationnel de -36,655 milliards FCFA — la rentabilité comptable ne se traduit pas encore en cash. L'autonomie financière est très faible (4,17%) et le ratio d'endettement de 95,83% indique une structure financière tendue, bien que la couverture des intérêts (1 583,51%) et la capacité de remboursement (8,18 ans) restent acceptables. Les rapports trimestriels confirment la dynamique : le T1 2025 (rapport du 31/03/2025) affichait un CA de 41,6 milliards FCFA (+8%) et un RN de 604 millions FCFA (+17%), tandis que le T1 2026 (rapport 2026) montre un CA en léger repli de -2% à 40 916 millions FCFA mais un résultat net bondissant de +118% à 1 318 millions FCFA, avec un résultat d'exploitation multiplié par 2,5 — signe d'une nette amélioration de la maîtrise des charges. Sur cette base, on estime que l'exercice 2026 devrait confirmer la tendance à l'amélioration de la rentabilité opérationnelle, portée par le nouveau contrat de délégation et la transformation digitale, même si la croissance du CA reste fragile. La recommandation fondamentale est de **CONSERVER** : la solidité du modèle (monopole de distribution d'eau, 2,27 millions de clients, +6,14%) et l'amélioration des marges compensent les tensions de trésorerie, mais la valorisation exigeante limite le potentiel d'appréciation.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dessine un profil contrasté. La **valorisation** (Partie 0) est clairement exigeante : PER de 25,1x contre 8-12x pour le marché, P/B de 5,93x et EV/EBITDA de 14,9x traduisent une surévaluation relative qui intègre déjà une bonne partie des perspectives de croissance. Le **comportement du cours** (Partie 1) est favorable (+22,09% sur 100 jours, tendance haussière, distribution symétrique sans risque de pics extrêmes), mais la volatilité élevée (36,7%) impose une gestion prudente. Les **signaux techniques** (Partie 2) sont majoritairement haussiers (MM en golden cross, MACD acheteur) mais le stochastique en surachat extrême (%K = 99,5) prévient d'un risque de consolidation à court terme. Les **fondamentaux** (Partie 3) montrent une amélioration réelle de la rentabilité (ROE 23,65%, RN +31% en 2025, T1 2026 RN +118%) mais une structure financière tendue (trésorerie nette -61,7 Mds FCFA, délai clients 749 jours) qui constitue un risque persistant. Les **prédictions IA** (J+1 à J+10 : 12 996 → 13 070 FCFA) anticipent une poursuite très modérée de la hausse (+0,6% sur 10 jours), confirmant la tendance sans emballement. Sur cette base, la recommandation finale est **CONSERVER**, avec un niveau de confiance **Moyen** : la convergence entre technique haussière, fondamentaux en amélioration et prédictions positives est contrebalancée par une valorisation tendue et un signal stochastique de surachat. Le niveau de risque global est **Élevé** (volatilité 36,7%, endettement 95,8%, trésorerie négative). L'horizon d'investissement optimal est le **moyen terme (3-12 mois)**, le temps que les effets du nouveau contrat de délégation et de la transformation digitale se matérialisent dans les résultats, tout en surveillant de près l'évolution de la trésorerie et du délai clients.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155.68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17,463 titres</w:t>
            </w:r>
          </w:p>
        </w:tc>
        <w:tc>
          <w:tcPr>
            <w:tcW w:type="dxa" w:w="2268"/>
            <w:shd w:fill="FFF2CC" w:val="clear"/>
          </w:tcPr>
          <w:p>
            <w:r>
              <w:rPr>
                <w:b/>
                <w:color w:val="503200"/>
                <w:sz w:val="16"/>
              </w:rPr>
              <w:t xml:space="preserve">Cours actuel : </w:t>
            </w:r>
            <w:r>
              <w:rPr>
                <w:color w:val="000000"/>
                <w:sz w:val="17"/>
              </w:rPr>
              <w:t>2,860 FCFA</w:t>
            </w:r>
          </w:p>
          <w:p>
            <w:r>
              <w:rPr>
                <w:b/>
                <w:color w:val="503200"/>
                <w:sz w:val="16"/>
              </w:rPr>
              <w:t xml:space="preserve">Var. 100 jours : </w:t>
            </w:r>
            <w:r>
              <w:rPr>
                <w:b/>
                <w:color w:val="007800"/>
                <w:sz w:val="17"/>
              </w:rPr>
              <w:t>+68.73%</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15.89% (Élevée) — μ=2,554 FCFA, σ=406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β=0.5316 (Défensif) — Cov=0.000039, Var(idx)=0.000073, ρ=0.139,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17,463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2,721</w:t>
            </w:r>
          </w:p>
        </w:tc>
        <w:tc>
          <w:tcPr>
            <w:tcW w:type="dxa" w:w="1440"/>
            <w:shd w:fill="FAFAFA" w:val="clear"/>
          </w:tcPr>
          <w:p>
            <w:r>
              <w:rPr>
                <w:b/>
                <w:sz w:val="17"/>
              </w:rPr>
              <w:t>2,865</w:t>
            </w:r>
          </w:p>
        </w:tc>
        <w:tc>
          <w:tcPr>
            <w:tcW w:type="dxa" w:w="1440"/>
            <w:shd w:fill="FAFAFA" w:val="clear"/>
          </w:tcPr>
          <w:p>
            <w:r>
              <w:rPr>
                <w:sz w:val="17"/>
              </w:rPr>
              <w:t>3,009</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2,673</w:t>
            </w:r>
          </w:p>
        </w:tc>
        <w:tc>
          <w:tcPr>
            <w:tcW w:type="dxa" w:w="1440"/>
            <w:shd w:fill="FAFAFA" w:val="clear"/>
          </w:tcPr>
          <w:p>
            <w:r>
              <w:rPr>
                <w:b/>
                <w:sz w:val="17"/>
              </w:rPr>
              <w:t>2,878</w:t>
            </w:r>
          </w:p>
        </w:tc>
        <w:tc>
          <w:tcPr>
            <w:tcW w:type="dxa" w:w="1440"/>
            <w:shd w:fill="FAFAFA" w:val="clear"/>
          </w:tcPr>
          <w:p>
            <w:r>
              <w:rPr>
                <w:sz w:val="17"/>
              </w:rPr>
              <w:t>3,082</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2,635</w:t>
            </w:r>
          </w:p>
        </w:tc>
        <w:tc>
          <w:tcPr>
            <w:tcW w:type="dxa" w:w="1440"/>
            <w:shd w:fill="FAFAFA" w:val="clear"/>
          </w:tcPr>
          <w:p>
            <w:r>
              <w:rPr>
                <w:b/>
                <w:sz w:val="17"/>
              </w:rPr>
              <w:t>2,886</w:t>
            </w:r>
          </w:p>
        </w:tc>
        <w:tc>
          <w:tcPr>
            <w:tcW w:type="dxa" w:w="1440"/>
            <w:shd w:fill="FAFAFA" w:val="clear"/>
          </w:tcPr>
          <w:p>
            <w:r>
              <w:rPr>
                <w:sz w:val="17"/>
              </w:rPr>
              <w:t>3,137</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2,599</w:t>
            </w:r>
          </w:p>
        </w:tc>
        <w:tc>
          <w:tcPr>
            <w:tcW w:type="dxa" w:w="1440"/>
            <w:shd w:fill="FAFAFA" w:val="clear"/>
          </w:tcPr>
          <w:p>
            <w:r>
              <w:rPr>
                <w:b/>
                <w:sz w:val="17"/>
              </w:rPr>
              <w:t>2,889</w:t>
            </w:r>
          </w:p>
        </w:tc>
        <w:tc>
          <w:tcPr>
            <w:tcW w:type="dxa" w:w="1440"/>
            <w:shd w:fill="FAFAFA" w:val="clear"/>
          </w:tcPr>
          <w:p>
            <w:r>
              <w:rPr>
                <w:sz w:val="17"/>
              </w:rPr>
              <w:t>3,180</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2,565</w:t>
            </w:r>
          </w:p>
        </w:tc>
        <w:tc>
          <w:tcPr>
            <w:tcW w:type="dxa" w:w="1440"/>
            <w:shd w:fill="FAFAFA" w:val="clear"/>
          </w:tcPr>
          <w:p>
            <w:r>
              <w:rPr>
                <w:b/>
                <w:sz w:val="17"/>
              </w:rPr>
              <w:t>2,890</w:t>
            </w:r>
          </w:p>
        </w:tc>
        <w:tc>
          <w:tcPr>
            <w:tcW w:type="dxa" w:w="1440"/>
            <w:shd w:fill="FAFAFA" w:val="clear"/>
          </w:tcPr>
          <w:p>
            <w:r>
              <w:rPr>
                <w:sz w:val="17"/>
              </w:rPr>
              <w:t>3,214</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2,533</w:t>
            </w:r>
          </w:p>
        </w:tc>
        <w:tc>
          <w:tcPr>
            <w:tcW w:type="dxa" w:w="1440"/>
            <w:shd w:fill="FAFAFA" w:val="clear"/>
          </w:tcPr>
          <w:p>
            <w:r>
              <w:rPr>
                <w:b/>
                <w:sz w:val="17"/>
              </w:rPr>
              <w:t>2,889</w:t>
            </w:r>
          </w:p>
        </w:tc>
        <w:tc>
          <w:tcPr>
            <w:tcW w:type="dxa" w:w="1440"/>
            <w:shd w:fill="FAFAFA" w:val="clear"/>
          </w:tcPr>
          <w:p>
            <w:r>
              <w:rPr>
                <w:sz w:val="17"/>
              </w:rPr>
              <w:t>3,244</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2,504</w:t>
            </w:r>
          </w:p>
        </w:tc>
        <w:tc>
          <w:tcPr>
            <w:tcW w:type="dxa" w:w="1440"/>
            <w:shd w:fill="FAFAFA" w:val="clear"/>
          </w:tcPr>
          <w:p>
            <w:r>
              <w:rPr>
                <w:b/>
                <w:sz w:val="17"/>
              </w:rPr>
              <w:t>2,887</w:t>
            </w:r>
          </w:p>
        </w:tc>
        <w:tc>
          <w:tcPr>
            <w:tcW w:type="dxa" w:w="1440"/>
            <w:shd w:fill="FAFAFA" w:val="clear"/>
          </w:tcPr>
          <w:p>
            <w:r>
              <w:rPr>
                <w:sz w:val="17"/>
              </w:rPr>
              <w:t>3,271</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2,476</w:t>
            </w:r>
          </w:p>
        </w:tc>
        <w:tc>
          <w:tcPr>
            <w:tcW w:type="dxa" w:w="1440"/>
            <w:shd w:fill="FAFAFA" w:val="clear"/>
          </w:tcPr>
          <w:p>
            <w:r>
              <w:rPr>
                <w:b/>
                <w:sz w:val="17"/>
              </w:rPr>
              <w:t>2,886</w:t>
            </w:r>
          </w:p>
        </w:tc>
        <w:tc>
          <w:tcPr>
            <w:tcW w:type="dxa" w:w="1440"/>
            <w:shd w:fill="FAFAFA" w:val="clear"/>
          </w:tcPr>
          <w:p>
            <w:r>
              <w:rPr>
                <w:sz w:val="17"/>
              </w:rPr>
              <w:t>3,296</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2,449</w:t>
            </w:r>
          </w:p>
        </w:tc>
        <w:tc>
          <w:tcPr>
            <w:tcW w:type="dxa" w:w="1440"/>
            <w:shd w:fill="FAFAFA" w:val="clear"/>
          </w:tcPr>
          <w:p>
            <w:r>
              <w:rPr>
                <w:b/>
                <w:sz w:val="17"/>
              </w:rPr>
              <w:t>2,884</w:t>
            </w:r>
          </w:p>
        </w:tc>
        <w:tc>
          <w:tcPr>
            <w:tcW w:type="dxa" w:w="1440"/>
            <w:shd w:fill="FAFAFA" w:val="clear"/>
          </w:tcPr>
          <w:p>
            <w:r>
              <w:rPr>
                <w:sz w:val="17"/>
              </w:rPr>
              <w:t>3,319</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2,424</w:t>
            </w:r>
          </w:p>
        </w:tc>
        <w:tc>
          <w:tcPr>
            <w:tcW w:type="dxa" w:w="1440"/>
            <w:shd w:fill="FAFAFA" w:val="clear"/>
          </w:tcPr>
          <w:p>
            <w:r>
              <w:rPr>
                <w:b/>
                <w:sz w:val="17"/>
              </w:rPr>
              <w:t>2,882</w:t>
            </w:r>
          </w:p>
        </w:tc>
        <w:tc>
          <w:tcPr>
            <w:tcW w:type="dxa" w:w="1440"/>
            <w:shd w:fill="FAFAFA" w:val="clear"/>
          </w:tcPr>
          <w:p>
            <w:r>
              <w:rPr>
                <w:sz w:val="17"/>
              </w:rPr>
              <w:t>3,340</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 RAPPORT D'ANALYSE FINANCIÈRE — ACTION SDSC (AGL CÔTE D'IVOIRE)</w:t>
        <w:br/>
        <w:t>**Bourse Régionale des Valeurs Mobilières (BRVM) — Secteur : Logistique &amp; Transport**</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155,68 milliards FCFA, SDSC figure parmi les valeurs moyennes-capitalisations de la cote BRVM, ce qui lui confère une certaine liquidité mais la rend vulnérable aux mouvements de portefeuilles institutionnels. Le BPA s'établit à 14 FCFA par action, un niveau dérisoire qui traduit un bénéfice net de seulement 784,97 millions FCFA pour l'exercice 2025. Le PER de 198,3x est exceptionnellement élevé — très loin de la moyenne BRVM (~8-12x) — signifiant que les investisseurs paient près de 200 fois les bénéfices actuels, ce qui n'est justifiable que par une anticipation de rebond massif des profits ou par une anomalie de marché. Le P/B de 2,12x indique que le marché valorise l'action à plus du double de sa valeur comptable (capitaux propres de 73,55 Mds FCFA), accordant une prime de croissance qui contraste avec la faiblesse des résultats. Enfin, l'EV/EBITDA de 21,4x (largement supérieur au seuil de 15x) confirme que la valeur d'entreprise intègre une capacité opérationnelle (EBE de 4,26 Mds FCFA) très chèrement payée, ce qui constitue un signal de surévaluation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spectaculaire de +68,73%, passant d'un plus bas de 1 650 FCFA à un plus haut de 3 205 FCFA, pour un cours actuel de 2 860 FCFA — soit une contraction de -3,05% lors de la dernière séance, signalant une prise de profit après le rallye. Le range de trading de 1 555 FCFA (soit près du double du plus bas) témoigne d'une tendance nettement haussière, mais la correction récente suggère un essoufflement. Les statistiques descriptives révèlent une moyenne de 2 554 FCFA légèrement inférieure à la médiane de 2 655 FCFA, avec un mode à 2 800 FCFA : cet écart indique une distribution asymétrique où les cours ont davantage stagné au-dessus de la moyenne, confirmé par un skewness négatif de -0,609 (plus de journées au-dessus de la moyenne). L'écart-type de 408 FCFA (CV de 16,0%) traduit une dispersion modérée, tandis que le kurtosis de -0,536 (mésokurtique) suggère une distribution proche de la normale, sans risque extrême de pics. La volatilité annualisée de 51,8% classe le titre dans la catégorie **élevée** (&gt;30%), ce qui implique un risque de marché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(2 961,25 FCFA) et la MM50 (2 849,60 FCFA) encadrent le cours actuel (2 860 FCFA), qui se situe juste au-dessus de la MM50 mais sous la MM20. Cette configuration indique une pression baissière de court terme (cours sous MM20) tout en conservant un support moyen terme (MM50). La décision technique affichée est **Achat**, soutenue par le maintien du cours au-dessus de la MM50, mais la proximité immédiate de cette moyenne fragilise le signal.</w:t>
      </w:r>
    </w:p>
    <w:p>
      <w:pPr>
        <w:spacing w:after="120" w:line="276" w:lineRule="auto"/>
      </w:pPr>
      <w:r>
        <w:t>**Bandes de Bollinger** : Le cours (2 860 FCFA) évolue dans la partie basse de la bande, entre la borne inférieure (2 758,30 FCFA) et la borne supérieure (3 164,20 FCFA), à environ 25% de la largeur totale. Cette position médiane-basse reflète une volatilité contenue et une absence de signal directionnel fort. La décision **Neutre** est cohérente avec cette configuration, le cours n'ayant ni cassé le support inférieur ni approché la résistance supérieure.</w:t>
      </w:r>
    </w:p>
    <w:p>
      <w:pPr>
        <w:spacing w:after="120" w:line="276" w:lineRule="auto"/>
      </w:pPr>
      <w:r>
        <w:t>**MACD** : La valeur du MACD (25,058) est nettement inférieure à son signal (38,054), générant un histogramme négatif qui traduit un momentum baissier. Cette divergence négative indique que la dynamique haussière s'essouffle, justifiant la décision **Vente**. Le croisement baissier récent du MACD sous sa ligne de signal constitue un avertissement de correction à court terme.</w:t>
      </w:r>
    </w:p>
    <w:p>
      <w:pPr>
        <w:spacing w:after="120" w:line="276" w:lineRule="auto"/>
      </w:pPr>
      <w:r>
        <w:t>**RSI** : À 47,706, le RSI se situe en zone neutre (30-70), légèrement sous le seuil de 50 qui sépare les territoires haussier et baissier. Cette valeur n'indique ni surachat ni survente, mais la position sous 50 suggère une légère prédominance des vendeurs. La décision **Neutre** est appropriée, le titre n'offrant pas de signal extrême exploitable.</w:t>
      </w:r>
    </w:p>
    <w:p>
      <w:pPr>
        <w:spacing w:after="120" w:line="276" w:lineRule="auto"/>
      </w:pPr>
      <w:r>
        <w:t>**Stochastique** : Le %K (20,339) est nettement inférieur au %D (52,542), avec un %K en zone de survente (&lt;20) et un croisement baissier des deux lignes. Cette configuration signale une pression vendeuse persistante mais approchant d'une zone de rebond potentiel. La décision **Neutre** reflète cette ambiguïté entre survente (signal d'achat potentiel) et croisement baissier (signal de vente).</w:t>
      </w:r>
    </w:p>
    <w:p>
      <w:pPr>
        <w:spacing w:after="120" w:line="276" w:lineRule="auto"/>
      </w:pPr>
      <w:r>
        <w:t>**Conclusion technique** : Les indicateurs présentent une divergence préoccupante : les moyennes mobiles maintiennent un signal d'achat (cours &gt; MM50) tandis que le MACD confirme une vente et que le RSI/stochastique restent neutres avec une tendance baissière. Cette configuration mixte suggère une phase de consolidation ou de correction après le rallye de +68,73%, avec un risque de test de la MM50 (2 849,60 FCFA) voire de la borne inférieure de Bollinger (2 758,30 FCFA). La convergence des signaux baissiers à court terme (MACD, stochastique) l'emporte sur le signal haussier des MM, plaidant pour une prudence technique.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AGL Côte d'Ivoire (SDSC) a réalisé un chiffre d'affaires de 92,004 milliards FCFA, en croissance de +7,43% par rapport à 2024 (85,643 Mds FCFA), portée par le cœur de métier logistique (transit cacao, manutention). Cependant, le résultat net s'est effondré à 784,97 millions FCFA contre 21,07 milliards FCFA en 2024, soit une chute de -96%, ramenant la marge nette à 0,85% (vs 24,6% en 2024). Le résultat d'exploitation est devenu négatif (-2,271 Mds FCFA) sous l'effet d'une hausse de 41% des dotations aux amortissements (9,043 Mds FCFA) et de charges de personnel élevées (36,205 Mds FCFA). La rentabilité des fonds propres (ROE) s'établit à seulement 1,07% (très loin du seuil de 15% considéré comme excellent) et le ROA à 0,30%, confirmant une destruction de valeur actionnariale. La structure financière reste solide avec des capitaux propres de 73,55 Mds FCFA, une autonomie financière de 28,35% (légèrement sous le seuil de 30%) et une trésorerie nette de 74,78 Mds FCFA, mais le BFR négatif (-57,34 Mds FCFA) — favorable pour une entreprise — masque une dépendance aux dettes d'exploitation (passif circulant de 175,67 Mds FCFA). Le ratio de couverture des intérêts est négatif (-289,33%), signalant que l'exploitation ne couvre pas les charges financières, bien que celles-ci restent faibles (784,93 M FCFA).</w:t>
      </w:r>
    </w:p>
    <w:p>
      <w:pPr>
        <w:spacing w:after="120" w:line="276" w:lineRule="auto"/>
      </w:pPr>
      <w:r>
        <w:t>**Estimations basées sur les rapports trimestriels** : Le rapport T1 2025 (daté du 31/03/2025) indiquait un CA de 23,057 Mds FCFA (+6,2%) et une perte nette de -193 M FCFA, en amélioration de 54% sur un an. Le rapport S1 2025 (30/06/2025) confirmait un CA de 44,452 Mds FCFA (+4,2%) mais un résultat net négatif de -427 M FCFA, plombé par l'absence de dividendes des filiales. Le rapport T3 2025 (30/09/2025) montrait un CA de 66,217 Mds FCFA (+7,4%) et un résultat net de 4,341 Mds FCFA (-77% sur un an), toujours affecté par la volatilité des revenus de filiales. Ces éléments trimestriels suggèrent que la performance annuelle 2025 a été portée par un rebond au T4 (résultat net annuel de 784,97 M FCFA vs -427 M FCFA au S1), mais la qualité de ce rebond reste fragile car dépendante de produits financiers non récurrents (résultat financier de 7,08 Mds FCFA). **On estime** que l'exercice 2026 devrait bénéficier d'une base de comparaison favorable et d'une croissance du CA attendue autour de +5-7%, mais la rentabilité opérationnelle pourrait rester sous pression si les charges d'amortissement et de personnel ne sont pas maîtrisées.</w:t>
      </w:r>
    </w:p>
    <w:p>
      <w:pPr>
        <w:spacing w:after="120" w:line="276" w:lineRule="auto"/>
      </w:pPr>
      <w:r>
        <w:t>**Recommandation fondamentale** : La société présente une solidité bilancielle indéniable (trésorerie abondante, capitaux propres élevés) et une dynamique commerciale positive, mais la dégradation spectaculaire de la rentabilité (ROE de 1,07%, marge nette de 0,85%) et le PER de 198,3x rendent la valorisation boursière difficilement justifiable. Le rapport des commissaires aux comptes (Deloitte/ECR, août 2026) certifie les comptes sans réserve mais signale des manquements réglementaires (retard de publication, non-respect des délais OHADA), ce qui constitue un signal de faiblesse de gouvernance. La recommandation fondamentale est **CONSERVER** avec une vigilance accrue sur la capacité de la direction à restaurer les marges opérationnelles en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majeure** entre la valorisation, la technique, les fondamentaux et les prédictions IA. La valorisation (Partie 0) est manifestement **surévaluée** : PER de 198,3x, EV/EBITDA de 21,4x et P/B de 2,12x pour un ROE de 1,07% et une marge nette de 0,85% — le marché paie très cher une rentabilité quasi nulle. Le comportement du cours (Partie 1) montre une tendance haussière spectaculaire (+68,73%) mais essoufflée (-3,05% en J-1), avec une volatilité élevée (51,8%) et une asymétrie négative (skewness de -0,609) qui suggère que le rallye pourrait s'inverser. Les signaux techniques (Partie 2) sont **majoritairement baissiers** : MACD en vente, RSI sous 50, stochastique en survente avec croisement baissier, seul le maintien au-dessus de la MM50 offrant un support fragile. Les fondamentaux (Partie 3) sont **préoccupants** : croissance du CA (+7,43%) mais effondrement du résultat net (-96%), ROE de 1,07%, résultat d'exploitation négatif, et des rapports trimestriels 2025 montrant une dépendance aux revenus non récurrents des filiales. Les prédictions IA (J+1 à J+10) anticipent une légère reprise (2 865 → 2 890 FCFA, soit +1,05% sur 10 jours), ce qui **contredit** les signaux techniques baissiers mais **confirme** la tendance haussière de fond — cependant, cette prédiction semble ignorer la dégradation fondamentale.</w:t>
      </w:r>
    </w:p>
    <w:p>
      <w:pPr>
        <w:spacing w:after="120" w:line="276" w:lineRule="auto"/>
      </w:pPr>
      <w:r>
        <w:t>**Recommandation finale : CONSERVER (avec réserve)**</w:t>
      </w:r>
    </w:p>
    <w:p>
      <w:pPr>
        <w:spacing w:after="120" w:line="276" w:lineRule="auto"/>
      </w:pPr>
      <w:r>
        <w:t>La convergence des signaux est **mitigée** : la valorisation et les fondamentaux plaident pour une **VENTE** (surévaluation manifeste, rentabilité effondrée), tandis que la technique et les prédictions IA suggèrent un maintien à court terme (support de la MM50, rebond anticipé). Le niveau de confiance est **Moyen** car les données fondamentales sont solides et récentes (exercice 2025 certifié), mais la divergence entre le prix de marché et la valeur intrinsèque est trop importante pour recommander un achat. Le niveau de risque global est **Élevé** en raison de la volatilité (51,8%), du PER extrême (198,3x) et de la dépendance aux revenus non récurrents. L'horizon d'investissement optimal est **court terme (&lt;3 mois)** pour les investisseurs cherchant à profiter de la volatilité, mais **moyen terme (3-12 mois)** pour ceux qui souhaitent surveiller la restauration des marges opérationnelles avant de se positionner. Une **VENTE** serait justifiée si le cours casse la MM50 (2 849,60 FCFA) ou si le prochain rapport trimestriel confirme la faiblesse de la rentabilité opérationnelle.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β=1.1196 (Neutre (suit le marché)) — Cov=0.000043, Var(idx)=0.000038, ρ=0.241, n=83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 RAPPORT D'ANALYSE FINANCIÈRE — SEMC (BRVM)</w:t>
        <w:br/>
        <w:t>**Société : SEMC (ex-EVIOSYS PACKAGING SIEM) | Secteur : Emballage métallique industriel**</w:t>
        <w:br/>
        <w:t>**Date d'analyse : Mars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**37,66 milliards FCFA**, un niveau intermédiaire à l'échelle de la BRVM qui positionne le titre parmi les valeurs industrielles de taille moyenne, loin des poids lourds bancaires et télécoms mais avec une liquidité correcte (volume moyen de 6 046 titres/jour). Les ratios de valorisation classiques (BPA, PER, P/B, EV/EBITDA) ne sont pas calculables en l'état, faute de données financières structurées récentes et fiables dans la base (les derniers états certifiés exploitables remontent à 2023). Toutefois, sur la base du résultat net 2023 de **1,01 milliard FCFA** et d'un nombre d'actions estimé à environ 25 millions (dividende 2023 de 0 FCFA mais historique de 250 FCFA/action en 2023 selon un rapport et 0 selon un autre — divergence à noter), le BPA ressortirait autour de **40 FCFA**, soit un PER implicite très élevé (~37x) au cours actuel de 1 495 FCFA, suggérant une **surévaluation manifeste** si l'on retient les bénéfices 2023. Cette absence de ratios fiables constitue en soi un signal de prudence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SEMC affiche une **variation totale de -16,94%**, avec une dernière séance en repli de **-1,64%**, confirmant une tendance **baissière** claire. Le cours actuel de **1 495 FCFA** se situe dans la moitié basse du range de trading compris entre **1 350 FCFA (plus bas)** et **1 800 FCFA (plus haut)**, soit une amplitude de 33% qui témoigne d'une réelle nervosité. Les statistiques descriptives révèlent une **moyenne de 1 527 FCFA** légèrement supérieure à la **médiane de 1 520 FCFA**, avec un mode à 1 500 FCFA : l'écart faible entre moyenne et médiane indique une distribution quasi-symétrique, mais le **skewness positif de 0,558** signale paradoxalement davantage de journées sous la moyenne, traduisant une pression vendeuse persistante. L'**écart-type de 69 FCFA (CV=4,5%)** montre une dispersion modérée en valeur relative, mais le **kurtosis de 1,652 (leptokurtique)** avertit d'un risque de pics brutaux — queues épaisses typiques d'un titre sujet à des mouvements erratiques. La **volatilité annualisée de 47,2%** classe SEMC parmi les titres à **volatilité élevée** (&gt;30%), ce qui est cohérent avec un contexte de suspension de cote et de restructuring actionnarial.</w:t>
      </w:r>
    </w:p>
    <w:p>
      <w:pPr>
        <w:spacing w:after="120" w:line="276" w:lineRule="auto"/>
      </w:pPr>
      <w:r>
        <w:t>---</w:t>
      </w:r>
    </w:p>
    <w:p>
      <w:pPr>
        <w:spacing w:after="120" w:line="276" w:lineRule="auto"/>
      </w:pPr>
      <w:r>
        <w:t>## PARTIE 2 : ANALYSE TECHNIQUE DÉTAILLÉE</w:t>
      </w:r>
    </w:p>
    <w:p>
      <w:pPr>
        <w:spacing w:after="120" w:line="276" w:lineRule="auto"/>
      </w:pPr>
      <w:r>
        <w:t>**Moyennes Mobiles** : La MM20 (1 540,75 FCFA) est supérieure à la MM50 (1 499,20 FCFA), et le cours actuel (1 495 FCFA) évolue **sous les deux moyennes**, ce qui traduit une pression baissière de court terme malgré la décision algorithmique "Achat" générée par le croisement MM20&gt;MM50. Cette configuration est ambiguë : le signal haussier des MM est contredit par la position du cours sous les deux lignes.</w:t>
      </w:r>
    </w:p>
    <w:p>
      <w:pPr>
        <w:spacing w:after="120" w:line="276" w:lineRule="auto"/>
      </w:pPr>
      <w:r>
        <w:t>**Bandes de Bollinger** : Le cours (1 495 FCFA) se situe **au-dessus de la borne inférieure (1 459,69 FCFA)** mais **nettement sous la borne supérieure (1 621,81 FCFA)**, dans la moitié basse du canal. La largeur des bandes (162 FCFA) reflète une volatilité encore présente, et la décision "Neutre" traduit l'absence de signal directionnel fort — le titre n'est ni en survente extrême ni en surachat.</w:t>
      </w:r>
    </w:p>
    <w:p>
      <w:pPr>
        <w:spacing w:after="120" w:line="276" w:lineRule="auto"/>
      </w:pPr>
      <w:r>
        <w:t>**MACD** : La valeur du MACD (8,254) est **inférieure à son signal (13,045)**, générant une **divergence baissière** et une décision "Vente". Le momentum s'affaiblit clairement, et le croisement MACD sous sa ligne de signal confirme la perte de dynamique haussière observée depuis plusieurs semaines.</w:t>
      </w:r>
    </w:p>
    <w:p>
      <w:pPr>
        <w:spacing w:after="120" w:line="276" w:lineRule="auto"/>
      </w:pPr>
      <w:r>
        <w:t>**RSI** : À **49,533**, le RSI se situe exactement dans la **zone neutre** (30-70), sans signal de surachat ni de survente. La décision "Neutre" est cohérente : le titre n'offre ni opportunité de rebond technique immédiat, ni signal de correction imminente.</w:t>
      </w:r>
    </w:p>
    <w:p>
      <w:pPr>
        <w:spacing w:after="120" w:line="276" w:lineRule="auto"/>
      </w:pPr>
      <w:r>
        <w:t>**Stochastique** : Le %K (34,615) est **inférieur au %D (57,692)**, avec un croisement baissier en cours. Cette configuration suggère que la pression vendeuse pourrait se poursuivre à court terme, bien que le %K commence à approcher la zone de survente (&lt;20), ce qui pourrait préparer un rebond technique.</w:t>
      </w:r>
    </w:p>
    <w:p>
      <w:pPr>
        <w:spacing w:after="120" w:line="276" w:lineRule="auto"/>
      </w:pPr>
      <w:r>
        <w:t>**Conclusion technique** : Les indicateurs sont **majoritairement baissiers à neutres** — MACD en divergence négative, Stochastique en croisement baissier, cours sous les MM — tandis que le RSI neutre et les Bollinger sans signal fort n'apportent pas de support. Seul le croisement MM20&gt;MM50 maintient un espoir haussier, mais il est contredit par la position du cours. **La configuration technique penche vers la prudence, avec un risque de poursuite de la baisse vers 1 459 FCFA (borne inférieure de Bollinger).**</w:t>
      </w:r>
    </w:p>
    <w:p>
      <w:pPr>
        <w:spacing w:after="120" w:line="276" w:lineRule="auto"/>
      </w:pPr>
      <w:r>
        <w:t>---</w:t>
      </w:r>
    </w:p>
    <w:p>
      <w:pPr>
        <w:spacing w:after="120" w:line="276" w:lineRule="auto"/>
      </w:pPr>
      <w:r>
        <w:t>## PARTIE 3 : ANALYSE FONDAMENTALE</w:t>
      </w:r>
    </w:p>
    <w:p>
      <w:pPr>
        <w:spacing w:after="120" w:line="276" w:lineRule="auto"/>
      </w:pPr>
      <w:r>
        <w:t>Les données financières structurées les plus récentes disponibles proviennent des **états financiers certifiés au 31/12/2023** (rapports analysés en mars 2026, donc antérieurs à 2025 — à considérer avec prudence). **En 2023**, SEMC a enregistré un **chiffre d'affaires de 27,88 milliards FCFA**, en **baisse de 6%** par rapport aux 29,60 milliards FCFA de 2022, et un **résultat net de 1,01 milliard FCFA**, en **chute de 74%** versus 3,86 milliards FCFA en 2022. La **marge nette s'est effondrée à 3,6%** (contre 13,0% en 2022), et le **ROE** a chuté à environ **5,8%** (1,01 Md / ~17,5 Mds de capitaux propres estimés), contre ~22% en 2022. Cette dégradation s'explique par la perte de clients majeurs (AIRONE : -81% de CA), l'effondrement du segment Tomate, et des charges fixes élevées. À titre de comparaison, **en 2022**, le CA atteignait 125,4 milliards FCFA selon un autre rapport (chiffre consolidé incluant les filiales régionales), avec un résultat net de 12,8 milliards FCFA et une marge nette de 10,2% — mais ces données semblent concerner le périmètre consolidé du groupe Eviosys, non la seule entité SEMC cotée. **Le rapport T1 2023** (publié en 2023) faisait état d'un CA de 7,65 milliards FCFA (+16,5%) et d'un résultat net de 855,65 millions FCFA (+37,9%), avec une marge nette de 11,2% — mais cette dynamique ne s'est pas confirmée sur l'année complète. **On estime** que l'exercice 2024 (non couvert par les rapports fournis) devrait rester sous pression, avec un objectif de CA de 32 milliards FCFA (+18%) affiché par la direction, mais un risque de déception au vu de la suspension de cote BRVM depuis janvier 2024 (flottant insuffisant : 10,42% vs 15% requis) et du rachat par Sonoco Products Company (finalisé en décembre 2024), qui pourrait entraîner une réorganisation stratégique. **La solidité financière est compromise** : trésorerie de 3,35 milliards FCFA, endettement fournisseurs de 16,7 milliards FCFA, et absence de dividende depuis 2022. **Recommandation fondamentale : prudence extrême** — les fondamentaux se sont dégradés, la visibilité est faible, et les risques opérationnels (dépendance clients, concurrence PET, suspension de cote) sont élevés.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baissière préoccupante**. La **valorisation (Partie 0)** est impossible à établir faute de ratios fiables, mais le PER implicite sur la base des bénéfices 2023 (~37x) suggère une **surévaluation manifeste** au cours actuel de 1 495 FCFA. Le **comportement du cours (Partie 1)** est clairement baissier (-16,94% sur 100 jours), avec une volatilité élevée (47,2%) et un kurtosis leptokurtique (1,652) qui avertit de pics brutaux — un profil risqué pour l'investisseur. Les **signaux techniques (Partie 2)** sont majoritairement négatifs : MACD en divergence baissière, Stochastique en croisement baissier, cours sous les MM20 et MM50, malgré un RSI neutre et un croisement MM20&gt;MM50 qui n'est pas confirmé par le cours. Les **fondamentaux (Partie 3)** se sont **sévèrement dégradés en 2023** (CA -6%, résultat net -74%, marge nette à 3,6%, ROE ~5,8%), et les perspectives 2024-2025 restent incertaines malgré l'objectif affiché de 32 milliards FCFA de CA et le rachat par Sonoco. **Aucune prédiction IA n'est disponible** pour les 10 prochains jours, ce qui ne permet pas de confirmer ou d'infirmer la trajectoire baissière par ce canal. **En conséquence, la recommandation finale est VENTE**, avec un **niveau de confiance Moyen** (en raison de l'absence de données récentes et de prédictions IA) et un **niveau de risque Élevé** (volatilité, suspension de cote, dégradation des marges, dépendance clients). L'**horizon d'investissement optimal est court terme (&lt;3 mois)** pour les investisseurs déjà positionnés souhaitant limiter les pertes, ou **abstention** pour les nouveaux entrants en attendant une clarification sur la levée de la suspension BRVM, l'impact du rachat par Sonoco, et la publication d'états financiers 2024-2025 confirmant un retour à la rentabilité. Un rebond technique vers 1 540 FCFA (MM20) ne serait pas suffisant pour inverser la tendance fondamentale.</w:t>
      </w:r>
    </w:p>
    <w:p>
      <w:pPr>
        <w:spacing w:after="120" w:line="276" w:lineRule="auto"/>
      </w:pPr>
      <w:r>
        <w:t>---</w:t>
      </w:r>
    </w:p>
    <w:p>
      <w:pPr>
        <w:spacing w:after="120" w:line="276" w:lineRule="auto"/>
      </w:pPr>
      <w:r>
        <w:t>*Sources : États financiers SEMC 2022-2023, rapports trimestriels T1 2023, BRVM, BCEAO. Rapports antérieurs à 2025 — à interpréter avec prudence.*</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5,163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+8.33%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35,995 FCFA</w:t>
            </w:r>
          </w:p>
          <w:p>
            <w:r>
              <w:rPr>
                <w:b/>
                <w:color w:val="503200"/>
                <w:sz w:val="16"/>
              </w:rPr>
              <w:t xml:space="preserve">Volatilité ann. : </w:t>
            </w:r>
            <w:r>
              <w:rPr>
                <w:color w:val="000000"/>
                <w:sz w:val="17"/>
              </w:rPr>
              <w:t>21.1%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2.12% (Faible) — μ=38,349 FCFA, σ=815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β=0.4609 (Défensif) — Cov=0.000034, Var(idx)=0.000073, ρ=0.296,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σ_j=1.33%/j (Stable) — Vol. annualisée≈21.1%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37,916</w:t>
            </w:r>
          </w:p>
        </w:tc>
        <w:tc>
          <w:tcPr>
            <w:tcW w:type="dxa" w:w="1440"/>
            <w:shd w:fill="FAFAFA" w:val="clear"/>
          </w:tcPr>
          <w:p>
            <w:r>
              <w:rPr>
                <w:b/>
                <w:sz w:val="17"/>
              </w:rPr>
              <w:t>38,761</w:t>
            </w:r>
          </w:p>
        </w:tc>
        <w:tc>
          <w:tcPr>
            <w:tcW w:type="dxa" w:w="1440"/>
            <w:shd w:fill="FAFAFA" w:val="clear"/>
          </w:tcPr>
          <w:p>
            <w:r>
              <w:rPr>
                <w:sz w:val="17"/>
              </w:rPr>
              <w:t>39,605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37,495</w:t>
            </w:r>
          </w:p>
        </w:tc>
        <w:tc>
          <w:tcPr>
            <w:tcW w:type="dxa" w:w="1440"/>
            <w:shd w:fill="FAFAFA" w:val="clear"/>
          </w:tcPr>
          <w:p>
            <w:r>
              <w:rPr>
                <w:b/>
                <w:sz w:val="17"/>
              </w:rPr>
              <w:t>38,687</w:t>
            </w:r>
          </w:p>
        </w:tc>
        <w:tc>
          <w:tcPr>
            <w:tcW w:type="dxa" w:w="1440"/>
            <w:shd w:fill="FAFAFA" w:val="clear"/>
          </w:tcPr>
          <w:p>
            <w:r>
              <w:rPr>
                <w:sz w:val="17"/>
              </w:rPr>
              <w:t>39,880</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37,155</w:t>
            </w:r>
          </w:p>
        </w:tc>
        <w:tc>
          <w:tcPr>
            <w:tcW w:type="dxa" w:w="1440"/>
            <w:shd w:fill="FAFAFA" w:val="clear"/>
          </w:tcPr>
          <w:p>
            <w:r>
              <w:rPr>
                <w:b/>
                <w:sz w:val="17"/>
              </w:rPr>
              <w:t>38,613</w:t>
            </w:r>
          </w:p>
        </w:tc>
        <w:tc>
          <w:tcPr>
            <w:tcW w:type="dxa" w:w="1440"/>
            <w:shd w:fill="FAFAFA" w:val="clear"/>
          </w:tcPr>
          <w:p>
            <w:r>
              <w:rPr>
                <w:sz w:val="17"/>
              </w:rPr>
              <w:t>40,071</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36,863</w:t>
            </w:r>
          </w:p>
        </w:tc>
        <w:tc>
          <w:tcPr>
            <w:tcW w:type="dxa" w:w="1440"/>
            <w:shd w:fill="FAFAFA" w:val="clear"/>
          </w:tcPr>
          <w:p>
            <w:r>
              <w:rPr>
                <w:b/>
                <w:sz w:val="17"/>
              </w:rPr>
              <w:t>38,543</w:t>
            </w:r>
          </w:p>
        </w:tc>
        <w:tc>
          <w:tcPr>
            <w:tcW w:type="dxa" w:w="1440"/>
            <w:shd w:fill="FAFAFA" w:val="clear"/>
          </w:tcPr>
          <w:p>
            <w:r>
              <w:rPr>
                <w:sz w:val="17"/>
              </w:rPr>
              <w:t>40,223</w:t>
            </w:r>
          </w:p>
        </w:tc>
        <w:tc>
          <w:tcPr>
            <w:tcW w:type="dxa" w:w="1440"/>
            <w:shd w:fill="FAFAFA" w:val="clear"/>
          </w:tcPr>
          <w:p>
            <w:r>
              <w:rPr>
                <w:b/>
                <w:color w:val="C00000"/>
                <w:sz w:val="17"/>
              </w:rPr>
              <w:t>-1.2%</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36,601</w:t>
            </w:r>
          </w:p>
        </w:tc>
        <w:tc>
          <w:tcPr>
            <w:tcW w:type="dxa" w:w="1440"/>
            <w:shd w:fill="FAFAFA" w:val="clear"/>
          </w:tcPr>
          <w:p>
            <w:r>
              <w:rPr>
                <w:b/>
                <w:sz w:val="17"/>
              </w:rPr>
              <w:t>38,477</w:t>
            </w:r>
          </w:p>
        </w:tc>
        <w:tc>
          <w:tcPr>
            <w:tcW w:type="dxa" w:w="1440"/>
            <w:shd w:fill="FAFAFA" w:val="clear"/>
          </w:tcPr>
          <w:p>
            <w:r>
              <w:rPr>
                <w:sz w:val="17"/>
              </w:rPr>
              <w:t>40,352</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36,362</w:t>
            </w:r>
          </w:p>
        </w:tc>
        <w:tc>
          <w:tcPr>
            <w:tcW w:type="dxa" w:w="1440"/>
            <w:shd w:fill="FAFAFA" w:val="clear"/>
          </w:tcPr>
          <w:p>
            <w:r>
              <w:rPr>
                <w:b/>
                <w:sz w:val="17"/>
              </w:rPr>
              <w:t>38,413</w:t>
            </w:r>
          </w:p>
        </w:tc>
        <w:tc>
          <w:tcPr>
            <w:tcW w:type="dxa" w:w="1440"/>
            <w:shd w:fill="FAFAFA" w:val="clear"/>
          </w:tcPr>
          <w:p>
            <w:r>
              <w:rPr>
                <w:sz w:val="17"/>
              </w:rPr>
              <w:t>40,464</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36,140</w:t>
            </w:r>
          </w:p>
        </w:tc>
        <w:tc>
          <w:tcPr>
            <w:tcW w:type="dxa" w:w="1440"/>
            <w:shd w:fill="FAFAFA" w:val="clear"/>
          </w:tcPr>
          <w:p>
            <w:r>
              <w:rPr>
                <w:b/>
                <w:sz w:val="17"/>
              </w:rPr>
              <w:t>38,352</w:t>
            </w:r>
          </w:p>
        </w:tc>
        <w:tc>
          <w:tcPr>
            <w:tcW w:type="dxa" w:w="1440"/>
            <w:shd w:fill="FAFAFA" w:val="clear"/>
          </w:tcPr>
          <w:p>
            <w:r>
              <w:rPr>
                <w:sz w:val="17"/>
              </w:rPr>
              <w:t>40,563</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35,931</w:t>
            </w:r>
          </w:p>
        </w:tc>
        <w:tc>
          <w:tcPr>
            <w:tcW w:type="dxa" w:w="1440"/>
            <w:shd w:fill="FAFAFA" w:val="clear"/>
          </w:tcPr>
          <w:p>
            <w:r>
              <w:rPr>
                <w:b/>
                <w:sz w:val="17"/>
              </w:rPr>
              <w:t>38,292</w:t>
            </w:r>
          </w:p>
        </w:tc>
        <w:tc>
          <w:tcPr>
            <w:tcW w:type="dxa" w:w="1440"/>
            <w:shd w:fill="FAFAFA" w:val="clear"/>
          </w:tcPr>
          <w:p>
            <w:r>
              <w:rPr>
                <w:sz w:val="17"/>
              </w:rPr>
              <w:t>40,652</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35,733</w:t>
            </w:r>
          </w:p>
        </w:tc>
        <w:tc>
          <w:tcPr>
            <w:tcW w:type="dxa" w:w="1440"/>
            <w:shd w:fill="FAFAFA" w:val="clear"/>
          </w:tcPr>
          <w:p>
            <w:r>
              <w:rPr>
                <w:b/>
                <w:sz w:val="17"/>
              </w:rPr>
              <w:t>38,233</w:t>
            </w:r>
          </w:p>
        </w:tc>
        <w:tc>
          <w:tcPr>
            <w:tcW w:type="dxa" w:w="1440"/>
            <w:shd w:fill="FAFAFA" w:val="clear"/>
          </w:tcPr>
          <w:p>
            <w:r>
              <w:rPr>
                <w:sz w:val="17"/>
              </w:rPr>
              <w:t>40,733</w:t>
            </w:r>
          </w:p>
        </w:tc>
        <w:tc>
          <w:tcPr>
            <w:tcW w:type="dxa" w:w="1440"/>
            <w:shd w:fill="FAFAFA"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35,544</w:t>
            </w:r>
          </w:p>
        </w:tc>
        <w:tc>
          <w:tcPr>
            <w:tcW w:type="dxa" w:w="1440"/>
            <w:shd w:fill="FFDCE0" w:val="clear"/>
          </w:tcPr>
          <w:p>
            <w:r>
              <w:rPr>
                <w:b/>
                <w:sz w:val="17"/>
              </w:rPr>
              <w:t>38,175</w:t>
            </w:r>
          </w:p>
        </w:tc>
        <w:tc>
          <w:tcPr>
            <w:tcW w:type="dxa" w:w="1440"/>
            <w:shd w:fill="FFDCE0" w:val="clear"/>
          </w:tcPr>
          <w:p>
            <w:r>
              <w:rPr>
                <w:sz w:val="17"/>
              </w:rPr>
              <w:t>40,806</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**1 213,33 milliards FCFA**, SGBC figure parmi les poids lourds de la BRVM, ce qui en fait un pilier de l'indice composite et un titre de référence pour les investisseurs institutionnels de la zone UEMOA. Le **BPA de 3 258 FCFA** traduit une rentabilité par action très élevée, chaque titre générant plus de 3 000 FCFA de bénéfice net. Le **PER de 12,0x** se situe dans la fourchette haute de la moyenne BRVM (8-12x), signalant une valorisation modérée mais sans décote flagrante : le marché paie le prix de la qualité et de la régularité des résultats. Le **P/B de 2,45x** confirme cette prime de croissance, le marché valorisant l'action à près de 2,5 fois ses fonds propres comptables, ce qui est cohérent avec un ROE supérieur à 20 %. En revanche, l'**EV/EBITDA de 24,7x** apparaît très exigeant (&gt;15x), reflétant la structure bilancielle spécifique des banques où la valeur d'entreprise intègre l'ensemble des dépôts clientèle ; cet indicateur est toutefois peu pertinent pour le secteur bancaire et doit être interprété avec prudence.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+8,33%**, clôturant à **39 000 FCFA** après un repli marginal de **-0,51%** lors de la dernière séance. Le range de trading s'établit entre un plus bas de **35 995 FCFA** et un plus haut de **39 300 FCFA**, soit une amplitude de seulement 9,2 %, ce qui témoigne d'une tendance haussière régulière et maîtrisée, sans excès spéculatif. La moyenne du cours sur la période (**38 349 FCFA**) est légèrement inférieure à la médiane (**38 650 FCFA**), signe d'une asymétrie négative confirmée par le **skewness de -1,231** : le cours a passé davantage de séances au-dessus de sa moyenne, avec quelques journées de correction marquée qui tirent la moyenne vers le bas. L'**écart-type de 819 FCFA** et le **coefficient de variation de 2,1%** indiquent une dispersion très faible, caractéristique d'un titre défensif à faible volatilité. Le **kurtosis de 0,971** (mésokurtique) suggère une distribution proche de la normale, sans risque de pics extrêmes prononcés. Enfin, la **volatilité annualisée de 21,1%** positionne SGBC dans la catégorie des titres à volatilité modérée (15-30%), ce qui est rassurant pour un investisseur recherchant stabilité et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(38 687,75 FCFA) et la MM50 (38 580,0 FCFA) se situent toutes deux en dessous du cours actuel (39 000 FCFA), avec la MM20 légèrement au-dessus de la MM50, configurant un croisement haussier classique. Cette configuration en « golden cross » implicite confirme la dynamique positive et justifie la décision d'**Achat**.</w:t>
      </w:r>
    </w:p>
    <w:p>
      <w:pPr>
        <w:spacing w:after="120" w:line="276" w:lineRule="auto"/>
      </w:pPr>
      <w:r>
        <w:t>**Bandes de Bollinger** : Le cours (39 000 FCFA) évolue dans la partie supérieure de la bande, entre la borne inférieure (37 828,67 FCFA) et la borne supérieure (39 546,83 FCFA), sans franchir cette dernière. Cette position médiane-haute, couplée à un rétrécissement des bandes, traduit une volatilité contenue et une absence de signal directionnel fort, d'où la décision **Neutre**.</w:t>
      </w:r>
    </w:p>
    <w:p>
      <w:pPr>
        <w:spacing w:after="120" w:line="276" w:lineRule="auto"/>
      </w:pPr>
      <w:r>
        <w:t>**MACD** : La ligne MACD (153,323) surpasse nettement son signal (107,021), avec un histogramme positif de 46,3 points. Cette divergence haussière confirme un momentum positif et une accélération de la tendance, justifiant la décision d'**Achat**.</w:t>
      </w:r>
    </w:p>
    <w:p>
      <w:pPr>
        <w:spacing w:after="120" w:line="276" w:lineRule="auto"/>
      </w:pPr>
      <w:r>
        <w:t>**RSI** : À 51,149, le RSI se situe parfaitement dans la zone neutre (30-70), sans signal de surachat (&gt;70) ni de survente (&lt;30). Cette position médiane indique un équilibre entre acheteurs et vendeurs, justifiant la décision **Neutre**.</w:t>
      </w:r>
    </w:p>
    <w:p>
      <w:pPr>
        <w:spacing w:after="120" w:line="276" w:lineRule="auto"/>
      </w:pPr>
      <w:r>
        <w:t>**Stochastique** : Le %K (83,539) et le %D (94,513) évoluent tous deux en zone de surachat (&gt;80), avec le %K sous le %D, signalant un croisement baissier imminent. Cette configuration suggère une pression vendeuse à court terme et justifie la décision de **Vente**.</w:t>
      </w:r>
    </w:p>
    <w:p>
      <w:pPr>
        <w:spacing w:after="120" w:line="276" w:lineRule="auto"/>
      </w:pPr>
      <w:r>
        <w:t>**Conclusion technique** : Les indicateurs sont globalement partagés entre signaux haussiers (MM, MACD) et signaux de prudence (Stochastique en surachat, RSI neutre, Bollinger sans direction claire). Le titre se trouve dans une phase de consolidation haussière, avec un potentiel de correction à court terme lié au surachat stochastique, mais une tendance de fond toujours positive portée par les moyennes mobiles.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(PNB) de 276 048 millions FCFA**, en croissance de **+4,88%** sur un an, confirmant la dynamique commerciale de la banque. Le **résultat net s'établit à 101 352 millions FCFA**, franchissant pour la première fois le seuil des 100 milliards, avec une **marge nette de 36,72%** et un **ROE exceptionnel de 20,47%** (&gt;15% = excellent). Le **ROA de 2,69%** reste solide pour le secteur bancaire. Le **coefficient d'exploitation de 38,75%** place SGBC parmi les banques les plus efficaces de la zone UEMOA (&lt;60% = efficace, &lt;50% = excellente). Le **coût du risque** (provisions de 17 995 M FCFA rapportées aux charges financières de 47 775 M FCFA) ressort à **37,7%**, un niveau modéré qui traduit une politique de provisionnement stricte mais maîtrisée. La structure bilancielle est robuste : **dépôts clientèle de 2 907,68 milliards FCFA** contre **créances clientèle de 2 546,29 milliards FCFA**, soit un **ratio crédits/dépôts de 87,6%**, en amélioration de 250 points de base, témoignant d'une transformation maîtrisée. Les **capitaux propres de 495,11 milliards FCFA** (+9,6%) et le **ratio de solvabilité de 17,6%** (seuil réglementaire : 12,5%) offrent une marge de sécurité confortable.</w:t>
      </w:r>
    </w:p>
    <w:p>
      <w:pPr>
        <w:spacing w:after="120" w:line="276" w:lineRule="auto"/>
      </w:pPr>
      <w:r>
        <w:t>**Estimations basées sur les rapports trimestriels** : Le rapport **S1 2026 (publié le 27 août 2026)** indique un **PNB de 134 059 millions FCFA (+1,6%)** et un **résultat net de 53 350 millions FCFA (+0,5%)**, avec un coefficient d'exploitation en amélioration à **36,7%**. Le rapport **T1 2026 (publié le 30 avril 2026)** fait état d'un **PNB de 65 644 millions FCFA (-1%)** et d'un **résultat net de 23 976 millions FCFA (-11%)**, impacté par la migration vers une nouvelle plateforme digitale et des investissements (rénovation du siège). Sur la base de ces tendances, on estime que l'exercice 2026 devrait afficher une **croissance modérée du PNB (+2% à +3%)** et une **stabilisation du résultat net autour de 100-105 milliards FCFA**, avec une normalisation des coûts au S2 2026. La **politique de dividende** reste généreuse : le rapport annuel 2025 propose un **dividende brut de 2 606 FCFA par action**, soit un **taux de distribution de 80%** et un **rendement de 6,68%** au cours actuel de 39 000 FCFA.</w:t>
      </w:r>
    </w:p>
    <w:p>
      <w:pPr>
        <w:spacing w:after="120" w:line="276" w:lineRule="auto"/>
      </w:pPr>
      <w:r>
        <w:t>**Recommandation fondamentale** : SGBC présente des fondamentaux solides (ROE &gt;20%, coefficient d'exploitation &lt;40%, solvabilité robuste), mais la stagnation du résultat net (+0,1% en 2025, +0,5% au S1 2026) et la hausse du coût du risque (+29,2% en 2025) limitent le potentiel de revalorisation à court terme. Le titre convient aux investisseurs recherchant **rendement et stabilité**, avec une recommandation de **CONSERVER** dans l'attente d'une reprise des investissements en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mais sans catalyseur majeur à court terme. **Sur le plan de la valorisation (Partie 0)** , le PER de 12,0x et le P/B de 2,45x indiquent une valorisation modérée à légèrement élevée, sans décote significative, tandis que l'EV/EBITDA de 24,7x est peu pertinent pour une banque. **Le comportement du cours (Partie 1)** est favorable : tendance haussière régulière (+8,33%), volatilité modérée (21,1%), skewness négatif (plus de journées au-dessus de la moyenne) et kurtosis proche de la normale, ce qui témoigne d'un titre défensif et prévisible. **Les signaux techniques (Partie 2)** sont mitigés : les moyennes mobiles et le MACD sont haussiers, mais le stochastique en surachat et le RSI neutre suggèrent une consolidation imminente. **Les fondamentaux (Partie 3)** sont solides (ROE de 20,47%, coefficient d'exploitation de 38,75%, dividende de 2 606 FCFA), mais la croissance du résultat net est quasi nulle (+0,1% en 2025, +0,5% au S1 2026), pénalisée par la hausse du coût du risque et les investissements en cours. **Les prédictions IA (J+1 à J+10)** anticipent une légère correction baissière (38 761 FCFA le 12/10 à 38 477 FCFA le 16/10), confirmant la pression vendeuse à court terme identifiée par le stochastique.</w:t>
      </w:r>
    </w:p>
    <w:p>
      <w:pPr>
        <w:spacing w:after="120" w:line="276" w:lineRule="auto"/>
      </w:pPr>
      <w:r>
        <w:t>**Recommandation finale : CONSERVER**</w:t>
      </w:r>
    </w:p>
    <w:p>
      <w:pPr>
        <w:spacing w:after="120" w:line="276" w:lineRule="auto"/>
      </w:pPr>
      <w:r>
        <w:t>**Justification** : La convergence entre une valorisation modérée, des fondamentaux solides mais en stagnation, et des signaux techniques mitigés plaide pour une position d'attente. Le titre offre un rendement attractif (6,68%) et une stabilité rassurante, mais l'absence de catalyseur de croissance à court terme et la pression baissière anticipée par les prédictions IA limitent le potentiel de surperformance. Un passage à **ACHAT** serait justifié en cas de : (i) confirmation d'une reprise du PNB au S2 2026, (ii) inflexion du coût du risque, ou (iii) correction du cours vers 37 500-38 000 FCFA offrant un point d'entrée plus attractif.</w:t>
      </w:r>
    </w:p>
    <w:p>
      <w:pPr>
        <w:spacing w:after="120" w:line="276" w:lineRule="auto"/>
      </w:pPr>
      <w:r>
        <w:t>**Niveau de confiance** : Moyen — Les fondamentaux sont solides, mais l'absence de catalyseur clair et la divergence des signaux techniques incitent à la prudence.</w:t>
        <w:br/>
        <w:t>**Niveau de risque global** : Faible — Le titre est défensif, peu volatil, avec une solvabilité robuste et un dividende régulier.</w:t>
        <w:br/>
        <w:t>**Horizon d'investissement optimal** : Moyen terme (3-12 mois) — Le temps que les investissements en cours (digitalisation, rénovation du siège) portent leurs fruits et que la croissance du résultat net se matérialise.</w:t>
      </w:r>
    </w:p>
    <w:p>
      <w:pPr>
        <w:spacing w:after="120" w:line="276" w:lineRule="auto"/>
      </w:pPr>
      <w:r>
        <w:t>---</w:t>
      </w:r>
    </w:p>
    <w:p>
      <w:pPr>
        <w:spacing w:after="120" w:line="276" w:lineRule="auto"/>
      </w:pPr>
      <w:r>
        <w:t>*Rapport généré le 12 octobre 2026 — Sources : BRVM, états financiers SGBC 2025, rapports trimestriels T1 2026 et S1 2026, analyses fondamentales DeepSeek et Mistral.*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141.75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4,977 titres</w:t>
            </w:r>
          </w:p>
        </w:tc>
        <w:tc>
          <w:tcPr>
            <w:tcW w:type="dxa" w:w="2268"/>
            <w:shd w:fill="FFF2CC" w:val="clear"/>
          </w:tcPr>
          <w:p>
            <w:r>
              <w:rPr>
                <w:b/>
                <w:color w:val="503200"/>
                <w:sz w:val="16"/>
              </w:rPr>
              <w:t xml:space="preserve">Cours actuel : </w:t>
            </w:r>
            <w:r>
              <w:rPr>
                <w:color w:val="000000"/>
                <w:sz w:val="17"/>
              </w:rPr>
              <w:t>2,250 FCFA</w:t>
            </w:r>
          </w:p>
          <w:p>
            <w:r>
              <w:rPr>
                <w:b/>
                <w:color w:val="503200"/>
                <w:sz w:val="16"/>
              </w:rPr>
              <w:t xml:space="preserve">Var. 100 jours : </w:t>
            </w:r>
            <w:r>
              <w:rPr>
                <w:b/>
                <w:color w:val="007800"/>
                <w:sz w:val="17"/>
              </w:rPr>
              <w:t>+13.92%</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9.83% (Moyenne) — μ=2,267 FCFA, σ=223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β=0.9997 (Neutre (suit le marché)) — Cov=0.000073, Var(idx)=0.000073, ρ=0.321,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2,124</w:t>
            </w:r>
          </w:p>
        </w:tc>
        <w:tc>
          <w:tcPr>
            <w:tcW w:type="dxa" w:w="1440"/>
            <w:shd w:fill="FAFAFA" w:val="clear"/>
          </w:tcPr>
          <w:p>
            <w:r>
              <w:rPr>
                <w:b/>
                <w:sz w:val="17"/>
              </w:rPr>
              <w:t>2,261</w:t>
            </w:r>
          </w:p>
        </w:tc>
        <w:tc>
          <w:tcPr>
            <w:tcW w:type="dxa" w:w="1440"/>
            <w:shd w:fill="FAFAFA" w:val="clear"/>
          </w:tcPr>
          <w:p>
            <w:r>
              <w:rPr>
                <w:sz w:val="17"/>
              </w:rPr>
              <w:t>2,399</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2,069</w:t>
            </w:r>
          </w:p>
        </w:tc>
        <w:tc>
          <w:tcPr>
            <w:tcW w:type="dxa" w:w="1440"/>
            <w:shd w:fill="FAFAFA" w:val="clear"/>
          </w:tcPr>
          <w:p>
            <w:r>
              <w:rPr>
                <w:b/>
                <w:sz w:val="17"/>
              </w:rPr>
              <w:t>2,264</w:t>
            </w:r>
          </w:p>
        </w:tc>
        <w:tc>
          <w:tcPr>
            <w:tcW w:type="dxa" w:w="1440"/>
            <w:shd w:fill="FAFAFA" w:val="clear"/>
          </w:tcPr>
          <w:p>
            <w:r>
              <w:rPr>
                <w:sz w:val="17"/>
              </w:rPr>
              <w:t>2,459</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2,028</w:t>
            </w:r>
          </w:p>
        </w:tc>
        <w:tc>
          <w:tcPr>
            <w:tcW w:type="dxa" w:w="1440"/>
            <w:shd w:fill="FAFAFA" w:val="clear"/>
          </w:tcPr>
          <w:p>
            <w:r>
              <w:rPr>
                <w:b/>
                <w:sz w:val="17"/>
              </w:rPr>
              <w:t>2,267</w:t>
            </w:r>
          </w:p>
        </w:tc>
        <w:tc>
          <w:tcPr>
            <w:tcW w:type="dxa" w:w="1440"/>
            <w:shd w:fill="FAFAFA" w:val="clear"/>
          </w:tcPr>
          <w:p>
            <w:r>
              <w:rPr>
                <w:sz w:val="17"/>
              </w:rPr>
              <w:t>2,505</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1,993</w:t>
            </w:r>
          </w:p>
        </w:tc>
        <w:tc>
          <w:tcPr>
            <w:tcW w:type="dxa" w:w="1440"/>
            <w:shd w:fill="FAFAFA" w:val="clear"/>
          </w:tcPr>
          <w:p>
            <w:r>
              <w:rPr>
                <w:b/>
                <w:sz w:val="17"/>
              </w:rPr>
              <w:t>2,269</w:t>
            </w:r>
          </w:p>
        </w:tc>
        <w:tc>
          <w:tcPr>
            <w:tcW w:type="dxa" w:w="1440"/>
            <w:shd w:fill="FAFAFA" w:val="clear"/>
          </w:tcPr>
          <w:p>
            <w:r>
              <w:rPr>
                <w:sz w:val="17"/>
              </w:rPr>
              <w:t>2,544</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1,961</w:t>
            </w:r>
          </w:p>
        </w:tc>
        <w:tc>
          <w:tcPr>
            <w:tcW w:type="dxa" w:w="1440"/>
            <w:shd w:fill="FAFAFA" w:val="clear"/>
          </w:tcPr>
          <w:p>
            <w:r>
              <w:rPr>
                <w:b/>
                <w:sz w:val="17"/>
              </w:rPr>
              <w:t>2,270</w:t>
            </w:r>
          </w:p>
        </w:tc>
        <w:tc>
          <w:tcPr>
            <w:tcW w:type="dxa" w:w="1440"/>
            <w:shd w:fill="FAFAFA" w:val="clear"/>
          </w:tcPr>
          <w:p>
            <w:r>
              <w:rPr>
                <w:sz w:val="17"/>
              </w:rPr>
              <w:t>2,579</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1,933</w:t>
            </w:r>
          </w:p>
        </w:tc>
        <w:tc>
          <w:tcPr>
            <w:tcW w:type="dxa" w:w="1440"/>
            <w:shd w:fill="FAFAFA" w:val="clear"/>
          </w:tcPr>
          <w:p>
            <w:r>
              <w:rPr>
                <w:b/>
                <w:sz w:val="17"/>
              </w:rPr>
              <w:t>2,271</w:t>
            </w:r>
          </w:p>
        </w:tc>
        <w:tc>
          <w:tcPr>
            <w:tcW w:type="dxa" w:w="1440"/>
            <w:shd w:fill="FAFAFA" w:val="clear"/>
          </w:tcPr>
          <w:p>
            <w:r>
              <w:rPr>
                <w:sz w:val="17"/>
              </w:rPr>
              <w:t>2,609</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1,906</w:t>
            </w:r>
          </w:p>
        </w:tc>
        <w:tc>
          <w:tcPr>
            <w:tcW w:type="dxa" w:w="1440"/>
            <w:shd w:fill="FAFAFA" w:val="clear"/>
          </w:tcPr>
          <w:p>
            <w:r>
              <w:rPr>
                <w:b/>
                <w:sz w:val="17"/>
              </w:rPr>
              <w:t>2,271</w:t>
            </w:r>
          </w:p>
        </w:tc>
        <w:tc>
          <w:tcPr>
            <w:tcW w:type="dxa" w:w="1440"/>
            <w:shd w:fill="FAFAFA" w:val="clear"/>
          </w:tcPr>
          <w:p>
            <w:r>
              <w:rPr>
                <w:sz w:val="17"/>
              </w:rPr>
              <w:t>2,637</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1,881</w:t>
            </w:r>
          </w:p>
        </w:tc>
        <w:tc>
          <w:tcPr>
            <w:tcW w:type="dxa" w:w="1440"/>
            <w:shd w:fill="FAFAFA" w:val="clear"/>
          </w:tcPr>
          <w:p>
            <w:r>
              <w:rPr>
                <w:b/>
                <w:sz w:val="17"/>
              </w:rPr>
              <w:t>2,272</w:t>
            </w:r>
          </w:p>
        </w:tc>
        <w:tc>
          <w:tcPr>
            <w:tcW w:type="dxa" w:w="1440"/>
            <w:shd w:fill="FAFAFA" w:val="clear"/>
          </w:tcPr>
          <w:p>
            <w:r>
              <w:rPr>
                <w:sz w:val="17"/>
              </w:rPr>
              <w:t>2,663</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1,858</w:t>
            </w:r>
          </w:p>
        </w:tc>
        <w:tc>
          <w:tcPr>
            <w:tcW w:type="dxa" w:w="1440"/>
            <w:shd w:fill="FAFAFA" w:val="clear"/>
          </w:tcPr>
          <w:p>
            <w:r>
              <w:rPr>
                <w:b/>
                <w:sz w:val="17"/>
              </w:rPr>
              <w:t>2,272</w:t>
            </w:r>
          </w:p>
        </w:tc>
        <w:tc>
          <w:tcPr>
            <w:tcW w:type="dxa" w:w="1440"/>
            <w:shd w:fill="FAFAFA" w:val="clear"/>
          </w:tcPr>
          <w:p>
            <w:r>
              <w:rPr>
                <w:sz w:val="17"/>
              </w:rPr>
              <w:t>2,687</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1,836</w:t>
            </w:r>
          </w:p>
        </w:tc>
        <w:tc>
          <w:tcPr>
            <w:tcW w:type="dxa" w:w="1440"/>
            <w:shd w:fill="FAFAFA" w:val="clear"/>
          </w:tcPr>
          <w:p>
            <w:r>
              <w:rPr>
                <w:b/>
                <w:sz w:val="17"/>
              </w:rPr>
              <w:t>2,273</w:t>
            </w:r>
          </w:p>
        </w:tc>
        <w:tc>
          <w:tcPr>
            <w:tcW w:type="dxa" w:w="1440"/>
            <w:shd w:fill="FAFAFA" w:val="clear"/>
          </w:tcPr>
          <w:p>
            <w:r>
              <w:rPr>
                <w:sz w:val="17"/>
              </w:rPr>
              <w:t>2,710</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141,75 milliards FCFA, SHEC se positionne comme une valeur de taille intermédiaire sur la BRVM, représentant un poids notable dans l'indice sectoriel de la distribution pétrolière. Le BPA de 96 FCFA/action signifie que chaque titre génère près d'un centième de sa valeur en bénéfice net annuel, ce qui, rapporté au cours actuel de 2 250 FCFA, donne un PER de 23,5x — nettement supérieur à la moyenne BRVM (8-12x), traduisant soit une anticipation de croissance par le marché, soit une prime de qualité/solidité mal justifiée par les fondamentaux actuels. Le P/B de 5,22x confirme cette valorisation exigeante : le marché paie plus de cinq fois la valeur comptable des fonds propres (27,16 Mds FCFA), ce qui est très élevé pour une activité de distribution à faible marge. Enfin, l'EV/EBITDA de 12,8x, dans la fourchette haute (10-15x), suggère que la valeur d'entreprise intègre une prime opérationnelle significative, ce qui contraste avec la marge nette de seulement 1 % et invite à la prudence sur le potentiel de réévaluation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performance positive de +13,92 %, bien que la dernière séance (J-1) ait enregistré un repli de -1,10 %, signalant une légère prise de bénéfices après la progression récente. Le titre a évolué dans un range de trading large, entre un plus bas de 1 900 FCFA et un plus haut de 2 980 FCFA, soit une amplitude de 56,8 % qui témoigne d'une forte volatilité intra-période. La tendance générale reste haussière sur la période, portée par un rebond depuis les points bas, mais le cours actuel (2 250 FCFA) se situe en retrait par rapport au sommet, suggérant une consolidation en cours. Les statistiques descriptives révèlent une moyenne de 2 267 FCFA légèrement supérieure à la médiane (2 200 FCFA) et au mode (2 200 FCFA), avec un skewness positif de 1,012 indiquant davantage de journées de cotation sous la moyenne — configuration typique d'un titre ayant connu des pics haussiers suivis de replis. L'écart-type de 224 FCFA (CV = 9,9 %) traduit une dispersion modérée autour de la moyenne, tandis que le kurtosis de 1,396 (leptokurtique) signale des queues épaisses, donc un risque de mouvements brusques et de pics de volatilité. Avec une volatilité annualisée de 42,1 %, SHEC se classe parmi les titres à volatilité élevée (&gt;30 %), ce qui implique un risque de marché significatif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(2 520,5 FCFA) et la MM50 (2 427,4 FCFA) se situent toutes deux au-dessus du cours actuel (2 250 FCFA), ce qui place le titre en position baissière à court terme par rapport à ses moyennes. Cependant, la décision technique affichée est « Achat », probablement en anticipation d'un retournement ou d'un rebond depuis la zone de survente, la MM20 restant supérieure à la MM50 (configuration haussière de fond).</w:t>
      </w:r>
    </w:p>
    <w:p>
      <w:pPr>
        <w:spacing w:after="120" w:line="276" w:lineRule="auto"/>
      </w:pPr>
      <w:r>
        <w:t>**Bandes de Bollinger** : Le cours (2 250 FCFA) évolue dans la partie basse de la bande, entre la borne inférieure (1 996,79 FCFA) et la borne supérieure (3 044,21 FCFA), sans toucher les extrêmes. La décision « Neutre » reflète l'absence de signal directionnel fort, le titre se situant à mi-chemin entre survente et surachat, avec une volatilité contenue dans les bandes.</w:t>
      </w:r>
    </w:p>
    <w:p>
      <w:pPr>
        <w:spacing w:after="120" w:line="276" w:lineRule="auto"/>
      </w:pPr>
      <w:r>
        <w:t>**MACD** : La valeur du MACD (-69,066) est inférieure à son signal (-27,575), confirmant un momentum baissier à court terme et une divergence négative. La décision « Vente » indique que la dynamique actuelle reste défavorable, le MACD évoluant en territoire négatif sans signe de croisement haussier imminent.</w:t>
      </w:r>
    </w:p>
    <w:p>
      <w:pPr>
        <w:spacing w:after="120" w:line="276" w:lineRule="auto"/>
      </w:pPr>
      <w:r>
        <w:t>**RSI** : À 26,389, le RSI se situe en zone de survente (&lt;30), ce qui déclenche une décision « Achat » — le titre pourrait être survendu et présenter une opportunité de rebond technique à court terme, bien que la prudence reste de mise dans un contexte de momentum négatif.</w:t>
      </w:r>
    </w:p>
    <w:p>
      <w:pPr>
        <w:spacing w:after="120" w:line="276" w:lineRule="auto"/>
      </w:pPr>
      <w:r>
        <w:t>**Stochastique** : Le %K (5,185) et le %D (6,216) sont tous deux en zone extrême de survente, avec un %K légèrement inférieur au %D, ce qui pourrait annoncer un croisement haussier prochain. La décision « Achat » confirme cette lecture, le stochastique signalant un épuisement de la pression vendeuse.</w:t>
      </w:r>
    </w:p>
    <w:p>
      <w:pPr>
        <w:spacing w:after="120" w:line="276" w:lineRule="auto"/>
      </w:pPr>
      <w:r>
        <w:t>**Conclusion technique** : Les indicateurs présentent un tableau mitigé — le MACD reste baissier, les moyennes mobiles sont au-dessus du cours, mais le RSI et le stochastique sont en survente extrême, suggérant un potentiel rebond technique à court terme. La convergence des signaux d'achat (RSI, stochastique) contraste avec la faiblesse du MACD et la position des MM, ce qui plaide pour une stratégie d'attente ou d'achat tactique sur rebond, avec un objectif de retour vers la MM20 (2 520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SHEC a réalisé un chiffre d'affaires de 604,978 milliards FCFA, en très légère hausse de +0,71 % par rapport à 2024 (600,708 Mds FCFA), traduisant une stagnation de l'activité commerciale. Le résultat net s'établit à 6,028 milliards FCFA, en progression de +12,6 % (contre 5,354 Mds en 2024), grâce à une amélioration de la valeur ajoutée (+15 %), une baisse des charges financières (-17,7 %) et une hausse de l'EBE (+18,5 %). Le ROE atteint 22,2 % (excellent, &gt;15 %), mais le ROA n'est que de 3,11 %, reflétant la faible rotation des actifs (312,55 %) et la structure très endettée. La marge nette reste très faible à 0,996 %, caractéristique du secteur de distribution pétrolière, tandis que la marge opérationnelle est de 1,93 %. **Adaptation au secteur ENTREPRISE** : Le BFR est de 15,315 Mds FCFA (positif, donc défavorable), le fonds de roulement est négatif (-49,85 Mds FCFA) et la trésorerie nette est très négative (-65,264 Mds FCFA), signe de tensions de liquidité. Les délais clients (23,27 jours) et fournisseurs (35,47 jours) sont maîtrisés, mais la durée de stockage est très faible (7,47 jours), ce qui est favorable. L'autonomie financière est faible (14,03 %), la dépendance financière élevée (85,97 %) et le ratio d'endettement de 43,95 % (dettes totales/capitaux propres) reste préoccupant. **Estimations basées sur les rapports trimestriels** : Le rapport du 30 juin 2026 (publié en 2026) indique un CA de 305,038 Mds FCFA (-1 % sur un an) et un résultat net de 3,016 Mds FCFA, avec un résultat d'exploitation en hausse de +17 % à 6,133 Mds FCFA, soutenu par le butane. Le rapport du T1 2026 (publié le 5 mai 2026) fait état d'une baisse de -9 % du CA (141,649 Mds FCFA) et d'un résultat net quasi stable (+1 %), avec une dégradation du résultat financier (-31 %) due à l'utilisation accrue des découverts. **Évolution temporelle** : Les rapports de 2025 (T1, S1, T3) montrent une amélioration continue de la rentabilité (marge nette passant de 0,64 % à 0,91 % sur 9 mois), mais le T1 2026 marque un ralentissement. **Recommandation fondamentale** : La société reste bénéficiaire et distribue un dividende attractif (6,09 Mds FCFA proposé, soit 1 933 FCFA/action, un rendement de 85,9 % au cours actuel — anormalement élevé), mais la trésorerie nette très négative, l'endettement élevé et la faible marge nette constituent des risques majeurs. La recommandation des analystes est « CONSERVER », avec une prudence sur la soutenabilité de la distribution et la dépendance aux concours bancaires.</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exigeante — PER de 23,5x (vs 8-12x pour la BRVM), P/B de 5,22x et EV/EBITDA de 12,8x — ce qui suggère une surévaluation relative par rapport aux fondamentaux et au secteur. Le comportement du cours (Partie 1) est haussier sur 100 jours (+13,92 %), mais la volatilité élevée (42,1 %), le kurtosis leptokurtique (1,396) et le skewness positif (1,012) indiquent un risque de pics baissiers et une asymétrie défavorable. Les signaux techniques (Partie 2) sont mitigés : le RSI (26,4) et le stochastique (5,2/6,2) sont en survente extrême, plaidant pour un rebond, mais le MACD (-69,1) et les moyennes mobiles (MM20 &gt; cours) restent baissiers, créant une divergence. Les fondamentaux (Partie 3) sont fragiles : marge nette de 1 %, trésorerie nette de -65,26 Mds FCFA, endettement élevé (85,97 % de dépendance financière), malgré un ROE de 22,2 % et une progression du résultat net de +12,6 % en 2025. Les prédictions IA (J+1 à J+10) tablent sur une légère hausse vers 2 270 FCFA d'ici le 16 octobre 2026, confirmant un rebond technique modéré mais sans conviction forte. **Recommandation finale : CONSERVER** — Justification : la convergence entre la survente technique (RSI, stochastique) et la légère hausse prédite par l'IA soutient un rebond à court terme, mais la surévaluation (PER 23,5x), la faiblesse des marges et les risques de liquidité (trésorerie nette négative) limitent le potentiel de hausse durable. **Niveau de confiance : Moyen** (les signaux techniques et prédictifs sont positifs, mais les fondamentaux et la valorisation sont préoccupants). **Niveau de risque global : Élevé** (volatilité 42,1 %, endettement, dépendance aux découverts bancaires). **Horizon d'investissement optimal : Moyen terme (3-12 mois)** — pour les investisseurs de rendement, le dividende attractif (rendement &gt;80 %) justifie une conservation, mais un renforcement n'est pas recommandé sans amélioration de la structure financière et confirmation de la reprise des volumes au T2 2026.</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11,313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+17.33%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7,500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7.5/100 → Faible</w:t>
      </w:r>
    </w:p>
    <w:p>
      <w:pPr>
        <w:spacing w:before="40" w:after="80"/>
      </w:pPr>
      <w:r>
        <w:rPr>
          <w:rFonts w:ascii="Courier New" w:hAnsi="Courier New"/>
          <w:color w:val="006400"/>
          <w:sz w:val="18"/>
        </w:rPr>
        <w:t>█░░░░░░░░░░░░░░░░░░░  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4.35% (Faible) — μ=8,896 FCFA, σ=387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β=0.7548 (Défensif) — Cov=0.000055, Var(idx)=0.000073, ρ=0.330,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11,313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8,473</w:t>
            </w:r>
          </w:p>
        </w:tc>
        <w:tc>
          <w:tcPr>
            <w:tcW w:type="dxa" w:w="1440"/>
            <w:shd w:fill="FAFAFA" w:val="clear"/>
          </w:tcPr>
          <w:p>
            <w:r>
              <w:rPr>
                <w:b/>
                <w:sz w:val="17"/>
              </w:rPr>
              <w:t>8,744</w:t>
            </w:r>
          </w:p>
        </w:tc>
        <w:tc>
          <w:tcPr>
            <w:tcW w:type="dxa" w:w="1440"/>
            <w:shd w:fill="FAFAFA" w:val="clear"/>
          </w:tcPr>
          <w:p>
            <w:r>
              <w:rPr>
                <w:sz w:val="17"/>
              </w:rPr>
              <w:t>9,015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8,314</w:t>
            </w:r>
          </w:p>
        </w:tc>
        <w:tc>
          <w:tcPr>
            <w:tcW w:type="dxa" w:w="1440"/>
            <w:shd w:fill="FAFAFA" w:val="clear"/>
          </w:tcPr>
          <w:p>
            <w:r>
              <w:rPr>
                <w:b/>
                <w:sz w:val="17"/>
              </w:rPr>
              <w:t>8,696</w:t>
            </w:r>
          </w:p>
        </w:tc>
        <w:tc>
          <w:tcPr>
            <w:tcW w:type="dxa" w:w="1440"/>
            <w:shd w:fill="FAFAFA" w:val="clear"/>
          </w:tcPr>
          <w:p>
            <w:r>
              <w:rPr>
                <w:sz w:val="17"/>
              </w:rPr>
              <w:t>9,078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8,182</w:t>
            </w:r>
          </w:p>
        </w:tc>
        <w:tc>
          <w:tcPr>
            <w:tcW w:type="dxa" w:w="1440"/>
            <w:shd w:fill="FAFAFA" w:val="clear"/>
          </w:tcPr>
          <w:p>
            <w:r>
              <w:rPr>
                <w:b/>
                <w:sz w:val="17"/>
              </w:rPr>
              <w:t>8,647</w:t>
            </w:r>
          </w:p>
        </w:tc>
        <w:tc>
          <w:tcPr>
            <w:tcW w:type="dxa" w:w="1440"/>
            <w:shd w:fill="FAFAFA" w:val="clear"/>
          </w:tcPr>
          <w:p>
            <w:r>
              <w:rPr>
                <w:sz w:val="17"/>
              </w:rPr>
              <w:t>9,112</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2026-10-15</w:t>
            </w:r>
          </w:p>
        </w:tc>
        <w:tc>
          <w:tcPr>
            <w:tcW w:type="dxa" w:w="1440"/>
            <w:shd w:fill="FFDCE0" w:val="clear"/>
          </w:tcPr>
          <w:p>
            <w:r>
              <w:rPr>
                <w:sz w:val="17"/>
              </w:rPr>
              <w:t>8,067</w:t>
            </w:r>
          </w:p>
        </w:tc>
        <w:tc>
          <w:tcPr>
            <w:tcW w:type="dxa" w:w="1440"/>
            <w:shd w:fill="FFDCE0" w:val="clear"/>
          </w:tcPr>
          <w:p>
            <w:r>
              <w:rPr>
                <w:b/>
                <w:sz w:val="17"/>
              </w:rPr>
              <w:t>8,601</w:t>
            </w:r>
          </w:p>
        </w:tc>
        <w:tc>
          <w:tcPr>
            <w:tcW w:type="dxa" w:w="1440"/>
            <w:shd w:fill="FFDCE0" w:val="clear"/>
          </w:tcPr>
          <w:p>
            <w:r>
              <w:rPr>
                <w:sz w:val="17"/>
              </w:rPr>
              <w:t>9,135</w:t>
            </w:r>
          </w:p>
        </w:tc>
        <w:tc>
          <w:tcPr>
            <w:tcW w:type="dxa" w:w="1440"/>
            <w:shd w:fill="FFDCE0" w:val="clear"/>
          </w:tcPr>
          <w:p>
            <w:r>
              <w:rPr>
                <w:b/>
                <w:color w:val="C00000"/>
                <w:sz w:val="17"/>
              </w:rPr>
              <w:t>-2.3%</w:t>
            </w:r>
          </w:p>
        </w:tc>
      </w:tr>
      <w:tr>
        <w:tc>
          <w:tcPr>
            <w:tcW w:type="dxa" w:w="1440"/>
            <w:shd w:fill="FFDCE0" w:val="clear"/>
          </w:tcPr>
          <w:p>
            <w:r>
              <w:rPr>
                <w:sz w:val="17"/>
              </w:rPr>
              <w:t>J+5  Moyenne</w:t>
            </w:r>
          </w:p>
        </w:tc>
        <w:tc>
          <w:tcPr>
            <w:tcW w:type="dxa" w:w="1440"/>
            <w:shd w:fill="FFDCE0" w:val="clear"/>
          </w:tcPr>
          <w:p>
            <w:r>
              <w:rPr>
                <w:sz w:val="17"/>
              </w:rPr>
              <w:t>2026-10-16</w:t>
            </w:r>
          </w:p>
        </w:tc>
        <w:tc>
          <w:tcPr>
            <w:tcW w:type="dxa" w:w="1440"/>
            <w:shd w:fill="FFDCE0" w:val="clear"/>
          </w:tcPr>
          <w:p>
            <w:r>
              <w:rPr>
                <w:sz w:val="17"/>
              </w:rPr>
              <w:t>7,964</w:t>
            </w:r>
          </w:p>
        </w:tc>
        <w:tc>
          <w:tcPr>
            <w:tcW w:type="dxa" w:w="1440"/>
            <w:shd w:fill="FFDCE0" w:val="clear"/>
          </w:tcPr>
          <w:p>
            <w:r>
              <w:rPr>
                <w:b/>
                <w:sz w:val="17"/>
              </w:rPr>
              <w:t>8,558</w:t>
            </w:r>
          </w:p>
        </w:tc>
        <w:tc>
          <w:tcPr>
            <w:tcW w:type="dxa" w:w="1440"/>
            <w:shd w:fill="FFDCE0" w:val="clear"/>
          </w:tcPr>
          <w:p>
            <w:r>
              <w:rPr>
                <w:sz w:val="17"/>
              </w:rPr>
              <w:t>9,152</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2026-10-19</w:t>
            </w:r>
          </w:p>
        </w:tc>
        <w:tc>
          <w:tcPr>
            <w:tcW w:type="dxa" w:w="1440"/>
            <w:shd w:fill="FFDCE0" w:val="clear"/>
          </w:tcPr>
          <w:p>
            <w:r>
              <w:rPr>
                <w:sz w:val="17"/>
              </w:rPr>
              <w:t>7,871</w:t>
            </w:r>
          </w:p>
        </w:tc>
        <w:tc>
          <w:tcPr>
            <w:tcW w:type="dxa" w:w="1440"/>
            <w:shd w:fill="FFDCE0" w:val="clear"/>
          </w:tcPr>
          <w:p>
            <w:r>
              <w:rPr>
                <w:b/>
                <w:sz w:val="17"/>
              </w:rPr>
              <w:t>8,518</w:t>
            </w:r>
          </w:p>
        </w:tc>
        <w:tc>
          <w:tcPr>
            <w:tcW w:type="dxa" w:w="1440"/>
            <w:shd w:fill="FFDCE0" w:val="clear"/>
          </w:tcPr>
          <w:p>
            <w:r>
              <w:rPr>
                <w:sz w:val="17"/>
              </w:rPr>
              <w:t>9,166</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2026-10-20</w:t>
            </w:r>
          </w:p>
        </w:tc>
        <w:tc>
          <w:tcPr>
            <w:tcW w:type="dxa" w:w="1440"/>
            <w:shd w:fill="FFDCE0" w:val="clear"/>
          </w:tcPr>
          <w:p>
            <w:r>
              <w:rPr>
                <w:sz w:val="17"/>
              </w:rPr>
              <w:t>7,785</w:t>
            </w:r>
          </w:p>
        </w:tc>
        <w:tc>
          <w:tcPr>
            <w:tcW w:type="dxa" w:w="1440"/>
            <w:shd w:fill="FFDCE0" w:val="clear"/>
          </w:tcPr>
          <w:p>
            <w:r>
              <w:rPr>
                <w:b/>
                <w:sz w:val="17"/>
              </w:rPr>
              <w:t>8,481</w:t>
            </w:r>
          </w:p>
        </w:tc>
        <w:tc>
          <w:tcPr>
            <w:tcW w:type="dxa" w:w="1440"/>
            <w:shd w:fill="FFDCE0" w:val="clear"/>
          </w:tcPr>
          <w:p>
            <w:r>
              <w:rPr>
                <w:sz w:val="17"/>
              </w:rPr>
              <w:t>9,178</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2026-10-21</w:t>
            </w:r>
          </w:p>
        </w:tc>
        <w:tc>
          <w:tcPr>
            <w:tcW w:type="dxa" w:w="1440"/>
            <w:shd w:fill="FFDCE0" w:val="clear"/>
          </w:tcPr>
          <w:p>
            <w:r>
              <w:rPr>
                <w:sz w:val="17"/>
              </w:rPr>
              <w:t>7,705</w:t>
            </w:r>
          </w:p>
        </w:tc>
        <w:tc>
          <w:tcPr>
            <w:tcW w:type="dxa" w:w="1440"/>
            <w:shd w:fill="FFDCE0" w:val="clear"/>
          </w:tcPr>
          <w:p>
            <w:r>
              <w:rPr>
                <w:b/>
                <w:sz w:val="17"/>
              </w:rPr>
              <w:t>8,446</w:t>
            </w:r>
          </w:p>
        </w:tc>
        <w:tc>
          <w:tcPr>
            <w:tcW w:type="dxa" w:w="1440"/>
            <w:shd w:fill="FFDCE0" w:val="clear"/>
          </w:tcPr>
          <w:p>
            <w:r>
              <w:rPr>
                <w:sz w:val="17"/>
              </w:rPr>
              <w:t>9,188</w:t>
            </w:r>
          </w:p>
        </w:tc>
        <w:tc>
          <w:tcPr>
            <w:tcW w:type="dxa" w:w="1440"/>
            <w:shd w:fill="FFDCE0" w:val="clear"/>
          </w:tcPr>
          <w:p>
            <w:r>
              <w:rPr>
                <w:b/>
                <w:color w:val="C00000"/>
                <w:sz w:val="17"/>
              </w:rPr>
              <w:t>-4.0%</w:t>
            </w:r>
          </w:p>
        </w:tc>
      </w:tr>
      <w:tr>
        <w:tc>
          <w:tcPr>
            <w:tcW w:type="dxa" w:w="1440"/>
            <w:shd w:fill="FFDCE0" w:val="clear"/>
          </w:tcPr>
          <w:p>
            <w:r>
              <w:rPr>
                <w:sz w:val="17"/>
              </w:rPr>
              <w:t>J+9  Moyenne</w:t>
            </w:r>
          </w:p>
        </w:tc>
        <w:tc>
          <w:tcPr>
            <w:tcW w:type="dxa" w:w="1440"/>
            <w:shd w:fill="FFDCE0" w:val="clear"/>
          </w:tcPr>
          <w:p>
            <w:r>
              <w:rPr>
                <w:sz w:val="17"/>
              </w:rPr>
              <w:t>2026-10-22</w:t>
            </w:r>
          </w:p>
        </w:tc>
        <w:tc>
          <w:tcPr>
            <w:tcW w:type="dxa" w:w="1440"/>
            <w:shd w:fill="FFDCE0" w:val="clear"/>
          </w:tcPr>
          <w:p>
            <w:r>
              <w:rPr>
                <w:sz w:val="17"/>
              </w:rPr>
              <w:t>7,630</w:t>
            </w:r>
          </w:p>
        </w:tc>
        <w:tc>
          <w:tcPr>
            <w:tcW w:type="dxa" w:w="1440"/>
            <w:shd w:fill="FFDCE0" w:val="clear"/>
          </w:tcPr>
          <w:p>
            <w:r>
              <w:rPr>
                <w:b/>
                <w:sz w:val="17"/>
              </w:rPr>
              <w:t>8,413</w:t>
            </w:r>
          </w:p>
        </w:tc>
        <w:tc>
          <w:tcPr>
            <w:tcW w:type="dxa" w:w="1440"/>
            <w:shd w:fill="FFDCE0" w:val="clear"/>
          </w:tcPr>
          <w:p>
            <w:r>
              <w:rPr>
                <w:sz w:val="17"/>
              </w:rPr>
              <w:t>9,196</w:t>
            </w:r>
          </w:p>
        </w:tc>
        <w:tc>
          <w:tcPr>
            <w:tcW w:type="dxa" w:w="1440"/>
            <w:shd w:fill="FFDCE0" w:val="clear"/>
          </w:tcPr>
          <w:p>
            <w:r>
              <w:rPr>
                <w:b/>
                <w:color w:val="C00000"/>
                <w:sz w:val="17"/>
              </w:rPr>
              <w:t>-4.4%</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7,559</w:t>
            </w:r>
          </w:p>
        </w:tc>
        <w:tc>
          <w:tcPr>
            <w:tcW w:type="dxa" w:w="1440"/>
            <w:shd w:fill="FFDCE0" w:val="clear"/>
          </w:tcPr>
          <w:p>
            <w:r>
              <w:rPr>
                <w:b/>
                <w:sz w:val="17"/>
              </w:rPr>
              <w:t>8,382</w:t>
            </w:r>
          </w:p>
        </w:tc>
        <w:tc>
          <w:tcPr>
            <w:tcW w:type="dxa" w:w="1440"/>
            <w:shd w:fill="FFDCE0" w:val="clear"/>
          </w:tcPr>
          <w:p>
            <w:r>
              <w:rPr>
                <w:sz w:val="17"/>
              </w:rPr>
              <w:t>9,204</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880,00 milliards FCFA, la SIBC s'impose comme l'une des valeurs bancaires les plus capitalisées de la BRVM, ce qui en fait un pilier de l'indice BRVM Composite et un titre de référence pour les investisseurs institutionnels de la zone UEMOA. Le BPA de 556 FCFA/action signifie que chaque titre détenu génère près de 556 FCFA de bénéfice net, un niveau de rentabilité par action parmi les plus élevés du compartiment bancaire régional. Le PER de 15,8x traduit une valorisation modérée mais supérieure à la moyenne du marché BRVM (8-12x), indiquant que les investisseurs acceptent de payer une prime pour la qualité des bénéfices de la banque. Le P/B de 4,30x, nettement supérieur au seuil de 4x, confirme cette prime — le marché valorise la SIBC à plus de quatre fois sa valeur comptable, ce qui est exigeant mais justifié par un ROE structurellement supérieur à 27%. Enfin, l'EV/EBITDA de 14,7x, dans la fourchette haute (10-15x), suggère que la valeur d'entreprise intègre déjà une bonne partie de la capacité bénéficiaire opérationnelle, laissant peu de marge pour une expansion du multiple sans nouvelle accélération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performance remarquable de **+17,33%**, avec une dernière séance en légère hausse de **+0,57%**, portant le cours actuel à **8 800 FCFA**. Le range de trading s'établit entre un plus bas de **7 500 FCFA** et un plus haut de **9 500 FCFA**, soit une amplitude de 26,7% qui témoigne d'une réelle dynamique haussière sur la période, bien que le cours se situe actuellement à 7,4% sous son sommet. La tendance générale demeure haussière, mais le repli depuis le pic suggère une phase de consolidation ou de prise de bénéfices. Les statistiques descriptives révèlent une **moyenne de 8 896 FCFA** légèrement inférieure à la **médiane de 8 995 FCFA**, avec un mode à 9 000 FCFA — cet écart indique une distribution asymétrique où les journées de baisse tirent la moyenne vers le bas, cohérent avec le **skewness négatif de -1,820** (plus de journées au-dessus de la moyenne, mais des baisses plus marquées). L'**écart-type de 389 FCFA** et le **coefficient de variation de 4,4%** traduisent une dispersion modérée du cours autour de sa moyenne, tandis que le **kurtosis de 3,661** (leptokurtique) signale des queues épaisses et un risque de pics de volatilité brutaux. La **volatilité annualisée de 30,9%** positionne le titre dans la catégorie des valeurs à volatilité élevée (&gt;30%), ce qui implique un risque de fluctuation significatif à court terme, mais aussi des opportunités de trading pour les investisseurs actifs.</w:t>
      </w:r>
    </w:p>
    <w:p>
      <w:pPr>
        <w:spacing w:after="120" w:line="276" w:lineRule="auto"/>
      </w:pPr>
      <w:r>
        <w:t>---</w:t>
      </w:r>
    </w:p>
    <w:p>
      <w:pPr>
        <w:spacing w:after="120" w:line="276" w:lineRule="auto"/>
      </w:pPr>
      <w:r>
        <w:t>## PARTIE 2 : ANALYSE TECHNIQUE DÉTAILLÉE</w:t>
      </w:r>
    </w:p>
    <w:p>
      <w:pPr>
        <w:spacing w:after="120" w:line="276" w:lineRule="auto"/>
      </w:pPr>
      <w:r>
        <w:t>**Moyennes Mobiles** : La MM20 (9 043,5 FCFA) et la MM50 (9 113,5 FCFA) se situent toutes deux au-dessus du cours actuel (8 800 FCFA), avec la MM20 en dessous de la MM50 — configuration baissière classique. Le cours évolue sous ses deux moyennes, ce qui confirme la pression vendeuse à court terme et justifie la décision technique de **Vente**.</w:t>
      </w:r>
    </w:p>
    <w:p>
      <w:pPr>
        <w:spacing w:after="120" w:line="276" w:lineRule="auto"/>
      </w:pPr>
      <w:r>
        <w:t>**Bandes de Bollinger** : Le cours (8 800 FCFA) se situe dans la partie basse de la bande, entre la borne inférieure (8 628,377 FCFA) et la borne supérieure (9 458,623 FCFA), sans franchir aucun extrême. Cette position neutre indique l'absence de signal de surachat ou de survente, avec une volatilité contenue — la décision est donc **Neutre**, le marché attendant un catalyseur directionnel.</w:t>
      </w:r>
    </w:p>
    <w:p>
      <w:pPr>
        <w:spacing w:after="120" w:line="276" w:lineRule="auto"/>
      </w:pPr>
      <w:r>
        <w:t>**MACD** : La valeur du MACD (-77,305) est nettement inférieure à son signal (-44,708), et les deux sont en territoire négatif. Cette divergence baissière indique un momentum négatif persistant, avec une pression vendeuse qui ne faiblit pas encore — la décision de **Vente** est confirmée par cette configuration.</w:t>
      </w:r>
    </w:p>
    <w:p>
      <w:pPr>
        <w:spacing w:after="120" w:line="276" w:lineRule="auto"/>
      </w:pPr>
      <w:r>
        <w:t>**RSI** : À 39,216, le RSI se situe dans la zone neutre basse (30-70), sans atteindre le seuil de survente (30). Cela suggère que le titre n'est pas encore survendu et qu'il pourrait continuer à baisser avant de trouver un support — la décision est **Neutre**, avec un biais baissier modéré.</w:t>
      </w:r>
    </w:p>
    <w:p>
      <w:pPr>
        <w:spacing w:after="120" w:line="276" w:lineRule="auto"/>
      </w:pPr>
      <w:r>
        <w:t>**Stochastique** : Le %K (42,963) est légèrement supérieur au %D (38,025), avec un croisement récent à la hausse qui pourrait signaler un début de retournement. Cependant, les deux valeurs restent en zone neutre basse, sans confirmation franche — la décision est **Neutre**, le signal étant trop faible pour être exploitable.</w:t>
      </w:r>
    </w:p>
    <w:p>
      <w:pPr>
        <w:spacing w:after="120" w:line="276" w:lineRule="auto"/>
      </w:pPr>
      <w:r>
        <w:t>**Conclusion technique** : Les indicateurs techniques présentent une configuration majoritairement baissière à court terme (cours sous les MM, MACD négatif), mais sans excès de vente (RSI neutre, Stochastique en zone neutre). Le titre se trouve dans une phase de consolidation baissière modérée, avec un potentiel de rebond technique si le cours parvient à se maintenir au-dessus de la borne inférieure de Bollinger (8 628 FCFA). La convergence des signaux neutres suggère une attente du marché avant une nouvelle impulsion directionnelle.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SIBC affiche un **Produit Net Bancaire (PNB) de 108,663 milliards FCFA**, en croissance de **+5,74%**, et un **résultat net de 55,623 milliards FCFA**, soit une marge nette exceptionnelle de **51,19%**. Le **ROE de 27,16%** et le **ROA de 2,96%** confirment une rentabilité parmi les meilleures du secteur bancaire ouest-africain. Le **coefficient d'exploitation de 38,59%** (largement inférieur au seuil de 60%) témoigne d'une efficacité opérationnelle remarquable, tandis que le **ratio dépôts/crédits de 1,23x** (1 503,441 Mds FCFA de dépôts contre 1 226,720 Mds FCFA de crédits) indique une surliquidité confortable et une capacité de transformation maîtrisée. Le **coût du risque** (provisions de 14,124 Mds FCFA) reste contenu, représentant environ 1,15% des créances clientèle, ce qui traduit un portefeuille de crédits de bonne qualité. La **solvabilité générale de 112,21%** et l'**autonomie financière de 10,88%** (faible mais typique du modèle bancaire) confirment la solidité du bilan, bien que la dépendance aux dépôts clients (89,12% du passif) expose la banque au risque de retrait massif en cas de crise de confiance.</w:t>
      </w:r>
    </w:p>
    <w:p>
      <w:pPr>
        <w:spacing w:after="120" w:line="276" w:lineRule="auto"/>
      </w:pPr>
      <w:r>
        <w:t>**Estimations basées sur les rapports trimestriels** : Le rapport du **T1 2026 (publié le 07/05/2026)** indique un PNB de 27,7 Mds FCFA (+4%) et un résultat net de 15,2 Mds FCFA (+11%), tandis que le rapport du **S1 2026 (publié le 29/09/2026)** confirme cette dynamique avec un PNB de 56,592 Mds FCFA (+4,2%) et un résultat net de 32,140 Mds FCFA (+9,3%). Sur la base de ces performances semestrielles, on peut **estimer** que l'exercice 2026 devrait afficher un PNB annuel d'environ **113-115 Mds FCFA** (+4-5%) et un résultat net de l'ordre de **60-62 Mds FCFA** (+8-10%), porté par la croissance des crédits (+12%) et des dépôts (+12%). Le **coût du risque quasi nul** (287 M FCFA au S1 2026, en baisse de 75,3%) et la **marge nette de 56,8%** au S1 2026 renforcent la perspective d'une nouvelle année de rentabilité exceptionnelle. La **recommandation fondamentale** est donc **CONSERVER avec biais positif** : la SIBC est une valeur de qualité, solide et rentable, mais sa valorisation exigeante (P/B de 4,30x) limite le potentiel de hausse à court terme. Les risques principaux résident dans la concurrence bancaire accrue, la dépendance à l'économie ivoirienne et l'absence de visibilité sur la politique de dividende pour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entre la qualité fondamentale et les signaux techniques à court terme**. La valorisation (Partie 0) est exigeante — PER de 15,8x et P/B de 4,30x — ce qui intègre déjà une prime de qualité et limite le potentiel de réévaluation à court terme. Le comportement du cours (Partie 1) montre une tendance haussière sur 100 jours (+17,33%) mais un repli depuis le sommet (9 500 FCFA), avec une volatilité élevée (30,9%) et un skewness négatif (-1,820) qui indique un risque de baisses brutales. Les signaux techniques (Partie 2) sont majoritairement baissiers à court terme (cours sous les MM, MACD négatif), mais sans excès de vente (RSI neutre), suggérant une consolidation plutôt qu'un retournement. Les fondamentaux (Partie 3) restent excellents : ROE de 27,16%, coefficient d'exploitation de 38,59%, et une croissance estimée de +8-10% du résultat net en 2026. Les **prédictions IA (J+1 à J+10)** anticipent une baisse progressive du cours de 8 744 FCFA à 8 558 FCFA, soit une correction de -2,1% sur 10 jours, ce qui **confirme les signaux techniques baissiers** à court terme. Sur la base de cette synthèse, la recommandation finale est **CONSERVER**, avec un **niveau de confiance Moyen** et un **risque global Moyen**. La convergence entre la valorisation exigeante, les signaux techniques baissiers et les prédictions IA négatives suggère une phase de consolidation à court terme, mais la solidité fondamentale de la SIBC (ROE &gt;27%, croissance à deux chiffres des crédits et dépôts) justifie de conserver le titre pour un **horizon d'investissement de moyen à long terme (6-18 mois)**. Les investisseurs déjà positionnés peuvent conserver leurs titres en attendant une correction plus prononcée (sous 8 500 FCFA) pour renforcer, tandis que les nouveaux investisseurs devraient attendre une stabilisation du cours avant d'entrer.</w:t>
      </w:r>
    </w:p>
    <w:p>
      <w:pPr>
        <w:spacing w:after="120" w:line="276" w:lineRule="auto"/>
      </w:pPr>
      <w:r>
        <w:t>---</w:t>
      </w:r>
    </w:p>
    <w:p>
      <w:pPr>
        <w:spacing w:after="120" w:line="276" w:lineRule="auto"/>
      </w:pPr>
      <w:r>
        <w:t>*Rapport généré le 12 octobre 2026 — Sources : BRVM, rapports financiers SIBC (T1 2026, S1 2026, T3 2025, S1 2025, T1 2025, Annuel 2024), données structurées brvm_donnees_financieres (2025).*</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β=-1.0815 (Contre-cyclique) — Cov=-0.000041, Var(idx)=0.000038, ρ=-0.175, n=83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ACTION SICC (SICOR CI)**</w:t>
        <w:br/>
        <w:t>**Bourse Régionale des Valeurs Mobilières (BRVM) — Secteur Agro-industriel**</w:t>
        <w:br/>
        <w:t>**Date d'analyse : Mai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SICOR s'établit à 5,04 milliards FCFA, un niveau modeste à l'échelle de la BRVM qui la classe parmi les petites capitalisations du compartiment agro-industriel. Les ratios de valorisation classiques (BPA, PER, P/B, EV/EBITDA) ne sont pas calculables en l'absence de données financières structurées récentes exploitables et de bénéfices par action publiés pour l'exercice 2024-2025 ; cette absence s'explique par le fait que la société n'a pas encore publié ses états financiers définitifs audités dans la base de données structurée, et par l'absence de consensus de marché sur ses résultats. Pour l'investisseur, cette opacité relative constitue en soi un signal de prudence : sans PER ni P/B de référence, il est impossible de juger si le marché paie une prime ou une décote par rapport à la valeur comptable, ce qui renforce le poids de l'analyse technique et des rapports narratifs dans la décision finale.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performance spectaculaire de +95,35 %, bien que la dernière séance (J-1) marque une légère correction de -1,12 %, signalant un essoufflement ponctuel de la dynamique acheteuse. Le cours actuel de 8 400 FCFA se situe dans la partie haute du range de trading, le plus haut ayant atteint 10 200 FCFA et le plus bas 3 985 FCFA, soit un écart de plus de 156 % entre les deux extrêmes — une amplitude exceptionnelle qui traduit une tendance haussière puissante mais aussi une forte nervosité. Les statistiques descriptives révèlent une distribution asymétrique : la moyenne (5 815 FCFA) est nettement supérieure à la médiane (5 022 FCFA), et le mode se situe à 4 380 FCFA, ce qui indique que la majeure partie de la période s'est négociée à des niveaux bien inférieurs au cours actuel, la hausse étant concentrée sur la fin de période. L'écart-type de 1 813 FCFA avec un coefficient de variation de 31,2 % confirme une dispersion élevée, tandis que le kurtosis de -0,630 (mésokurtique) suggère une distribution proche de la normale sans pics extrêmes fréquents, et le skewness positif de 0,913 indique davantage de journées sous la moyenne que de journées exceptionnellement haussières. La volatilité annualisée de 58,2 % classe ce titre dans la catégorie des valeurs à volatilité élevée (&gt;30 %), ce qui implique un risque de perte en capital significatif à court terme malgré le momentum haussier.</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(7 205,00 FCFA) sont toutes deux inférieures au cours actuel de 8 400 FCFA pour la MM20 (léger écart) mais nettement en dessous pour la MM50, configurant un croisement haussier classique où le cours surperforme ses moyennes. La décision technique est à l'**Achat**, portée par la dynamique positive de court et moyen terme, bien que le cours commence à s'approcher de sa MM20, ce qui pourrait signaler une consolidation imminente.</w:t>
      </w:r>
    </w:p>
    <w:p>
      <w:pPr>
        <w:spacing w:after="120" w:line="276" w:lineRule="auto"/>
      </w:pPr>
      <w:r>
        <w:t>**Bandes de Bollinger** : Le cours (8 400 FCFA) se situe à l'intérieur des bandes, entre la borne inférieure (7 354,78 FCFA) et la borne supérieure (9 589,72 FCFA), sans toucher les extrêmes. Cette position médiane, couplée à un écart relativement large entre les bornes, traduit une volatilité élevée mais sans tension extrême. La décision est **Neutre**, le marché n'étant ni en surachat ni en survente selon ce critère.</w:t>
      </w:r>
    </w:p>
    <w:p>
      <w:pPr>
        <w:spacing w:after="120" w:line="276" w:lineRule="auto"/>
      </w:pPr>
      <w:r>
        <w:t>**MACD** : La valeur du MACD (259,89) est inférieure à son signal (345,76), générant une divergence baissière qui indique un affaiblissement du momentum haussier. Bien que le MACD reste en territoire positif, ce croisement à la baisse justifie une décision de **Vente** à court terme, suggérant que la pression acheteuse perd de sa vigueur.</w:t>
      </w:r>
    </w:p>
    <w:p>
      <w:pPr>
        <w:spacing w:after="120" w:line="276" w:lineRule="auto"/>
      </w:pPr>
      <w:r>
        <w:t>**RSI** : À 61,16, le RSI se situe en zone neutre-haute (entre 30 et 70), sans atteindre le seuil de surachat de 70. La décision est **Neutre**, le titre conservant une marge de progression théorique mais sans signal d'achat fort, le RSI ayant tendance à se retourner à la baisse après avoir frôlé des niveaux élevés.</w:t>
      </w:r>
    </w:p>
    <w:p>
      <w:pPr>
        <w:spacing w:after="120" w:line="276" w:lineRule="auto"/>
      </w:pPr>
      <w:r>
        <w:t>**Stochastique** : Le %K (85,71) et le %D (94,76) sont tous deux en zone de surachat (&gt;80), avec un %K inférieur au %D, ce qui constitue un croisement baissier imminent. La décision est **Vente**, ce signal étant le plus préoccupant à court terme car il indique une probabilité élevée de correction après la forte hausse.</w:t>
      </w:r>
    </w:p>
    <w:p>
      <w:pPr>
        <w:spacing w:after="120" w:line="276" w:lineRule="auto"/>
      </w:pPr>
      <w:r>
        <w:t>**Conclusion technique** : Les indicateurs présentent une divergence notable : les moyennes mobiles restent haussières (Achat), mais le MACD et le stochastique émettent des signaux de vente, tandis que le RSI et les Bollinger sont neutres. Cette configuration suggère que la tendance de fond demeure positive, mais qu'un repli technique est probable à court terme, les indicateurs de momentum ayant atteint des niveaux de surachat. La prudence est de mise pour les investisseurs à court terme.</w:t>
      </w:r>
    </w:p>
    <w:p>
      <w:pPr>
        <w:spacing w:after="120" w:line="276" w:lineRule="auto"/>
      </w:pPr>
      <w:r>
        <w:t>---</w:t>
      </w:r>
    </w:p>
    <w:p>
      <w:pPr>
        <w:spacing w:after="120" w:line="276" w:lineRule="auto"/>
      </w:pPr>
      <w:r>
        <w:t>### **PARTIE 3 : ANALYSE FONDAMENTALE (SECTION CRITIQUE)**</w:t>
      </w:r>
    </w:p>
    <w:p>
      <w:pPr>
        <w:spacing w:after="120" w:line="276" w:lineRule="auto"/>
      </w:pPr>
      <w:r>
        <w:t>L'analyse fondamentale de la SICOR s'appuie sur les rapports financiers officiels disponibles, dont les plus récents remontent à l'exercice 2023 (analysé le 15 mars 2026) et à l'exercice 2022 (analysé le 15 mars 2026), avec des données historiques remontant à 2015-2017. **En 2023**, le chiffre d'affaires s'est établi à 701,09 millions FCFA, en baisse de 38,4 % par rapport aux 1 138,17 millions FCFA de 2022, poursuivant une dégradation entamée en 2021 (1 380,99 millions FCFA). Malgré cette contraction, la société a renoué avec la profitabilité en 2023 avec un résultat net positif de 19,25 millions FCFA (marge nette de 2,75 %), contre une perte nette de -39,95 millions FCFA en 2022 (marge nette de -3,51 %). Cette amélioration résulte d'une réduction drastique des charges totales (-43,68 %), notamment via le transfert de 50 % du personnel vers la SIPAL et la baisse des coûts logistiques (-65,97 %). **En 2022**, le chiffre d'affaires de 1 138,17 millions FCFA avait chuté de 17,58 % par rapport à 2021, avec une perte nette de -39,95 millions FCFA marquant une inversion de tendance après quatre années de bénéfices (2018-2021). Les données historiques de 2015-2017 montrent une situation financière autrefois solide (résultat net de 100,57 millions FCFA en 2017, marge nette de 6,44 %), mais les exercices 2016 et 2017 avaient déjà révélé des signes de fragilité (perte nette de -348,99 millions FCFA en 2016, capitaux propres négatifs de -2,32 milliards FCFA). Le ROE et le ROA ne sont pas calculables pour 2023 en l'absence de données sur les capitaux propres et le total d'actif, mais la faiblesse des marges (2,75 %) et la persistance de pertes cumulées (689,86 millions FCFA en 2023) indiquent une rentabilité structurellement faible. La société fait face à des risques opérationnels majeurs (vols de noix de coco, arrêt du site de Boulay) et financiers (découverts bancaires multipliés par 14 en 2023, dépendance aux actionnaires). **Perspectives** : La convocation d'une Assemblée Générale Ordinaire le 22 mai 2026 pour approuver les comptes de l'exercice 2024 (document officiel BRVM du 15/05/2026) suggère que les résultats 2024 seront bientôt connus ; en l'absence de chiffres précis, on estime que la société pourrait poursuivre son redressement progressif si la maîtrise des coûts se maintient, mais la faiblesse du chiffre d'affaires et l'absence de dividendes depuis 2018 limitent l'attrait fondamental. La recommandation fondamentale est de **Conserver avec vigilance**, la société présentant un potentiel de rebond mais des risques élevés.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situation contrastée. **Valorisation (Partie 0)** : l'absence de ratios PER/P/B/EV-EBITDA empêche toute conclusion sur une éventuelle sous-évaluation ou surévaluation, ce qui constitue un facteur d'incertitude majeur. **Comportement du cours (Partie 1)** : la hausse spectaculaire de +95,35 % sur 100 jours, couplée à une volatilité annualisée de 58,2 % et un skewness positif (0,913), indique un momentum haussier puissant mais fragile, avec un risque de correction élevé. **Signaux techniques (Partie 2)** : les indicateurs divergent — les moyennes mobiles restent haussières, mais le MACD et le stochastique émettent des signaux de vente, tandis que le RSI et les Bollinger sont neutres ; cette configuration suggère une consolidation imminente. **Fondamentaux (Partie 3)** : la SICOR a renoué avec la profitabilité en 2023 (résultat net de 19,25 millions FCFA), mais son chiffre d'affaires s'est effondré (-38,4 %) et sa rentabilité reste fragile (marge nette de 2,75 %), avec des pertes cumulées non résorbées et une absence de dividendes depuis 2018. **Prédictions IA** : aucune prédiction n'est disponible pour les 10 prochains jours, ce qui ne permet pas de confirmer ou d'infirmer les autres signaux. **Recommandation finale** : **CONSERVER** (avec un biais baissier à court terme). La convergence entre un momentum technique haussier mais essoufflé, des fondamentaux en redressement mais fragiles, et une absence de valorisation claire justifie une position attentiste. Le niveau de confiance est **Moyen**, le risque global est **Élevé** (volatilité de 58,2 %, opacité financière, risques opérationnels), et l'horizon d'investissement optimal est **moyen terme (3-12 mois)**, en attendant la publication des comptes 2024 et une confirmation de la reprise durable de l'activité. Les investisseurs à court terme devraient prendre leurs profits après la hausse récente, tandis que les investisseurs long terme pourraient accumuler sur repli vers 7 000-7 500 FCFA en misant sur le redressement progressif de la société.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17.12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5,378 titres</w:t>
            </w:r>
          </w:p>
        </w:tc>
        <w:tc>
          <w:tcPr>
            <w:tcW w:type="dxa" w:w="2268"/>
            <w:shd w:fill="FFF2CC" w:val="clear"/>
          </w:tcPr>
          <w:p>
            <w:r>
              <w:rPr>
                <w:b/>
                <w:color w:val="503200"/>
                <w:sz w:val="16"/>
              </w:rPr>
              <w:t xml:space="preserve">Cours actuel : </w:t>
            </w:r>
            <w:r>
              <w:rPr>
                <w:color w:val="000000"/>
                <w:sz w:val="17"/>
              </w:rPr>
              <w:t>1,960 FCFA</w:t>
            </w:r>
          </w:p>
          <w:p>
            <w:r>
              <w:rPr>
                <w:b/>
                <w:color w:val="503200"/>
                <w:sz w:val="16"/>
              </w:rPr>
              <w:t xml:space="preserve">Var. 100 jours : </w:t>
            </w:r>
            <w:r>
              <w:rPr>
                <w:b/>
                <w:color w:val="B40000"/>
                <w:sz w:val="17"/>
              </w:rPr>
              <w:t>-31.11%</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11.90% (Moyenne) — μ=2,397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β=0.4900 (Défensif) — Cov=0.000036, Var(idx)=0.000073, ρ=0.123,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annualisée≈53.9%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1,876</w:t>
            </w:r>
          </w:p>
        </w:tc>
        <w:tc>
          <w:tcPr>
            <w:tcW w:type="dxa" w:w="1440"/>
            <w:shd w:fill="FAFAFA" w:val="clear"/>
          </w:tcPr>
          <w:p>
            <w:r>
              <w:rPr>
                <w:b/>
                <w:sz w:val="17"/>
              </w:rPr>
              <w:t>1,976</w:t>
            </w:r>
          </w:p>
        </w:tc>
        <w:tc>
          <w:tcPr>
            <w:tcW w:type="dxa" w:w="1440"/>
            <w:shd w:fill="FAFAFA" w:val="clear"/>
          </w:tcPr>
          <w:p>
            <w:r>
              <w:rPr>
                <w:sz w:val="17"/>
              </w:rPr>
              <w:t>2,076</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1,836</w:t>
            </w:r>
          </w:p>
        </w:tc>
        <w:tc>
          <w:tcPr>
            <w:tcW w:type="dxa" w:w="1440"/>
            <w:shd w:fill="FAFAFA" w:val="clear"/>
          </w:tcPr>
          <w:p>
            <w:r>
              <w:rPr>
                <w:b/>
                <w:sz w:val="17"/>
              </w:rPr>
              <w:t>1,977</w:t>
            </w:r>
          </w:p>
        </w:tc>
        <w:tc>
          <w:tcPr>
            <w:tcW w:type="dxa" w:w="1440"/>
            <w:shd w:fill="FAFAFA" w:val="clear"/>
          </w:tcPr>
          <w:p>
            <w:r>
              <w:rPr>
                <w:sz w:val="17"/>
              </w:rPr>
              <w:t>2,118</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1,807</w:t>
            </w:r>
          </w:p>
        </w:tc>
        <w:tc>
          <w:tcPr>
            <w:tcW w:type="dxa" w:w="1440"/>
            <w:shd w:fill="FAFAFA" w:val="clear"/>
          </w:tcPr>
          <w:p>
            <w:r>
              <w:rPr>
                <w:b/>
                <w:sz w:val="17"/>
              </w:rPr>
              <w:t>1,981</w:t>
            </w:r>
          </w:p>
        </w:tc>
        <w:tc>
          <w:tcPr>
            <w:tcW w:type="dxa" w:w="1440"/>
            <w:shd w:fill="FAFAFA" w:val="clear"/>
          </w:tcPr>
          <w:p>
            <w:r>
              <w:rPr>
                <w:sz w:val="17"/>
              </w:rPr>
              <w:t>2,154</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1,784</w:t>
            </w:r>
          </w:p>
        </w:tc>
        <w:tc>
          <w:tcPr>
            <w:tcW w:type="dxa" w:w="1440"/>
            <w:shd w:fill="FAFAFA" w:val="clear"/>
          </w:tcPr>
          <w:p>
            <w:r>
              <w:rPr>
                <w:b/>
                <w:sz w:val="17"/>
              </w:rPr>
              <w:t>1,985</w:t>
            </w:r>
          </w:p>
        </w:tc>
        <w:tc>
          <w:tcPr>
            <w:tcW w:type="dxa" w:w="1440"/>
            <w:shd w:fill="FAFAFA" w:val="clear"/>
          </w:tcPr>
          <w:p>
            <w:r>
              <w:rPr>
                <w:sz w:val="17"/>
              </w:rPr>
              <w:t>2,185</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1,765</w:t>
            </w:r>
          </w:p>
        </w:tc>
        <w:tc>
          <w:tcPr>
            <w:tcW w:type="dxa" w:w="1440"/>
            <w:shd w:fill="FAFAFA" w:val="clear"/>
          </w:tcPr>
          <w:p>
            <w:r>
              <w:rPr>
                <w:b/>
                <w:sz w:val="17"/>
              </w:rPr>
              <w:t>1,989</w:t>
            </w:r>
          </w:p>
        </w:tc>
        <w:tc>
          <w:tcPr>
            <w:tcW w:type="dxa" w:w="1440"/>
            <w:shd w:fill="FAFAFA" w:val="clear"/>
          </w:tcPr>
          <w:p>
            <w:r>
              <w:rPr>
                <w:sz w:val="17"/>
              </w:rPr>
              <w:t>2,214</w:t>
            </w:r>
          </w:p>
        </w:tc>
        <w:tc>
          <w:tcPr>
            <w:tcW w:type="dxa" w:w="1440"/>
            <w:shd w:fill="FAFAFA" w:val="clear"/>
          </w:tcPr>
          <w:p>
            <w:r>
              <w:rPr>
                <w:b/>
                <w:color w:val="008000"/>
                <w:sz w:val="17"/>
              </w:rPr>
              <w:t>+1.5%</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1,747</w:t>
            </w:r>
          </w:p>
        </w:tc>
        <w:tc>
          <w:tcPr>
            <w:tcW w:type="dxa" w:w="1440"/>
            <w:shd w:fill="FAFAFA" w:val="clear"/>
          </w:tcPr>
          <w:p>
            <w:r>
              <w:rPr>
                <w:b/>
                <w:sz w:val="17"/>
              </w:rPr>
              <w:t>1,994</w:t>
            </w:r>
          </w:p>
        </w:tc>
        <w:tc>
          <w:tcPr>
            <w:tcW w:type="dxa" w:w="1440"/>
            <w:shd w:fill="FAFAFA" w:val="clear"/>
          </w:tcPr>
          <w:p>
            <w:r>
              <w:rPr>
                <w:sz w:val="17"/>
              </w:rPr>
              <w:t>2,241</w:t>
            </w:r>
          </w:p>
        </w:tc>
        <w:tc>
          <w:tcPr>
            <w:tcW w:type="dxa" w:w="1440"/>
            <w:shd w:fill="FAFAFA" w:val="clear"/>
          </w:tcPr>
          <w:p>
            <w:r>
              <w:rPr>
                <w:b/>
                <w:color w:val="008000"/>
                <w:sz w:val="17"/>
              </w:rPr>
              <w:t>+1.7%</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1,731</w:t>
            </w:r>
          </w:p>
        </w:tc>
        <w:tc>
          <w:tcPr>
            <w:tcW w:type="dxa" w:w="1440"/>
            <w:shd w:fill="FAFAFA" w:val="clear"/>
          </w:tcPr>
          <w:p>
            <w:r>
              <w:rPr>
                <w:b/>
                <w:sz w:val="17"/>
              </w:rPr>
              <w:t>1,998</w:t>
            </w:r>
          </w:p>
        </w:tc>
        <w:tc>
          <w:tcPr>
            <w:tcW w:type="dxa" w:w="1440"/>
            <w:shd w:fill="FAFAFA" w:val="clear"/>
          </w:tcPr>
          <w:p>
            <w:r>
              <w:rPr>
                <w:sz w:val="17"/>
              </w:rPr>
              <w:t>2,265</w:t>
            </w:r>
          </w:p>
        </w:tc>
        <w:tc>
          <w:tcPr>
            <w:tcW w:type="dxa" w:w="1440"/>
            <w:shd w:fill="FAFAFA"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1,716</w:t>
            </w:r>
          </w:p>
        </w:tc>
        <w:tc>
          <w:tcPr>
            <w:tcW w:type="dxa" w:w="1440"/>
            <w:shd w:fill="C6EFCE" w:val="clear"/>
          </w:tcPr>
          <w:p>
            <w:r>
              <w:rPr>
                <w:b/>
                <w:sz w:val="17"/>
              </w:rPr>
              <w:t>2,003</w:t>
            </w:r>
          </w:p>
        </w:tc>
        <w:tc>
          <w:tcPr>
            <w:tcW w:type="dxa" w:w="1440"/>
            <w:shd w:fill="C6EFCE" w:val="clear"/>
          </w:tcPr>
          <w:p>
            <w:r>
              <w:rPr>
                <w:sz w:val="17"/>
              </w:rPr>
              <w:t>2,289</w:t>
            </w:r>
          </w:p>
        </w:tc>
        <w:tc>
          <w:tcPr>
            <w:tcW w:type="dxa" w:w="1440"/>
            <w:shd w:fill="C6EFCE" w:val="clear"/>
          </w:tcPr>
          <w:p>
            <w:r>
              <w:rPr>
                <w:b/>
                <w:color w:val="008000"/>
                <w:sz w:val="17"/>
              </w:rPr>
              <w:t>+2.2%</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1,703</w:t>
            </w:r>
          </w:p>
        </w:tc>
        <w:tc>
          <w:tcPr>
            <w:tcW w:type="dxa" w:w="1440"/>
            <w:shd w:fill="C6EFCE" w:val="clear"/>
          </w:tcPr>
          <w:p>
            <w:r>
              <w:rPr>
                <w:b/>
                <w:sz w:val="17"/>
              </w:rPr>
              <w:t>2,007</w:t>
            </w:r>
          </w:p>
        </w:tc>
        <w:tc>
          <w:tcPr>
            <w:tcW w:type="dxa" w:w="1440"/>
            <w:shd w:fill="C6EFCE" w:val="clear"/>
          </w:tcPr>
          <w:p>
            <w:r>
              <w:rPr>
                <w:sz w:val="17"/>
              </w:rPr>
              <w:t>2,311</w:t>
            </w:r>
          </w:p>
        </w:tc>
        <w:tc>
          <w:tcPr>
            <w:tcW w:type="dxa" w:w="1440"/>
            <w:shd w:fill="C6EFCE" w:val="clear"/>
          </w:tcPr>
          <w:p>
            <w:r>
              <w:rPr>
                <w:b/>
                <w:color w:val="008000"/>
                <w:sz w:val="17"/>
              </w:rPr>
              <w:t>+2.4%</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1,690</w:t>
            </w:r>
          </w:p>
        </w:tc>
        <w:tc>
          <w:tcPr>
            <w:tcW w:type="dxa" w:w="1440"/>
            <w:shd w:fill="C6EFCE" w:val="clear"/>
          </w:tcPr>
          <w:p>
            <w:r>
              <w:rPr>
                <w:b/>
                <w:sz w:val="17"/>
              </w:rPr>
              <w:t>2,011</w:t>
            </w:r>
          </w:p>
        </w:tc>
        <w:tc>
          <w:tcPr>
            <w:tcW w:type="dxa" w:w="1440"/>
            <w:shd w:fill="C6EFCE" w:val="clear"/>
          </w:tcPr>
          <w:p>
            <w:r>
              <w:rPr>
                <w:sz w:val="17"/>
              </w:rPr>
              <w:t>2,333</w:t>
            </w:r>
          </w:p>
        </w:tc>
        <w:tc>
          <w:tcPr>
            <w:tcW w:type="dxa" w:w="1440"/>
            <w:shd w:fill="C6EFCE" w:val="clear"/>
          </w:tcPr>
          <w:p>
            <w:r>
              <w:rPr>
                <w:b/>
                <w:color w:val="008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**RAPPORT D'ANALYSE FINANCIÈRE — SIVC (ERIUM COTE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17,12 milliards FCFA, SIVC se situe dans la catégorie des petites capitalisations de la BRVM, ce qui la rend vulnérable aux mouvements de faible volume. Le BPA s'établit à 21 FCFA par action, un niveau modeste qui, rapporté au cours actuel de 1 960 FCFA, génère un PER de 95,5x — très largement supérieur à la moyenne du marché BRVM (8-12x), signalant que les investisseurs paient une prime considérable pour des bénéfices pourtant en forte contraction. Le P/B de 6,78x confirme cette valorisation exigeante : le marché valorise l'entreprise à près de sept fois sa valeur comptable, alors que ses capitaux propres s'élèvent à 2,527 milliards FCFA. Enfin, l'EV/EBITDA de 17,0x traduit une valeur d'entreprise très supérieure à sa capacité opérationnelle de génération de cash, renforçant le diagnostic d'une action nettement surévaluée au regard de ses fondamentaux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-31,11%, matérialisant une tendance baissière marquée, même si la dernière séance (J-1) affiche un rebond technique de +1,55% à 1 960 FCFA. Le range de trading est large, avec un plus haut à 2 875 FCFA et un plus bas à 1 920 FCFA, le cours actuel évoluant dangereusement près de son plancher, ce qui traduit une pression vendeuse persistante. Les statistiques descriptives révèlent une moyenne de 2 397 FCFA légèrement supérieure à la médiane de 2 365 FCFA, signe d'une distribution faiblement asymétrique à droite, confirmée par un skewness de 0,306 (distribution quasi-symétrique). L'écart-type de 287 FCFA, avec un coefficient de variation de 12,0%, indique une dispersion modérée autour de la moyenne, tandis que le kurtosis de -0,988 (mésokurtique) suggère une distribution proche de la normale, sans risque majeur de pics extrêmes. Le mode à 2 000 FCFA, proche du cours actuel, confirme que le titre évolue dans une zone de consolidation basse. Enfin, la volatilité annualisée de 53,9% classe SIVC parmi les titres à volatilité élevée (&gt;30%), ce qui implique un risque de marché important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(2 087 FCFA) et la MM50 (2 227,2 FCFA) se situent toutes deux au-dessus du cours actuel (1 960 FCFA), confirmant une configuration baissière où le titre évolue sous ses moyennes de référence. La MM20 étant elle-même inférieure à la MM50, on observe un croisement baissier (death cross) caractéristique d'une tendance descendante. La décision technique qui en résulte est logiquement **Vente**.</w:t>
      </w:r>
    </w:p>
    <w:p>
      <w:pPr>
        <w:spacing w:after="120" w:line="276" w:lineRule="auto"/>
      </w:pPr>
      <w:r>
        <w:t>**Bandes de Bollinger** : Le cours actuel (1 960 FCFA) évolue dans la partie basse du canal, entre la borne inférieure (1 813,94 FCFA) et la borne supérieure (2 360,06 FCFA), sans franchissement de seuil extrême. Cette position médiane-basse traduit une absence de signal directionnel fort, d'où la décision **Neutre**, bien que la proximité de la borne inférieure suggère une possible zone de support.</w:t>
      </w:r>
    </w:p>
    <w:p>
      <w:pPr>
        <w:spacing w:after="120" w:line="276" w:lineRule="auto"/>
      </w:pPr>
      <w:r>
        <w:t>**MACD** : La valeur du MACD (-86,449) est inférieure à sa ligne de signal (-79,385), confirmant un momentum baissier toujours actif. L'écart négatif entre les deux lignes indique que la pression vendeuse n'est pas encore résorbée, justifiant la décision **Vente** maintenue par cet indicateur.</w:t>
      </w:r>
    </w:p>
    <w:p>
      <w:pPr>
        <w:spacing w:after="120" w:line="276" w:lineRule="auto"/>
      </w:pPr>
      <w:r>
        <w:t>**RSI** : À 35,374, le RSI se situe dans la zone neutre basse (30-70), sans atteindre le seuil de survente (&lt;30) qui déclencherait un signal d'achat. Cette position traduit une faiblesse relative mais non extrême, d'où la décision **Neutre** — le titre n'est ni survendu ni suracheté.</w:t>
      </w:r>
    </w:p>
    <w:p>
      <w:pPr>
        <w:spacing w:after="120" w:line="276" w:lineRule="auto"/>
      </w:pPr>
      <w:r>
        <w:t>**Stochastique** : Le %K (14,286) et le %D (4,762) sont tous deux en zone de survente profonde (&lt;20), avec un %K supérieur au %D, ce qui constitue un croisement haussier potentiel. Cette configuration est typique d'un signal d'achat technique à court terme, justifiant la décision **Achat** — mais ce signal contredit les autres indicateurs.</w:t>
      </w:r>
    </w:p>
    <w:p>
      <w:pPr>
        <w:spacing w:after="120" w:line="276" w:lineRule="auto"/>
      </w:pPr>
      <w:r>
        <w:t>**Conclusion technique** : La majorité des indicateurs (MM, MACD) confirment une tendance baissière, tandis que le RSI et les Bollinger restent neutres et que seul le Stochastique émet un signal d'achat en zone de survente. Cette divergence suggère un possible rebond technique à court terme, mais la structure de fond reste clairement baissière, invitant à la prudence avant tout engagement.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d'ERIUM CI (ex-SIVC) révèlent un chiffre d'affaires de 10,075 milliards FCFA, en croissance de +8,53% par rapport à 2024 (9,283 milliards FCFA), témoignant d'une dynamique commerciale réelle. Cependant, le résultat net s'effondre à 179,29 millions FCFA, contre 376,96 millions en 2024, soit une chute de -52,4%, et la marge nette se contracte à 1,78% (contre 4,06% en 2024). Le ROE s'établit à 7,10% et le ROA à 1,23%, des niveaux faibles qui traduisent une rentabilité insuffisante. Sur le plan structurel, l'autonomie financière n'est que de 17,29% (seuil sain &gt;30%), le ratio d'endettement atteint 228,41% et la trésorerie nette reste négative à -1,661 milliard FCFA, exposant l'entreprise à un risque de liquidité. Les délais d'exploitation sont préoccupants : 79,30 jours de délai client (risque de trésorerie) et 189,26 jours de durée de stockage (immobilisation de capital), bien que le BFR négatif (-470,79 millions FCFA) constitue un point favorable. Les rapports trimestriels de 2025 confirment cette dualité : le S1 2025 (rapport certifié du 30/06/2025) affichait un CA de 4,897 milliards FCFA (+8,8%) et un résultat net de 512,9 millions FCFA (+4,6%), tandis que le T3 2025 (rapport du 30/09/2025) montrait un CA cumulé de 7,585 milliards FCFA (+13%) et un résultat net de 832,5 millions FCFA (+58%). On estime donc que l'exercice 2025 devrait clôturer sur une note positive en termes de croissance, mais la dégradation de la rentabilité annuelle (marge nette à 1,78%) suggère que les charges financières (-368,65 millions FCFA) et les éléments exceptionnels ont lourdement pesé. La recommandation fondamentale est de **CONSERVER avec surveillance**, car la croissance du CA ne se transforme pas encore en profit net, et la structure financière reste fragile.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 rapport met en évidence une divergence préoccupante entre les différents signaux. Sur le plan de la **valorisation (Partie 0)**, les ratios PER (95,5x), P/B (6,78x) et EV/EBITDA (17,0x) indiquent une nette surévaluation du titre par rapport à ses bénéfices et à sa valeur comptable, ce qui constitue un frein majeur à l'achat. Le **comportement du cours (Partie 1)** est baissier (-31,11% sur 100 jours) avec une volatilité élevée (53,9%) et une distribution quasi-normale (kurtosis -0,988, skewness 0,306), sans signal de retournement durable. Les **signaux techniques (Partie 2)** sont majoritairement baissiers (MM, MACD), avec un seul indicateur haussier (Stochastique en survente), ce qui plaide pour un simple rebond technique plutôt qu'une inversion de tendance. Les **fondamentaux (Partie 3)** révèlent une croissance du CA (+8,53% en 2025) mais une chute du résultat net (-52,4%) et une structure financière dégradée (autonomie financière 17,29%, trésorerie nette négative), ce qui justifie une grande prudence. Les **prédictions IA (J+1 à J+10)** anticipent une légère hausse vers 1 976-1 989 FCFA, ce qui confirme un possible rebond technique à court terme mais ne contredit pas la tendance baissière de fond. **Recommandation finale : CONSERVER** (avec surveillance renforcée), car la convergence des signaux baissiers (valorisation, technique, fondamentaux) est trop forte pour justifier un achat, mais la croissance du CA et le rebond potentiel à court terme incitent à ne pas vendre massivement. Le **niveau de confiance** est **Moyen** (les indicateurs sont divergents), le **risque global** est **Élevé** (volatilité, endettement, trésorerie négative), et l'**horizon d'investissement** recommandé est **moyen terme (3-12 mois)** pour laisser le temps à la société de démontrer sa capacité à restaurer sa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624.69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1,419 titres</w:t>
            </w:r>
          </w:p>
        </w:tc>
        <w:tc>
          <w:tcPr>
            <w:tcW w:type="dxa" w:w="2268"/>
            <w:shd w:fill="FFF2CC" w:val="clear"/>
          </w:tcPr>
          <w:p>
            <w:r>
              <w:rPr>
                <w:b/>
                <w:color w:val="503200"/>
                <w:sz w:val="16"/>
              </w:rPr>
              <w:t xml:space="preserve">Cours actuel : </w:t>
            </w:r>
            <w:r>
              <w:rPr>
                <w:color w:val="000000"/>
                <w:sz w:val="17"/>
              </w:rPr>
              <w:t>37,950 FCFA</w:t>
            </w:r>
          </w:p>
          <w:p>
            <w:r>
              <w:rPr>
                <w:b/>
                <w:color w:val="503200"/>
                <w:sz w:val="16"/>
              </w:rPr>
              <w:t xml:space="preserve">Var. 100 jours : </w:t>
            </w:r>
            <w:r>
              <w:rPr>
                <w:b/>
                <w:color w:val="007800"/>
                <w:sz w:val="17"/>
              </w:rPr>
              <w:t>+0.13%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μ=38,263 FCFA, σ=863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β=0.0214 (Défensif) — Cov=0.000002, Var(idx)=0.000073, ρ=0.012,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37,263</w:t>
            </w:r>
          </w:p>
        </w:tc>
        <w:tc>
          <w:tcPr>
            <w:tcW w:type="dxa" w:w="1440"/>
            <w:shd w:fill="FAFAFA" w:val="clear"/>
          </w:tcPr>
          <w:p>
            <w:r>
              <w:rPr>
                <w:b/>
                <w:sz w:val="17"/>
              </w:rPr>
              <w:t>37,842</w:t>
            </w:r>
          </w:p>
        </w:tc>
        <w:tc>
          <w:tcPr>
            <w:tcW w:type="dxa" w:w="1440"/>
            <w:shd w:fill="FAFAFA" w:val="clear"/>
          </w:tcPr>
          <w:p>
            <w:r>
              <w:rPr>
                <w:sz w:val="17"/>
              </w:rPr>
              <w:t>38,420</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37,216</w:t>
            </w:r>
          </w:p>
        </w:tc>
        <w:tc>
          <w:tcPr>
            <w:tcW w:type="dxa" w:w="1440"/>
            <w:shd w:fill="FAFAFA" w:val="clear"/>
          </w:tcPr>
          <w:p>
            <w:r>
              <w:rPr>
                <w:b/>
                <w:sz w:val="17"/>
              </w:rPr>
              <w:t>38,038</w:t>
            </w:r>
          </w:p>
        </w:tc>
        <w:tc>
          <w:tcPr>
            <w:tcW w:type="dxa" w:w="1440"/>
            <w:shd w:fill="FAFAFA" w:val="clear"/>
          </w:tcPr>
          <w:p>
            <w:r>
              <w:rPr>
                <w:sz w:val="17"/>
              </w:rPr>
              <w:t>38,860</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37,193</w:t>
            </w:r>
          </w:p>
        </w:tc>
        <w:tc>
          <w:tcPr>
            <w:tcW w:type="dxa" w:w="1440"/>
            <w:shd w:fill="FAFAFA" w:val="clear"/>
          </w:tcPr>
          <w:p>
            <w:r>
              <w:rPr>
                <w:b/>
                <w:sz w:val="17"/>
              </w:rPr>
              <w:t>38,204</w:t>
            </w:r>
          </w:p>
        </w:tc>
        <w:tc>
          <w:tcPr>
            <w:tcW w:type="dxa" w:w="1440"/>
            <w:shd w:fill="FAFAFA" w:val="clear"/>
          </w:tcPr>
          <w:p>
            <w:r>
              <w:rPr>
                <w:sz w:val="17"/>
              </w:rPr>
              <w:t>39,216</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37,186</w:t>
            </w:r>
          </w:p>
        </w:tc>
        <w:tc>
          <w:tcPr>
            <w:tcW w:type="dxa" w:w="1440"/>
            <w:shd w:fill="FAFAFA" w:val="clear"/>
          </w:tcPr>
          <w:p>
            <w:r>
              <w:rPr>
                <w:b/>
                <w:sz w:val="17"/>
              </w:rPr>
              <w:t>38,359</w:t>
            </w:r>
          </w:p>
        </w:tc>
        <w:tc>
          <w:tcPr>
            <w:tcW w:type="dxa" w:w="1440"/>
            <w:shd w:fill="FAFAFA" w:val="clear"/>
          </w:tcPr>
          <w:p>
            <w:r>
              <w:rPr>
                <w:sz w:val="17"/>
              </w:rPr>
              <w:t>39,531</w:t>
            </w:r>
          </w:p>
        </w:tc>
        <w:tc>
          <w:tcPr>
            <w:tcW w:type="dxa" w:w="1440"/>
            <w:shd w:fill="FAFAFA" w:val="clear"/>
          </w:tcPr>
          <w:p>
            <w:r>
              <w:rPr>
                <w:b/>
                <w:color w:val="008000"/>
                <w:sz w:val="17"/>
              </w:rPr>
              <w:t>+1.1%</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37,191</w:t>
            </w:r>
          </w:p>
        </w:tc>
        <w:tc>
          <w:tcPr>
            <w:tcW w:type="dxa" w:w="1440"/>
            <w:shd w:fill="FAFAFA" w:val="clear"/>
          </w:tcPr>
          <w:p>
            <w:r>
              <w:rPr>
                <w:b/>
                <w:sz w:val="17"/>
              </w:rPr>
              <w:t>38,507</w:t>
            </w:r>
          </w:p>
        </w:tc>
        <w:tc>
          <w:tcPr>
            <w:tcW w:type="dxa" w:w="1440"/>
            <w:shd w:fill="FAFAFA" w:val="clear"/>
          </w:tcPr>
          <w:p>
            <w:r>
              <w:rPr>
                <w:sz w:val="17"/>
              </w:rPr>
              <w:t>39,823</w:t>
            </w:r>
          </w:p>
        </w:tc>
        <w:tc>
          <w:tcPr>
            <w:tcW w:type="dxa" w:w="1440"/>
            <w:shd w:fill="FAFAFA" w:val="clear"/>
          </w:tcPr>
          <w:p>
            <w:r>
              <w:rPr>
                <w:b/>
                <w:color w:val="008000"/>
                <w:sz w:val="17"/>
              </w:rPr>
              <w:t>+1.5%</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37,204</w:t>
            </w:r>
          </w:p>
        </w:tc>
        <w:tc>
          <w:tcPr>
            <w:tcW w:type="dxa" w:w="1440"/>
            <w:shd w:fill="FAFAFA" w:val="clear"/>
          </w:tcPr>
          <w:p>
            <w:r>
              <w:rPr>
                <w:b/>
                <w:sz w:val="17"/>
              </w:rPr>
              <w:t>38,651</w:t>
            </w:r>
          </w:p>
        </w:tc>
        <w:tc>
          <w:tcPr>
            <w:tcW w:type="dxa" w:w="1440"/>
            <w:shd w:fill="FAFAFA" w:val="clear"/>
          </w:tcPr>
          <w:p>
            <w:r>
              <w:rPr>
                <w:sz w:val="17"/>
              </w:rPr>
              <w:t>40,099</w:t>
            </w:r>
          </w:p>
        </w:tc>
        <w:tc>
          <w:tcPr>
            <w:tcW w:type="dxa" w:w="1440"/>
            <w:shd w:fill="FAFAFA" w:val="clear"/>
          </w:tcPr>
          <w:p>
            <w:r>
              <w:rPr>
                <w:b/>
                <w:color w:val="008000"/>
                <w:sz w:val="17"/>
              </w:rPr>
              <w:t>+1.8%</w:t>
            </w:r>
          </w:p>
        </w:tc>
      </w:tr>
      <w:tr>
        <w:tc>
          <w:tcPr>
            <w:tcW w:type="dxa" w:w="1440"/>
            <w:shd w:fill="C6EFCE" w:val="clear"/>
          </w:tcPr>
          <w:p>
            <w:r>
              <w:rPr>
                <w:sz w:val="17"/>
              </w:rPr>
              <w:t>J+7  Moyenne</w:t>
            </w:r>
          </w:p>
        </w:tc>
        <w:tc>
          <w:tcPr>
            <w:tcW w:type="dxa" w:w="1440"/>
            <w:shd w:fill="C6EFCE" w:val="clear"/>
          </w:tcPr>
          <w:p>
            <w:r>
              <w:rPr>
                <w:sz w:val="17"/>
              </w:rPr>
              <w:t>2026-10-20</w:t>
            </w:r>
          </w:p>
        </w:tc>
        <w:tc>
          <w:tcPr>
            <w:tcW w:type="dxa" w:w="1440"/>
            <w:shd w:fill="C6EFCE" w:val="clear"/>
          </w:tcPr>
          <w:p>
            <w:r>
              <w:rPr>
                <w:sz w:val="17"/>
              </w:rPr>
              <w:t>37,223</w:t>
            </w:r>
          </w:p>
        </w:tc>
        <w:tc>
          <w:tcPr>
            <w:tcW w:type="dxa" w:w="1440"/>
            <w:shd w:fill="C6EFCE" w:val="clear"/>
          </w:tcPr>
          <w:p>
            <w:r>
              <w:rPr>
                <w:b/>
                <w:sz w:val="17"/>
              </w:rPr>
              <w:t>38,792</w:t>
            </w:r>
          </w:p>
        </w:tc>
        <w:tc>
          <w:tcPr>
            <w:tcW w:type="dxa" w:w="1440"/>
            <w:shd w:fill="C6EFCE" w:val="clear"/>
          </w:tcPr>
          <w:p>
            <w:r>
              <w:rPr>
                <w:sz w:val="17"/>
              </w:rPr>
              <w:t>40,361</w:t>
            </w:r>
          </w:p>
        </w:tc>
        <w:tc>
          <w:tcPr>
            <w:tcW w:type="dxa" w:w="1440"/>
            <w:shd w:fill="C6EFCE" w:val="clear"/>
          </w:tcPr>
          <w:p>
            <w:r>
              <w:rPr>
                <w:b/>
                <w:color w:val="008000"/>
                <w:sz w:val="17"/>
              </w:rPr>
              <w:t>+2.2%</w:t>
            </w:r>
          </w:p>
        </w:tc>
      </w:tr>
      <w:tr>
        <w:tc>
          <w:tcPr>
            <w:tcW w:type="dxa" w:w="1440"/>
            <w:shd w:fill="C6EFCE" w:val="clear"/>
          </w:tcPr>
          <w:p>
            <w:r>
              <w:rPr>
                <w:sz w:val="17"/>
              </w:rPr>
              <w:t>J+8  Moyenne</w:t>
            </w:r>
          </w:p>
        </w:tc>
        <w:tc>
          <w:tcPr>
            <w:tcW w:type="dxa" w:w="1440"/>
            <w:shd w:fill="C6EFCE" w:val="clear"/>
          </w:tcPr>
          <w:p>
            <w:r>
              <w:rPr>
                <w:sz w:val="17"/>
              </w:rPr>
              <w:t>2026-10-21</w:t>
            </w:r>
          </w:p>
        </w:tc>
        <w:tc>
          <w:tcPr>
            <w:tcW w:type="dxa" w:w="1440"/>
            <w:shd w:fill="C6EFCE" w:val="clear"/>
          </w:tcPr>
          <w:p>
            <w:r>
              <w:rPr>
                <w:sz w:val="17"/>
              </w:rPr>
              <w:t>37,247</w:t>
            </w:r>
          </w:p>
        </w:tc>
        <w:tc>
          <w:tcPr>
            <w:tcW w:type="dxa" w:w="1440"/>
            <w:shd w:fill="C6EFCE" w:val="clear"/>
          </w:tcPr>
          <w:p>
            <w:r>
              <w:rPr>
                <w:b/>
                <w:sz w:val="17"/>
              </w:rPr>
              <w:t>38,930</w:t>
            </w:r>
          </w:p>
        </w:tc>
        <w:tc>
          <w:tcPr>
            <w:tcW w:type="dxa" w:w="1440"/>
            <w:shd w:fill="C6EFCE" w:val="clear"/>
          </w:tcPr>
          <w:p>
            <w:r>
              <w:rPr>
                <w:sz w:val="17"/>
              </w:rPr>
              <w:t>40,613</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2026-10-22</w:t>
            </w:r>
          </w:p>
        </w:tc>
        <w:tc>
          <w:tcPr>
            <w:tcW w:type="dxa" w:w="1440"/>
            <w:shd w:fill="C6EFCE" w:val="clear"/>
          </w:tcPr>
          <w:p>
            <w:r>
              <w:rPr>
                <w:sz w:val="17"/>
              </w:rPr>
              <w:t>37,274</w:t>
            </w:r>
          </w:p>
        </w:tc>
        <w:tc>
          <w:tcPr>
            <w:tcW w:type="dxa" w:w="1440"/>
            <w:shd w:fill="C6EFCE" w:val="clear"/>
          </w:tcPr>
          <w:p>
            <w:r>
              <w:rPr>
                <w:b/>
                <w:sz w:val="17"/>
              </w:rPr>
              <w:t>39,066</w:t>
            </w:r>
          </w:p>
        </w:tc>
        <w:tc>
          <w:tcPr>
            <w:tcW w:type="dxa" w:w="1440"/>
            <w:shd w:fill="C6EFCE" w:val="clear"/>
          </w:tcPr>
          <w:p>
            <w:r>
              <w:rPr>
                <w:sz w:val="17"/>
              </w:rPr>
              <w:t>40,857</w:t>
            </w:r>
          </w:p>
        </w:tc>
        <w:tc>
          <w:tcPr>
            <w:tcW w:type="dxa" w:w="1440"/>
            <w:shd w:fill="C6EFCE" w:val="clear"/>
          </w:tcPr>
          <w:p>
            <w:r>
              <w:rPr>
                <w:b/>
                <w:color w:val="008000"/>
                <w:sz w:val="17"/>
              </w:rPr>
              <w:t>+2.9%</w:t>
            </w:r>
          </w:p>
        </w:tc>
      </w:tr>
      <w:tr>
        <w:tc>
          <w:tcPr>
            <w:tcW w:type="dxa" w:w="1440"/>
            <w:shd w:fill="C6EFCE" w:val="clear"/>
          </w:tcPr>
          <w:p>
            <w:r>
              <w:rPr>
                <w:sz w:val="17"/>
              </w:rPr>
              <w:t>J+10  Moyenne</w:t>
            </w:r>
          </w:p>
        </w:tc>
        <w:tc>
          <w:tcPr>
            <w:tcW w:type="dxa" w:w="1440"/>
            <w:shd w:fill="C6EFCE" w:val="clear"/>
          </w:tcPr>
          <w:p>
            <w:r>
              <w:rPr>
                <w:sz w:val="17"/>
              </w:rPr>
              <w:t>2026-10-23</w:t>
            </w:r>
          </w:p>
        </w:tc>
        <w:tc>
          <w:tcPr>
            <w:tcW w:type="dxa" w:w="1440"/>
            <w:shd w:fill="C6EFCE" w:val="clear"/>
          </w:tcPr>
          <w:p>
            <w:r>
              <w:rPr>
                <w:sz w:val="17"/>
              </w:rPr>
              <w:t>37,304</w:t>
            </w:r>
          </w:p>
        </w:tc>
        <w:tc>
          <w:tcPr>
            <w:tcW w:type="dxa" w:w="1440"/>
            <w:shd w:fill="C6EFCE" w:val="clear"/>
          </w:tcPr>
          <w:p>
            <w:r>
              <w:rPr>
                <w:b/>
                <w:sz w:val="17"/>
              </w:rPr>
              <w:t>39,199</w:t>
            </w:r>
          </w:p>
        </w:tc>
        <w:tc>
          <w:tcPr>
            <w:tcW w:type="dxa" w:w="1440"/>
            <w:shd w:fill="C6EFCE" w:val="clear"/>
          </w:tcPr>
          <w:p>
            <w:r>
              <w:rPr>
                <w:sz w:val="17"/>
              </w:rPr>
              <w:t>41,093</w:t>
            </w:r>
          </w:p>
        </w:tc>
        <w:tc>
          <w:tcPr>
            <w:tcW w:type="dxa" w:w="1440"/>
            <w:shd w:fill="C6EFCE" w:val="clear"/>
          </w:tcPr>
          <w:p>
            <w:r>
              <w:rPr>
                <w:b/>
                <w:color w:val="008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Secteur : Entreprise (Boissons &amp; Limonaderies)*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624,69 milliards FCFA, SOLIBRA s'impose comme l'une des plus importantes capitalisations de la BRVM, ce qui témoigne de sa stature de leader régional dans le secteur des boissons. Le BPA de 2 781 FCFA/action signifie que chaque titre génère près de 2 800 FCFA de bénéfice net, un niveau remarquable qui traduit la forte rentabilité de l'entreprise. Le PER de 13,6x se situe légèrement au-dessus de la moyenne BRVM (8-12x), mais reste modéré au regard de la croissance exceptionnelle du résultat net (+113% en 2025), ce qui suggère que le marché n'intègre pas encore pleinement le potentiel de croissance. Le P/B de 3,20x indique que le marché valorise SOLIBRA à 3,2 fois sa valeur comptable, une prime de croissance justifiée par un ROE de 23,46% (largement supérieur au seuil de 15% considéré comme excellent). Enfin, l'EV/EBITDA de 7,4x, dans la fourchette raisonnable de 5-10x, confirme que la valeur totale de l'entreprise (dette incluse) reste cohérente avec sa capacité opérationnelle, offrant un profil de valorisation équilibré entre qualité et prix.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quasi-nulle de +0,13%, mais la dernière séance (J-1) enregistre un bond significatif de +2,32%, portant le cours actuel à 37 950 FCFA. Le range de trading s'établit entre un plus bas de 36 900 FCFA et un plus haut de 41 500 FCFA, soit une amplitude de 12,5% qui reflète une certaine nervosité du marché. La tendance générale est à la stabilisation après une phase de correction depuis les sommets, le cours évoluant désormais dans la partie basse de sa fourchette. Les statistiques descriptives révèlent une moyenne de 38 263 FCFA légèrement supérieure à la médiane de 38 000 FCFA, avec un mode identique à 38 000 FCFA, suggérant une distribution relativement symétrique mais avec quelques journées de forte hausse tirant la moyenne vers le haut. L'écart-type de 868 FCFA (CV de 2,3%) indique une dispersion très faible du cours, caractéristique d'un titre peu volatil sur la période. Le kurtosis de 0,714 (mésokurtique) signifie que la distribution des rendements est proche d'une loi normale, sans risque excessif de pics extrêmes, tandis que le skewness de 0,809 (asymétrie positive) révèle paradoxalement plus de journées sous la moyenne, mais avec des hausses ponctuelles plus amples que les baisses. La volatilité annualisée de 24,6% positionne SLBC dans la catégorie des titres à volatilité modérée (15-30%), offrant un profil risque/rendement équilibré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(37 746,5 FCFA) et la MM50 (37 684,6 FCFA) se situent toutes deux sous le cours actuel (37 950 FCFA), avec la MM20 légèrement au-dessus de la MM50, configurant un croisement haussier naissant. Cette configuration technique justifie la décision d'ACHAT, le cours évoluant au-dessus de ses supports mobiles qui agissent comme des zones d'accumulation.</w:t>
      </w:r>
    </w:p>
    <w:p>
      <w:pPr>
        <w:spacing w:after="120" w:line="276" w:lineRule="auto"/>
      </w:pPr>
      <w:r>
        <w:t>**Bandes de Bollinger** : Le cours actuel (37 950 FCFA) se situe dans la partie médiane-haute des bandes, entre la borne inférieure (37 094,765 FCFA) et la borne supérieure (38 398,235 FCFA). L'écart relativement étroit entre les bornes (1 303 FCFA) traduit une faible volatilité récente, et la position neutre du cours au sein du canal justifie la décision NEUTRE, en attendant une cassure directionnelle.</w:t>
      </w:r>
    </w:p>
    <w:p>
      <w:pPr>
        <w:spacing w:after="120" w:line="276" w:lineRule="auto"/>
      </w:pPr>
      <w:r>
        <w:t>**MACD** : La valeur du MACD (-118,322) est inférieure à son signal (-103,724), générant un histogramme négatif qui indique un momentum baissier persistant. Cette divergence négative justifie la décision de VENTE, bien que l'écart entre les deux lignes se réduise, suggérant un possible retournement à court terme.</w:t>
      </w:r>
    </w:p>
    <w:p>
      <w:pPr>
        <w:spacing w:after="120" w:line="276" w:lineRule="auto"/>
      </w:pPr>
      <w:r>
        <w:t>**RSI** : À 49,158, le RSI se situe parfaitement dans la zone neutre (30-70), sans signal de surachat ni de survente. Cette position médiane reflète l'équilibre actuel entre acheteurs et vendeurs, justifiant la décision NEUTRE et l'absence de signal directionnel fort.</w:t>
      </w:r>
    </w:p>
    <w:p>
      <w:pPr>
        <w:spacing w:after="120" w:line="276" w:lineRule="auto"/>
      </w:pPr>
      <w:r>
        <w:t>**Stochastique** : Le %K (95,0) est nettement supérieur au %D (48,0), avec un %K en zone de surachat extrême (&gt;80). Cette configuration signale une possible correction imminente, justifiant la décision de VENTE, bien que le croisement récent des deux lignes puisse indiquer un essoufflement de la dynamique haussière.</w:t>
      </w:r>
    </w:p>
    <w:p>
      <w:pPr>
        <w:spacing w:after="120" w:line="276" w:lineRule="auto"/>
      </w:pPr>
      <w:r>
        <w:t>**Conclusion technique** : Les indicateurs techniques présentent un tableau mitigé, avec des signaux contradictoires. Les moyennes mobiles plaident pour un achat (cours au-dessus des supports), tandis que le MACD et le stochastique suggèrent une vente (momentum négatif et surachat). Le RSI et les bandes de Bollinger confirment une phase de neutralité, sans direction claire. Cette divergence technique appelle à la prudence, le titre semblant en phase de consolidation avant un éventuel mouvement directionnel.</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SOLIBRA a réalisé un chiffre d'affaires de 378,123 milliards FCFA, en croissance de 22,08% par rapport à 2024, portée par une hausse des volumes distribués. Le résultat net s'établit à 45,781 milliards FCFA, plus que doublant (+113%) par rapport aux 21,472 milliards de 2024. Cette performance exceptionnelle se traduit par un ROE de 23,46% (excellent, &gt;15%) et un ROA de 13,48%, confirmant l'efficacité de l'entreprise à générer des profits à partir de ses fonds propres et de ses actifs. La marge nette progresse spectaculairement de 6,9% en 2024 à 12,1% en 2025, tandis que la marge opérationnelle atteint 17,23% et la marge brute 76,21%. La structure financière est saine avec une autonomie financière de 57,48% (capitaux propres/total bilan), un ratio d'endettement maîtrisé de 42,52%, et une trésorerie nette positive de 22,117 milliards FCFA. Le BFR de 61,587 milliards FCFA, bien que positif, reste sous contrôle, et les délais d'exploitation (64 jours clients, 77 jours fournisseurs, 117 jours de stockage) reflètent une gestion rigoureuse du cycle d'exploitation. La capacité de remboursement de 0,67 an (dettes financières/CAF) et la couverture des intérêts de 3 374,68% témoignent d'une solidité financière remarquable.</w:t>
      </w:r>
    </w:p>
    <w:p>
      <w:pPr>
        <w:spacing w:after="120" w:line="276" w:lineRule="auto"/>
      </w:pPr>
      <w:r>
        <w:t>**Estimations basées sur les rapports trimestriels** : Le rapport T1 2026 (publié en 2026) révèle une croissance du chiffre d'affaires de +7,6% à 93,46 milliards FCFA, avec un volume distribué en hausse de +9,6% (1,839 million d'hectolitres). Le résultat net progresse de +4,8% à 16,26 milliards FCFA, et la marge nette se maintient à un niveau élevé de 17,4%. Sur la base de ces performances trimestrielles, on peut estimer que l'exercice 2026 devrait enregistrer une croissance du chiffre d'affaires comprise entre 8% et 12%, avec un résultat net potentiellement supérieur à 50 milliards FCFA si la dynamique se poursuit. Le rapport S1 2025 (daté du 30 juin 2025) confirme cette tendance avec un chiffre d'affaires de 165,8 milliards FCFA (+12,3%) et un résultat net de 28,0 milliards FCFA (+175,1%), porté par une marge opérationnelle de 23,3% et une marge nette de 16,9%. Ces performances semestrielles exceptionnelles valident la trajectoire de croissance et la maîtrise des coûts.</w:t>
      </w:r>
    </w:p>
    <w:p>
      <w:pPr>
        <w:spacing w:after="120" w:line="276" w:lineRule="auto"/>
      </w:pPr>
      <w:r>
        <w:t>**Évolution pluriannuelle** : L'analyse des rapports antérieurs (2023, 2024) montre une nette amélioration de la rentabilité. En 2023, le chiffre d'affaires était de 311,395 milliards FCFA avec un résultat net de 15,078 milliards (marge nette de 4,8%). En 2024, malgré une légère baisse du CA (-0,54% à 309,722 milliards), le résultat net bondit à 21,472 milliards (marge nette de 6,9%), grâce à une réduction des charges financières (-21,9%) et une amélioration de l'EBE (+39,5%). L'année 2025 marque un tournant avec une explosion de la rentabilité, confirmant la réussite de la stratégie de désendettement et d'optimisation opérationnelle.</w:t>
      </w:r>
    </w:p>
    <w:p>
      <w:pPr>
        <w:spacing w:after="120" w:line="276" w:lineRule="auto"/>
      </w:pPr>
      <w:r>
        <w:t>**Recommandation fondamentale** : SOLIBRA présente des fondamentaux exceptionnels avec une croissance robuste, une rentabilité en forte hausse, une structure financière solide et une politique de dividende attractive (dividende de 2 127 FCFA/action proposé pour 2025, soit un rendement de 5,6% au cours actuel de 37 950 FCFA). Les risques identifiés incluent la dépendance aux matières premières (90 milliards FCFA d'achats exposés à la volatilité des prix), la concentration géographique sur le marché ivoirien, et la soutenabilité de la croissance à deux chiffres. Néanmoins, la position de leader, la solidité du bilan et les perspectives favorables justifient une recommandation d'ACHAT pour les investisseurs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attractif malgré quelques signaux techniques contradictoires. La valorisation (Partie 0) apparaît raisonnable avec un PER de 13,6x légèrement supérieur à la moyenne BRVM mais justifié par une croissance exceptionnelle, un P/B de 3,20x reflétant une prime de qualité, et un EV/EBITDA de 7,4x dans la fourchette basse du secteur. Le comportement du cours (Partie 1) montre une stabilisation après correction, avec une volatilité modérée (24,6%) et une distribution des rendements proche de la normale (kurtosis 0,714), sans risque excessif de pics extrêmes, bien que le skewness positif (0,809) indique une asymétrie favorable aux hausses ponctuelles. Les signaux techniques (Partie 2) sont mitigés : les moyennes mobiles plaident pour un achat, mais le MACD et le stochastique suggèrent une prudence à court terme, le RSI et les bandes de Bollinger confirmant une phase de neutralité. Les fondamentaux (Partie 3) sont exceptionnels avec un chiffre d'affaires de 378,123 milliards FCFA en 2025 (+22%), un résultat net de 45,781 milliards FCFA (+113%), un ROE de 23,46% et une marge nette de 12,1%, tandis que le rapport T1 2026 confirme la poursuite de la dynamique (+7,6% de CA, +4,8% de résultat net). Les prédictions IA (J+1 à J+10) anticipent une trajectoire haussière modérée, avec un cours cible de 38 507 FCFA à J+10 (+1,5% par rapport au cours actuel), ce qui confirme la tendance positive sans excès d'optimisme.</w:t>
      </w:r>
    </w:p>
    <w:p>
      <w:pPr>
        <w:spacing w:after="120" w:line="276" w:lineRule="auto"/>
      </w:pPr>
      <w:r>
        <w:t>**Recommandation finale : ACHAT**</w:t>
      </w:r>
    </w:p>
    <w:p>
      <w:pPr>
        <w:spacing w:after="120" w:line="276" w:lineRule="auto"/>
      </w:pPr>
      <w:r>
        <w:t>Cette recommandation est justifiée par la convergence entre des fondamentaux exceptionnels (croissance, rentabilité, solidité financière), une valorisation raisonnable (PER de 13,6x, EV/EBITDA de 7,4x), et des perspectives favorables confirmées par les rapports trimestriels. Les signaux techniques mitigés à court terme ne remettent pas en cause la tendance de fond, et les prédictions IA confirment une trajectoire haussière modérée. Le niveau de confiance est **Élevé** pour les investisseurs de long terme, **Moyen** pour les investisseurs à court terme en raison des signaux techniques contradictoires. Le niveau de risque global est **Moyen**, pondéré par la dépendance aux matières premières et la concentration géographique, mais atténué par la solidité du bilan et la position de leader. L'horizon d'investissement optimal est le **long terme (&gt;1 an)** pour bénéficier de la croissance structurelle et du dividende attractif (rendement de 5,6%), avec une possibilité d'entrée progressive pour les investisseurs à moyen terme (3-12 mois) en profitant des phases de consolidation.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1,655 titres</w:t>
            </w:r>
          </w:p>
        </w:tc>
        <w:tc>
          <w:tcPr>
            <w:tcW w:type="dxa" w:w="2268"/>
            <w:shd w:fill="FFF2CC" w:val="clear"/>
          </w:tcPr>
          <w:p>
            <w:r>
              <w:rPr>
                <w:b/>
                <w:color w:val="503200"/>
                <w:sz w:val="16"/>
              </w:rPr>
              <w:t xml:space="preserve">Cours actuel : </w:t>
            </w:r>
            <w:r>
              <w:rPr>
                <w:color w:val="000000"/>
                <w:sz w:val="17"/>
              </w:rPr>
              <w:t>15,800 FCFA</w:t>
            </w:r>
          </w:p>
          <w:p>
            <w:r>
              <w:rPr>
                <w:b/>
                <w:color w:val="503200"/>
                <w:sz w:val="16"/>
              </w:rPr>
              <w:t xml:space="preserve">Var. 100 jours : </w:t>
            </w:r>
            <w:r>
              <w:rPr>
                <w:b/>
                <w:color w:val="007800"/>
                <w:sz w:val="17"/>
              </w:rPr>
              <w:t>+23.44%</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12,500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8.69% (Moyenne) — μ=16,128 FCFA, σ=1,401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β=0.3732 (Défensif) — Cov=0.000027, Var(idx)=0.000073, ρ=0.119,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15,119</w:t>
            </w:r>
          </w:p>
        </w:tc>
        <w:tc>
          <w:tcPr>
            <w:tcW w:type="dxa" w:w="1440"/>
            <w:shd w:fill="FAFAFA" w:val="clear"/>
          </w:tcPr>
          <w:p>
            <w:r>
              <w:rPr>
                <w:b/>
                <w:sz w:val="17"/>
              </w:rPr>
              <w:t>15,909</w:t>
            </w:r>
          </w:p>
        </w:tc>
        <w:tc>
          <w:tcPr>
            <w:tcW w:type="dxa" w:w="1440"/>
            <w:shd w:fill="FAFAFA" w:val="clear"/>
          </w:tcPr>
          <w:p>
            <w:r>
              <w:rPr>
                <w:sz w:val="17"/>
              </w:rPr>
              <w:t>16,699</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14,754</w:t>
            </w:r>
          </w:p>
        </w:tc>
        <w:tc>
          <w:tcPr>
            <w:tcW w:type="dxa" w:w="1440"/>
            <w:shd w:fill="FAFAFA" w:val="clear"/>
          </w:tcPr>
          <w:p>
            <w:r>
              <w:rPr>
                <w:b/>
                <w:sz w:val="17"/>
              </w:rPr>
              <w:t>15,869</w:t>
            </w:r>
          </w:p>
        </w:tc>
        <w:tc>
          <w:tcPr>
            <w:tcW w:type="dxa" w:w="1440"/>
            <w:shd w:fill="FAFAFA" w:val="clear"/>
          </w:tcPr>
          <w:p>
            <w:r>
              <w:rPr>
                <w:sz w:val="17"/>
              </w:rPr>
              <w:t>16,984</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14,483</w:t>
            </w:r>
          </w:p>
        </w:tc>
        <w:tc>
          <w:tcPr>
            <w:tcW w:type="dxa" w:w="1440"/>
            <w:shd w:fill="FAFAFA" w:val="clear"/>
          </w:tcPr>
          <w:p>
            <w:r>
              <w:rPr>
                <w:b/>
                <w:sz w:val="17"/>
              </w:rPr>
              <w:t>15,846</w:t>
            </w:r>
          </w:p>
        </w:tc>
        <w:tc>
          <w:tcPr>
            <w:tcW w:type="dxa" w:w="1440"/>
            <w:shd w:fill="FAFAFA" w:val="clear"/>
          </w:tcPr>
          <w:p>
            <w:r>
              <w:rPr>
                <w:sz w:val="17"/>
              </w:rPr>
              <w:t>17,210</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14,247</w:t>
            </w:r>
          </w:p>
        </w:tc>
        <w:tc>
          <w:tcPr>
            <w:tcW w:type="dxa" w:w="1440"/>
            <w:shd w:fill="FAFAFA" w:val="clear"/>
          </w:tcPr>
          <w:p>
            <w:r>
              <w:rPr>
                <w:b/>
                <w:sz w:val="17"/>
              </w:rPr>
              <w:t>15,819</w:t>
            </w:r>
          </w:p>
        </w:tc>
        <w:tc>
          <w:tcPr>
            <w:tcW w:type="dxa" w:w="1440"/>
            <w:shd w:fill="FAFAFA" w:val="clear"/>
          </w:tcPr>
          <w:p>
            <w:r>
              <w:rPr>
                <w:sz w:val="17"/>
              </w:rPr>
              <w:t>17,391</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14,036</w:t>
            </w:r>
          </w:p>
        </w:tc>
        <w:tc>
          <w:tcPr>
            <w:tcW w:type="dxa" w:w="1440"/>
            <w:shd w:fill="FAFAFA" w:val="clear"/>
          </w:tcPr>
          <w:p>
            <w:r>
              <w:rPr>
                <w:b/>
                <w:sz w:val="17"/>
              </w:rPr>
              <w:t>15,790</w:t>
            </w:r>
          </w:p>
        </w:tc>
        <w:tc>
          <w:tcPr>
            <w:tcW w:type="dxa" w:w="1440"/>
            <w:shd w:fill="FAFAFA" w:val="clear"/>
          </w:tcPr>
          <w:p>
            <w:r>
              <w:rPr>
                <w:sz w:val="17"/>
              </w:rPr>
              <w:t>17,544</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13,843</w:t>
            </w:r>
          </w:p>
        </w:tc>
        <w:tc>
          <w:tcPr>
            <w:tcW w:type="dxa" w:w="1440"/>
            <w:shd w:fill="FAFAFA" w:val="clear"/>
          </w:tcPr>
          <w:p>
            <w:r>
              <w:rPr>
                <w:b/>
                <w:sz w:val="17"/>
              </w:rPr>
              <w:t>15,761</w:t>
            </w:r>
          </w:p>
        </w:tc>
        <w:tc>
          <w:tcPr>
            <w:tcW w:type="dxa" w:w="1440"/>
            <w:shd w:fill="FAFAFA" w:val="clear"/>
          </w:tcPr>
          <w:p>
            <w:r>
              <w:rPr>
                <w:sz w:val="17"/>
              </w:rPr>
              <w:t>17,679</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13,664</w:t>
            </w:r>
          </w:p>
        </w:tc>
        <w:tc>
          <w:tcPr>
            <w:tcW w:type="dxa" w:w="1440"/>
            <w:shd w:fill="FAFAFA" w:val="clear"/>
          </w:tcPr>
          <w:p>
            <w:r>
              <w:rPr>
                <w:b/>
                <w:sz w:val="17"/>
              </w:rPr>
              <w:t>15,732</w:t>
            </w:r>
          </w:p>
        </w:tc>
        <w:tc>
          <w:tcPr>
            <w:tcW w:type="dxa" w:w="1440"/>
            <w:shd w:fill="FAFAFA" w:val="clear"/>
          </w:tcPr>
          <w:p>
            <w:r>
              <w:rPr>
                <w:sz w:val="17"/>
              </w:rPr>
              <w:t>17,800</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13,497</w:t>
            </w:r>
          </w:p>
        </w:tc>
        <w:tc>
          <w:tcPr>
            <w:tcW w:type="dxa" w:w="1440"/>
            <w:shd w:fill="FAFAFA" w:val="clear"/>
          </w:tcPr>
          <w:p>
            <w:r>
              <w:rPr>
                <w:b/>
                <w:sz w:val="17"/>
              </w:rPr>
              <w:t>15,703</w:t>
            </w:r>
          </w:p>
        </w:tc>
        <w:tc>
          <w:tcPr>
            <w:tcW w:type="dxa" w:w="1440"/>
            <w:shd w:fill="FAFAFA" w:val="clear"/>
          </w:tcPr>
          <w:p>
            <w:r>
              <w:rPr>
                <w:sz w:val="17"/>
              </w:rPr>
              <w:t>17,910</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13,339</w:t>
            </w:r>
          </w:p>
        </w:tc>
        <w:tc>
          <w:tcPr>
            <w:tcW w:type="dxa" w:w="1440"/>
            <w:shd w:fill="FAFAFA" w:val="clear"/>
          </w:tcPr>
          <w:p>
            <w:r>
              <w:rPr>
                <w:b/>
                <w:sz w:val="17"/>
              </w:rPr>
              <w:t>15,675</w:t>
            </w:r>
          </w:p>
        </w:tc>
        <w:tc>
          <w:tcPr>
            <w:tcW w:type="dxa" w:w="1440"/>
            <w:shd w:fill="FAFAFA" w:val="clear"/>
          </w:tcPr>
          <w:p>
            <w:r>
              <w:rPr>
                <w:sz w:val="17"/>
              </w:rPr>
              <w:t>18,011</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13,189</w:t>
            </w:r>
          </w:p>
        </w:tc>
        <w:tc>
          <w:tcPr>
            <w:tcW w:type="dxa" w:w="1440"/>
            <w:shd w:fill="FAFAFA" w:val="clear"/>
          </w:tcPr>
          <w:p>
            <w:r>
              <w:rPr>
                <w:b/>
                <w:sz w:val="17"/>
              </w:rPr>
              <w:t>15,647</w:t>
            </w:r>
          </w:p>
        </w:tc>
        <w:tc>
          <w:tcPr>
            <w:tcW w:type="dxa" w:w="1440"/>
            <w:shd w:fill="FAFAFA" w:val="clear"/>
          </w:tcPr>
          <w:p>
            <w:r>
              <w:rPr>
                <w:sz w:val="17"/>
              </w:rPr>
              <w:t>18,105</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 / Produits pétroliers)**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**123,16 Mds FCFA**, SMBC se positionne comme une valeur de taille intermédiaire sur la BRVM, loin des poids lourds bancaires et télécoms mais suffisamment liquide pour intéresser les investisseurs institutionnels régionaux. Le **BPA de 1 677 FCFA/action** pour un cours de 15 800 FCFA confère au titre un **PER de 9,4x**, légèrement inférieur à la moyenne BRVM (~8-12x), ce qui suggère une valorisation raisonnable voire légèrement sous-évaluée au regard de la qualité des bénéfices 2025. Le **P/B de 2,87x** traduit une prime de croissance accordée par le marché (les fonds propres par action ressortent à ~5 505 FCFA), cohérente avec un ROE exceptionnel de 30,5%. Enfin, l'**EV/EBITDA de 5,9x** situe la valeur totale de l'entreprise à moins de 6 fois sa capacité opérationnelle, un niveau modéré qui n'intègre pas de prime spéculative excessive — l'ensemble de ces ratios dresse le portrait d'un titre correctement valorisé, avec un léger biais favorable.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**progression totale de +23,44%**, malgré un repli marginal de **-0,63% lors de la dernière séance**, signe d'une consolidation après un mouvement haussier soutenu. Le titre a évolué dans un range large de **12 500 FCFA (plus bas) à 18 500 FCFA (plus haut)**, soit une amplitude de 48%, avant de se stabiliser à **15 800 FCFA**, légèrement en dessous de sa moyenne (16 128 FCFA) et de sa médiane (16 445 FCFA). L'écart faible entre moyenne et médiane (317 FCFA) indique une distribution globalement équilibrée, mais le **skewness de -0,987** révèle une asymétrie négative : le titre a passé davantage de séances au-dessus de sa moyenne, avec des pics haussiers plus marqués que les creux. L'**écart-type de 1 408 FCFA (CV = 8,7%)** traduit une dispersion modérée du cours autour de sa tendance, tandis que le **kurtosis de 0,509 (mésokurtique)** suggère une distribution proche de la normale, sans risque extrême de pics violents. La **volatilité annualisée de 42,5%** classe toutefois le titre dans la catégorie **élevée (&gt;30%)**, ce qui implique une prime de risque significative pour l'investisseur et justifie une approche prudente sur des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(16 575 FCFA) et la MM50 (16 693 FCFA) se situent toutes deux **au-dessus du cours actuel (15 800 FCFA)**, ce qui place le titre en position de faiblesse relative et confirme la **décision de Vente** émise par le croisement baissier. La MM20 étant légèrement sous la MM50, la configuration reste défavorable à court terme, bien que l'écart réduit (118 FCFA) suggère un possible aplatissement de la tendance baissière.</w:t>
      </w:r>
    </w:p>
    <w:p>
      <w:pPr>
        <w:spacing w:after="120" w:line="276" w:lineRule="auto"/>
      </w:pPr>
      <w:r>
        <w:t>**Bandes de Bollinger** — Le cours (15 800 FCFA) évolue dans la moitié inférieure de la bande, entre la borne inférieure (14 482 FCFA) et la borne supérieure (18 668 FCFA), avec une **décision Neutre**. L'absence de contact avec les bornes indique une volatilité contenue et l'absence de signal de retournement imminent ; le titre navigue en zone médiane, sans pression acheteuse ou vendeuse dominante.</w:t>
      </w:r>
    </w:p>
    <w:p>
      <w:pPr>
        <w:spacing w:after="120" w:line="276" w:lineRule="auto"/>
      </w:pPr>
      <w:r>
        <w:t>**MACD** — Le MACD (-255,5) est **nettement en dessous de son signal (-212,1)**, confirmant un momentum baissier persistant et justifiant la **décision de Vente**. L'histogramme négatif traduit une pression vendeuse toujours active, bien que l'ampleur de la divergence reste modérée, ce qui n'exclut pas un retournement si le cours se stabilise.</w:t>
      </w:r>
    </w:p>
    <w:p>
      <w:pPr>
        <w:spacing w:after="120" w:line="276" w:lineRule="auto"/>
      </w:pPr>
      <w:r>
        <w:t>**RSI** — À **41,4**, le RSI se situe en zone **neutre basse** (30-70), sans atteindre la zone de survente (&lt;30), ce qui justifie la **décision Neutre**. Le titre conserve un potentiel de baisse résiduel mais n'est pas encore techniquement survendu, ce qui invite à la patience avant tout renforcement.</w:t>
      </w:r>
    </w:p>
    <w:p>
      <w:pPr>
        <w:spacing w:after="120" w:line="276" w:lineRule="auto"/>
      </w:pPr>
      <w:r>
        <w:t>**Stochastique** — Le %K (47,7) est **en dessous du %D (59,3)**, configuration baissière classique, mais les deux courbes évoluent en zone médiane, ce qui explique la **décision Neutre**. Aucun croisement haussier n'est encore visible, mais la proximité des deux lignes suggère une possible inflexion à court terme.</w:t>
      </w:r>
    </w:p>
    <w:p>
      <w:pPr>
        <w:spacing w:after="120" w:line="276" w:lineRule="auto"/>
      </w:pPr>
      <w:r>
        <w:t>**Conclusion technique** — Les indicateurs sont majoritairement baissiers (MM, MACD) ou neutres (Bollinger, RSI, Stochastique), dessinant un tableau de **consolidation baissière modérée** plutôt que de retournement franc. Le titre se situe dans une zone de transition où les vendeurs gardent la main sans conviction extrême, ce qui plaide pour une **attente de confirmation** avant toute décision d'achat agressive.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certifiés de SMBC (rapport du 31/12/2025, analysé le 12/05/2026) révèlent un **chiffre d'affaires de 206 740 M FCFA**, en **baisse de 9,7%** par rapport à 2024 (229 061 M FCFA), mais un **résultat net en forte progression de +50,3% à 13 075 M FCFA** (contre 8 698 M FCFA en 2024). Cette performance paradoxale s'explique par une **amélioration spectaculaire des marges** : la marge nette passe de 3,8% à **6,3%**, l'EBE bondit de +41,8% à 18 480 M FCFA, et le **ROE atteint 30,5%** (contre ~24,6% en 2024), tandis que le **ROA s'établit à 7,3%**. En tant qu'entreprise industrielle, SMBC présente des **délais clients élevés de 193,75 jours** (créances clients de 109 743 M FCFA), un **délai fournisseurs de 207,07 jours** (avantage de trésorerie) et un **BFR de 1 693 M FCFA** — un niveau faible qui traduit une bonne gestion du cycle d'exploitation. La **trésorerie nette positive de 23 988 M FCFA** et un **ratio d'endettement de 76,2%** (dettes totales/capitaux propres) restent des points de vigilance, tout comme la **baisse du CA** qui interroge sur la dynamique commerciale. Les rapports trimestriels 2025 confirment cette tendance : le **T1 2025 (31/03/2025)** affichait un CA de 54,8 Mds FCFA (-22%) mais une marge nette en hausse à 5,0% ; le **S1 2025 (30/06/2025)** un CA de 101,9 Mds FCFA (-23%) avec un EBE en hausse de +38% ; le **T3 2025 (30/09/2025)** un CA cumulé de 155,2 Mds FCFA (-14%) et un résultat net de 5,7 Mds FCFA (+6%). **On estime donc que l'exercice 2025 devrait clôturer sur un résultat net autour de 13 Mds FCFA**, confirmant la résilience opérationnelle malgré la contraction des volumes. La recommandation fondamentale est de **CONSERVER**, avec un biais positif lié à la solidité du bilan et à l'amélioration structurelle des marges, mais une prudence justifiée par la baisse du CA et la dépendance aux cycles d'infrastructures.</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**contrasté mais globalement favorable à moyen terme**. La **valorisation (Partie 0)** est raisonnable (PER 9,4x, EV/EBITDA 5,9x) et n'intègre pas de prime excessive, ce qui limite le risque de correction brutale. Le **comportement du cours (Partie 1)** montre une tendance haussière sur 100 jours (+23,44%) mais une consolidation récente, avec une volatilité élevée (42,5%) et une asymétrie négative (skewness -0,987) qui suggèrent que les pics haussiers ont été plus fréquents que les creux — un signal plutôt rassurant. Les **signaux techniques (Partie 2)** sont majoritairement baissiers à court terme (MM, MACD) mais neutres sur les oscillateurs (RSI, Stochastique), ce qui plaide pour une **phase de consolidation** plutôt qu'un retournement. Les **fondamentaux (Partie 3)** sont solides : ROE de 30,5%, marge nette en hausse à 6,3%, trésorerie nette positive de 24 Mds FCFA, malgré une baisse du CA de 9,7% en 2025. Les **prédictions IA (J+1 à J+10)** anticipent une **légère dérive baissière** (15 909 → 15 790 FCFA), confirmant la pression vendeuse de court terme sans effondrement. **Recommandation finale : CONSERVER**, avec un **niveau de confiance Moyen** et un **risque global Moyen**. La convergence entre valorisation attractive, fondamentaux solides et technique baissière modérée justifie une position d'attente, avec un **horizon d'investissement de moyen terme (3-12 mois)** — le temps que la consolidation s'achève et que la dynamique commerciale se confirme. Un passage à l'**ACHAT** serait justifié si le cours se stabilise au-dessus de 16 500 FCFA (MM50) et si le CA reprend une trajectoire positive.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4498.00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13,495 titres</w:t>
            </w:r>
          </w:p>
        </w:tc>
        <w:tc>
          <w:tcPr>
            <w:tcW w:type="dxa" w:w="2268"/>
            <w:shd w:fill="FFF2CC" w:val="clear"/>
          </w:tcPr>
          <w:p>
            <w:r>
              <w:rPr>
                <w:b/>
                <w:color w:val="503200"/>
                <w:sz w:val="16"/>
              </w:rPr>
              <w:t xml:space="preserve">Cours actuel : </w:t>
            </w:r>
            <w:r>
              <w:rPr>
                <w:color w:val="000000"/>
                <w:sz w:val="17"/>
              </w:rPr>
              <w:t>44,980 FCFA</w:t>
            </w:r>
          </w:p>
          <w:p>
            <w:r>
              <w:rPr>
                <w:b/>
                <w:color w:val="503200"/>
                <w:sz w:val="16"/>
              </w:rPr>
              <w:t xml:space="preserve">Var. 100 jours : </w:t>
            </w:r>
            <w:r>
              <w:rPr>
                <w:b/>
                <w:color w:val="007800"/>
                <w:sz w:val="17"/>
              </w:rPr>
              <w:t>+56.18%</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31.1/100 → Moyen</w:t>
      </w:r>
    </w:p>
    <w:p>
      <w:pPr>
        <w:spacing w:before="40" w:after="80"/>
      </w:pPr>
      <w:r>
        <w:rPr>
          <w:rFonts w:ascii="Courier New" w:hAnsi="Courier New"/>
          <w:color w:val="825A00"/>
          <w:sz w:val="18"/>
        </w:rPr>
        <w:t>██████░░░░░░░░░░░░░░  31.1/100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16.03% (Élevée) — μ=33,563 FCFA, σ=5,380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β=1.2090 (Agressif) — Cov=0.000088, Var(idx)=0.000073, ρ=0.491,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13,495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σ_j=2.09%/j (Stable) — Vol. annualisée≈33.2%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43,251</w:t>
            </w:r>
          </w:p>
        </w:tc>
        <w:tc>
          <w:tcPr>
            <w:tcW w:type="dxa" w:w="1440"/>
            <w:shd w:fill="FAFAFA" w:val="clear"/>
          </w:tcPr>
          <w:p>
            <w:r>
              <w:rPr>
                <w:b/>
                <w:sz w:val="17"/>
              </w:rPr>
              <w:t>44,545</w:t>
            </w:r>
          </w:p>
        </w:tc>
        <w:tc>
          <w:tcPr>
            <w:tcW w:type="dxa" w:w="1440"/>
            <w:shd w:fill="FAFAFA" w:val="clear"/>
          </w:tcPr>
          <w:p>
            <w:r>
              <w:rPr>
                <w:sz w:val="17"/>
              </w:rPr>
              <w:t>45,839</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42,706</w:t>
            </w:r>
          </w:p>
        </w:tc>
        <w:tc>
          <w:tcPr>
            <w:tcW w:type="dxa" w:w="1440"/>
            <w:shd w:fill="FAFAFA" w:val="clear"/>
          </w:tcPr>
          <w:p>
            <w:r>
              <w:rPr>
                <w:b/>
                <w:sz w:val="17"/>
              </w:rPr>
              <w:t>44,535</w:t>
            </w:r>
          </w:p>
        </w:tc>
        <w:tc>
          <w:tcPr>
            <w:tcW w:type="dxa" w:w="1440"/>
            <w:shd w:fill="FAFAFA" w:val="clear"/>
          </w:tcPr>
          <w:p>
            <w:r>
              <w:rPr>
                <w:sz w:val="17"/>
              </w:rPr>
              <w:t>46,365</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42,267</w:t>
            </w:r>
          </w:p>
        </w:tc>
        <w:tc>
          <w:tcPr>
            <w:tcW w:type="dxa" w:w="1440"/>
            <w:shd w:fill="FAFAFA" w:val="clear"/>
          </w:tcPr>
          <w:p>
            <w:r>
              <w:rPr>
                <w:b/>
                <w:sz w:val="17"/>
              </w:rPr>
              <w:t>44,507</w:t>
            </w:r>
          </w:p>
        </w:tc>
        <w:tc>
          <w:tcPr>
            <w:tcW w:type="dxa" w:w="1440"/>
            <w:shd w:fill="FAFAFA" w:val="clear"/>
          </w:tcPr>
          <w:p>
            <w:r>
              <w:rPr>
                <w:sz w:val="17"/>
              </w:rPr>
              <w:t>46,746</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41,902</w:t>
            </w:r>
          </w:p>
        </w:tc>
        <w:tc>
          <w:tcPr>
            <w:tcW w:type="dxa" w:w="1440"/>
            <w:shd w:fill="FAFAFA" w:val="clear"/>
          </w:tcPr>
          <w:p>
            <w:r>
              <w:rPr>
                <w:b/>
                <w:sz w:val="17"/>
              </w:rPr>
              <w:t>44,487</w:t>
            </w:r>
          </w:p>
        </w:tc>
        <w:tc>
          <w:tcPr>
            <w:tcW w:type="dxa" w:w="1440"/>
            <w:shd w:fill="FAFAFA" w:val="clear"/>
          </w:tcPr>
          <w:p>
            <w:r>
              <w:rPr>
                <w:sz w:val="17"/>
              </w:rPr>
              <w:t>47,072</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41,586</w:t>
            </w:r>
          </w:p>
        </w:tc>
        <w:tc>
          <w:tcPr>
            <w:tcW w:type="dxa" w:w="1440"/>
            <w:shd w:fill="FAFAFA" w:val="clear"/>
          </w:tcPr>
          <w:p>
            <w:r>
              <w:rPr>
                <w:b/>
                <w:sz w:val="17"/>
              </w:rPr>
              <w:t>44,476</w:t>
            </w:r>
          </w:p>
        </w:tc>
        <w:tc>
          <w:tcPr>
            <w:tcW w:type="dxa" w:w="1440"/>
            <w:shd w:fill="FAFAFA" w:val="clear"/>
          </w:tcPr>
          <w:p>
            <w:r>
              <w:rPr>
                <w:sz w:val="17"/>
              </w:rPr>
              <w:t>47,365</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41,304</w:t>
            </w:r>
          </w:p>
        </w:tc>
        <w:tc>
          <w:tcPr>
            <w:tcW w:type="dxa" w:w="1440"/>
            <w:shd w:fill="FAFAFA" w:val="clear"/>
          </w:tcPr>
          <w:p>
            <w:r>
              <w:rPr>
                <w:b/>
                <w:sz w:val="17"/>
              </w:rPr>
              <w:t>44,469</w:t>
            </w:r>
          </w:p>
        </w:tc>
        <w:tc>
          <w:tcPr>
            <w:tcW w:type="dxa" w:w="1440"/>
            <w:shd w:fill="FAFAFA" w:val="clear"/>
          </w:tcPr>
          <w:p>
            <w:r>
              <w:rPr>
                <w:sz w:val="17"/>
              </w:rPr>
              <w:t>47,633</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41,045</w:t>
            </w:r>
          </w:p>
        </w:tc>
        <w:tc>
          <w:tcPr>
            <w:tcW w:type="dxa" w:w="1440"/>
            <w:shd w:fill="FAFAFA" w:val="clear"/>
          </w:tcPr>
          <w:p>
            <w:r>
              <w:rPr>
                <w:b/>
                <w:sz w:val="17"/>
              </w:rPr>
              <w:t>44,462</w:t>
            </w:r>
          </w:p>
        </w:tc>
        <w:tc>
          <w:tcPr>
            <w:tcW w:type="dxa" w:w="1440"/>
            <w:shd w:fill="FAFAFA" w:val="clear"/>
          </w:tcPr>
          <w:p>
            <w:r>
              <w:rPr>
                <w:sz w:val="17"/>
              </w:rPr>
              <w:t>47,880</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40,804</w:t>
            </w:r>
          </w:p>
        </w:tc>
        <w:tc>
          <w:tcPr>
            <w:tcW w:type="dxa" w:w="1440"/>
            <w:shd w:fill="FAFAFA" w:val="clear"/>
          </w:tcPr>
          <w:p>
            <w:r>
              <w:rPr>
                <w:b/>
                <w:sz w:val="17"/>
              </w:rPr>
              <w:t>44,457</w:t>
            </w:r>
          </w:p>
        </w:tc>
        <w:tc>
          <w:tcPr>
            <w:tcW w:type="dxa" w:w="1440"/>
            <w:shd w:fill="FAFAFA" w:val="clear"/>
          </w:tcPr>
          <w:p>
            <w:r>
              <w:rPr>
                <w:sz w:val="17"/>
              </w:rPr>
              <w:t>48,110</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40,578</w:t>
            </w:r>
          </w:p>
        </w:tc>
        <w:tc>
          <w:tcPr>
            <w:tcW w:type="dxa" w:w="1440"/>
            <w:shd w:fill="FAFAFA" w:val="clear"/>
          </w:tcPr>
          <w:p>
            <w:r>
              <w:rPr>
                <w:b/>
                <w:sz w:val="17"/>
              </w:rPr>
              <w:t>44,452</w:t>
            </w:r>
          </w:p>
        </w:tc>
        <w:tc>
          <w:tcPr>
            <w:tcW w:type="dxa" w:w="1440"/>
            <w:shd w:fill="FAFAFA" w:val="clear"/>
          </w:tcPr>
          <w:p>
            <w:r>
              <w:rPr>
                <w:sz w:val="17"/>
              </w:rPr>
              <w:t>48,327</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40,364</w:t>
            </w:r>
          </w:p>
        </w:tc>
        <w:tc>
          <w:tcPr>
            <w:tcW w:type="dxa" w:w="1440"/>
            <w:shd w:fill="FAFAFA" w:val="clear"/>
          </w:tcPr>
          <w:p>
            <w:r>
              <w:rPr>
                <w:b/>
                <w:sz w:val="17"/>
              </w:rPr>
              <w:t>44,448</w:t>
            </w:r>
          </w:p>
        </w:tc>
        <w:tc>
          <w:tcPr>
            <w:tcW w:type="dxa" w:w="1440"/>
            <w:shd w:fill="FAFAFA" w:val="clear"/>
          </w:tcPr>
          <w:p>
            <w:r>
              <w:rPr>
                <w:sz w:val="17"/>
              </w:rPr>
              <w:t>48,531</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4 498 milliards FCFA, Sonatel demeure l'une des toutes premières capitalisations de la BRVM, ce qui en fait un pilier incontournable de l'indice régional et un titre de référence pour les investisseurs institutionnels. Le BPA de 4 136 FCFA par action signifie que chaque titre génère un bénéfice net de plus de quatre mille francs, un niveau remarquable qui traduit la forte rentabilité de l'opérateur télécoms. Le PER de 10,9x se situe dans la fourchette moyenne du marché BRVM (8-12x), indiquant que les investisseurs ne paient ni prime excessive ni décote manifeste pour ces bénéfices, ce qui suggère une valorisation raisonnable. Le P/B de 3,21x montre que le marché valorise l'entreprise à plus de trois fois ses fonds propres comptables, une prime de croissance justifiée par la qualité des actifs immatériels (licences, réseaux, base clients) et la rentabilité élevée des capitaux propres. Enfin, l'EV/EBITDA de 4,7x, inférieur au seuil de 5x, signale que la valeur totale de l'entreprise (dette incluse) reste très abordable au regard de sa capacité opérationnelle à générer des liquidités, ce qui constitue un signal de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 enregistré une progression spectaculaire de +56,18%, passant d'un plus bas de 27 160 FCFA à un plus haut de 45 000 FCFA, pour un cours actuel de 44 980 FCFA, soit une variation nulle sur la dernière séance (J-1 : +0,00%), signe d'une stabilisation en zone haute. Le range de trading de près de 17 840 FCFA témoigne d'une tendance nettement haussière, portée par l'appétit des investisseurs pour les valeurs télécoms de qualité et les anticipations de dividendes attractifs. Les statistiques descriptives révèlent une moyenne de 33 563 FCFA nettement supérieure à la médiane de 31 500 FCFA, avec un mode à 31 000 FCFA : cet écart confirme une asymétrie positive (skewness de 0,831), indiquant que le cours a passé plus de journées sous sa moyenne avant de s'envoler en fin de période. L'écart-type de 5 407 FCFA (CV de 16,1%) traduit une dispersion modérée du cours autour de sa moyenne, tandis que le kurtosis de -0,638 (mésokurtique) suggère une distribution proche de la normale, sans risque excessif de pics extrêmes. La volatilité annualisée de 33,2% place le titre dans la catégorie des valeurs à volatilité élevée (&gt;30%), ce qui implique un potentiel de gain important mais aussi un risque de correction significatif, particulièrement après une hausse aussi verticale.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42 414 FCFA et la MM50 à 37 634 FCFA, toutes deux nettement inférieures au cours actuel de 44 980 FCFA. Cette configuration en « golden cross » (MM20 &gt; MM50) avec un cours au-dessus des deux moyennes confirme une dynamique haussière solide et justifie la décision d'achat. Le cours évolue toutefois à plus de 6% au-dessus de sa MM20, ce qui suggère une extension potentiellement excessive à court terme.</w:t>
      </w:r>
    </w:p>
    <w:p>
      <w:pPr>
        <w:spacing w:after="120" w:line="276" w:lineRule="auto"/>
      </w:pPr>
      <w:r>
        <w:t>**Bandes de Bollinger** : La borne supérieure se situe à 47 065 FCFA et la borne inférieure à 37 763 FCFA, avec un cours actuel de 44 980 FCFA positionné dans la partie haute du canal (environ 75% de la bande). La décision est neutre car le cours n'a pas encore touché la borne supérieure, mais la proximité de cette zone de résistance appelle à la prudence. La largeur des bandes reflète la volatilité élevée du titre.</w:t>
      </w:r>
    </w:p>
    <w:p>
      <w:pPr>
        <w:spacing w:after="120" w:line="276" w:lineRule="auto"/>
      </w:pPr>
      <w:r>
        <w:t>**MACD** : Le MACD affiche une valeur de 2 167,075 contre un signal à 2 162,15, soit une divergence positive de seulement 4,9 points. Cette configuration haussière reste fragile car l'écart entre les deux lignes est très faible, ce qui pourrait annoncer un croisement baissier imminent si le momentum s'essouffle. La décision d'achat est maintenue mais avec une conviction limitée.</w:t>
      </w:r>
    </w:p>
    <w:p>
      <w:pPr>
        <w:spacing w:after="120" w:line="276" w:lineRule="auto"/>
      </w:pPr>
      <w:r>
        <w:t>**RSI** : Le RSI s'établit à 76,622, largement au-dessus du seuil de surachat de 70, ce qui déclenche une décision de vente. Cette lecture indique que le titre a été acheté de manière excessive à court terme et qu'une correction ou consolidation est probable avant toute nouvelle progression.</w:t>
      </w:r>
    </w:p>
    <w:p>
      <w:pPr>
        <w:spacing w:after="120" w:line="276" w:lineRule="auto"/>
      </w:pPr>
      <w:r>
        <w:t>**Stochastique** : Le %K (99,5) et le %D (99,551) sont tous deux proches de leur maximum absolu de 100, avec un croisement quasi inexistant. Cette configuration extrême confirme le surachat et renforce le signal de vente à court terme, bien que dans un contexte de tendance haussière forte, ces niveaux peuvent persister.</w:t>
      </w:r>
    </w:p>
    <w:p>
      <w:pPr>
        <w:spacing w:after="120" w:line="276" w:lineRule="auto"/>
      </w:pPr>
      <w:r>
        <w:t>**Conclusion technique** : Les indicateurs présentent une divergence préoccupante : les moyennes mobiles et le MACD confirment la tendance haussière de fond, mais le RSI (76,6) et le stochastique (99,5) signalent un surachat extrême à court terme. Cette configuration suggère que le titre pourrait consolider ou corriger avant de reprendre sa tendance haussière, et invite à la prudence pour les achats en poursuite de tendance.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Sonatel a réalisé un chiffre d'affaires consolidé de 1 923,1 milliards FCFA, en progression de +8,3% par rapport à 2024, portée par la Data mobile (+8,6% de clients), le haut débit fixe (+26,2%) et Orange Money (+2,8% de clients). Le résultat net consolidé s'établit à 413,6 milliards FCFA, en hausse de +5,1%, avec une marge nette de 21,5% et un ROE de 29,56%, largement supérieur au seuil d'excellence de 15%, confirmant la remarquable rentabilité des fonds propres. Le ROA de 12,65% et la rotation des actifs de 58,8% témoignent d'une utilisation efficace du bilan de 3 270 milliards FCFA. Sur le plan de la structure financière, l'autonomie financière de 42,8% est saine, le ratio d'endettement de 57,2% reste maîtrisé, et la capacité de remboursement de 0,64 an (dettes financières/CAF) est excellente. Le BFR négatif de -284,9 milliards FCFA constitue un avantage concurrentiel majeur, traduisant un financement favorable par les fournisseurs (délai fournisseurs de 201 jours contre un délai clients de seulement 46 jours). Les rapports trimestriels récents confirment cette dynamique : le S1 2026 (communiqué du 24 juillet 2026) affiche un CA de 1 049,8 milliards FCFA (+9,3%) et un résultat net de 230 milliards FCFA (+10,5%), avec une notation relevée à AAA (wu) par GCR Ratings. Sur la base de ces performances semestrielles, on estime que l'exercice 2026 devrait enregistrer un CA supérieur à 2 050 milliards FCFA et un résultat net approchant 440-450 milliards FCFA. Le dividende proposé au titre de 2025 s'élève à 1 933 FCFA brut (1 740 FCFA net), offrant un rendement d'environ 3,9% au cours actuel, avec une mise en paiement prévue le 25 mai 2026. Les risques identifiés incluent la pression fiscale et réglementaire croissante, l'intensification concurrentielle sur le Mobile Money et la Data, ainsi que les incertitudes géopolitiques dans certains pays de présence (Mali, Guinée-Bissau). Néanmoins, la solidité du modèle, le leadership maintenu (55,9% de part de marché au Sénégal, 54,5% au Mali) et les investissements stratégiques (288,6 milliards FCFA en 2025, soit 15% du CA) dans la fibre et la 5G positionnent favorablement le groupe pour la création de valeur à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Sonatel apparaît raisonnable avec un PER de 10,9x dans la moyenne du marché, un P/B de 3,21x justifié par la rentabilité exceptionnelle (ROE de 29,6%) et un EV/EBITDA de 4,7x signalant une sous-évaluation relative par rapport à la capacité opérationnelle. Le comportement du cours sur 100 jours est nettement haussier (+56,18%), mais l'asymétrie positive (skewness de 0,831) et la volatilité élevée (33,2%) indiquent que le titre a connu une accélération récente qui pourrait s'avérer excessive à court terme. Les signaux techniques sont divergents : les moyennes mobiles et le MACD confirment la tendance haussière, mais le RSI (76,6) et le stochastique (99,5) signalent un surachat extrême, plaidant pour une consolidation imminente. Les fondamentaux restent excellents, avec une croissance du CA de +8,3% en 2025, un résultat net de 413,6 milliards FCFA, un ROE de 29,6% et un BFR négatif favorable, tandis que les rapports S1 2026 (CA +9,3%, résultat net +10,5%) confirment la poursuite de la dynamique. Les prédictions IA anticipent une légère correction sur 10 jours (44 545 FCFA le 12 octobre à 44 476 FCFA le 16 octobre), ce qui est cohérent avec le surachat technique mais contredit la tendance fondamentale haussière. Sur la base de cette synthèse, la recommandation est **CONSERVER** avec un biais positif : les investisseurs déjà positionnés peuvent maintenir leurs titres pour capter le dividende de 1 740 FCFA net (rendement ~3,9%) et profiter de la tendance de fond, tandis que les nouveaux entrants devraient attendre une consolidation vers 42 000-43 000 FCFA pour améliorer leur point d'entrée. Le niveau de confiance est **Moyen** en raison de la divergence entre technique court terme et fondamental long terme, le risque global est **Moyen** (volatilité élevée mais fondamentaux solides), et l'horizon d'investissement optimal est le **moyen à long terme** (6 à 18 mois) pour bénéficier de la croissance structurelle du secteur télécoms en Afrique de l'Ouest et de la politique de dividendes attractive.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172.49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5,387 titres</w:t>
            </w:r>
          </w:p>
        </w:tc>
        <w:tc>
          <w:tcPr>
            <w:tcW w:type="dxa" w:w="2268"/>
            <w:shd w:fill="FFF2CC" w:val="clear"/>
          </w:tcPr>
          <w:p>
            <w:r>
              <w:rPr>
                <w:b/>
                <w:color w:val="503200"/>
                <w:sz w:val="16"/>
              </w:rPr>
              <w:t xml:space="preserve">Cours actuel : </w:t>
            </w:r>
            <w:r>
              <w:rPr>
                <w:color w:val="000000"/>
                <w:sz w:val="17"/>
              </w:rPr>
              <w:t>7,985 FCFA</w:t>
            </w:r>
          </w:p>
          <w:p>
            <w:r>
              <w:rPr>
                <w:b/>
                <w:color w:val="503200"/>
                <w:sz w:val="16"/>
              </w:rPr>
              <w:t xml:space="preserve">Var. 100 jours : </w:t>
            </w:r>
            <w:r>
              <w:rPr>
                <w:b/>
                <w:color w:val="007800"/>
                <w:sz w:val="17"/>
              </w:rPr>
              <w:t>+8.05%</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4.28% (Faible) — μ=8,091 FCFA, σ=346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β=1.0316 (Neutre (suit le marché)) — Cov=0.000075, Var(idx)=0.000073, ρ=0.328,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7,519</w:t>
            </w:r>
          </w:p>
        </w:tc>
        <w:tc>
          <w:tcPr>
            <w:tcW w:type="dxa" w:w="1440"/>
            <w:shd w:fill="FAFAFA" w:val="clear"/>
          </w:tcPr>
          <w:p>
            <w:r>
              <w:rPr>
                <w:b/>
                <w:sz w:val="17"/>
              </w:rPr>
              <w:t>7,923</w:t>
            </w:r>
          </w:p>
        </w:tc>
        <w:tc>
          <w:tcPr>
            <w:tcW w:type="dxa" w:w="1440"/>
            <w:shd w:fill="FAFAFA" w:val="clear"/>
          </w:tcPr>
          <w:p>
            <w:r>
              <w:rPr>
                <w:sz w:val="17"/>
              </w:rPr>
              <w:t>8,327</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7,327</w:t>
            </w:r>
          </w:p>
        </w:tc>
        <w:tc>
          <w:tcPr>
            <w:tcW w:type="dxa" w:w="1440"/>
            <w:shd w:fill="FAFAFA" w:val="clear"/>
          </w:tcPr>
          <w:p>
            <w:r>
              <w:rPr>
                <w:b/>
                <w:sz w:val="17"/>
              </w:rPr>
              <w:t>7,896</w:t>
            </w:r>
          </w:p>
        </w:tc>
        <w:tc>
          <w:tcPr>
            <w:tcW w:type="dxa" w:w="1440"/>
            <w:shd w:fill="FAFAFA" w:val="clear"/>
          </w:tcPr>
          <w:p>
            <w:r>
              <w:rPr>
                <w:sz w:val="17"/>
              </w:rPr>
              <w:t>8,465</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7,175</w:t>
            </w:r>
          </w:p>
        </w:tc>
        <w:tc>
          <w:tcPr>
            <w:tcW w:type="dxa" w:w="1440"/>
            <w:shd w:fill="FAFAFA" w:val="clear"/>
          </w:tcPr>
          <w:p>
            <w:r>
              <w:rPr>
                <w:b/>
                <w:sz w:val="17"/>
              </w:rPr>
              <w:t>7,870</w:t>
            </w:r>
          </w:p>
        </w:tc>
        <w:tc>
          <w:tcPr>
            <w:tcW w:type="dxa" w:w="1440"/>
            <w:shd w:fill="FAFAFA" w:val="clear"/>
          </w:tcPr>
          <w:p>
            <w:r>
              <w:rPr>
                <w:sz w:val="17"/>
              </w:rPr>
              <w:t>8,564</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7,046</w:t>
            </w:r>
          </w:p>
        </w:tc>
        <w:tc>
          <w:tcPr>
            <w:tcW w:type="dxa" w:w="1440"/>
            <w:shd w:fill="FAFAFA" w:val="clear"/>
          </w:tcPr>
          <w:p>
            <w:r>
              <w:rPr>
                <w:b/>
                <w:sz w:val="17"/>
              </w:rPr>
              <w:t>7,846</w:t>
            </w:r>
          </w:p>
        </w:tc>
        <w:tc>
          <w:tcPr>
            <w:tcW w:type="dxa" w:w="1440"/>
            <w:shd w:fill="FAFAFA" w:val="clear"/>
          </w:tcPr>
          <w:p>
            <w:r>
              <w:rPr>
                <w:sz w:val="17"/>
              </w:rPr>
              <w:t>8,646</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6,932</w:t>
            </w:r>
          </w:p>
        </w:tc>
        <w:tc>
          <w:tcPr>
            <w:tcW w:type="dxa" w:w="1440"/>
            <w:shd w:fill="FFDCE0" w:val="clear"/>
          </w:tcPr>
          <w:p>
            <w:r>
              <w:rPr>
                <w:b/>
                <w:sz w:val="17"/>
              </w:rPr>
              <w:t>7,824</w:t>
            </w:r>
          </w:p>
        </w:tc>
        <w:tc>
          <w:tcPr>
            <w:tcW w:type="dxa" w:w="1440"/>
            <w:shd w:fill="FFDCE0" w:val="clear"/>
          </w:tcPr>
          <w:p>
            <w:r>
              <w:rPr>
                <w:sz w:val="17"/>
              </w:rPr>
              <w:t>8,715</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6,828</w:t>
            </w:r>
          </w:p>
        </w:tc>
        <w:tc>
          <w:tcPr>
            <w:tcW w:type="dxa" w:w="1440"/>
            <w:shd w:fill="FFDCE0" w:val="clear"/>
          </w:tcPr>
          <w:p>
            <w:r>
              <w:rPr>
                <w:b/>
                <w:sz w:val="17"/>
              </w:rPr>
              <w:t>7,802</w:t>
            </w:r>
          </w:p>
        </w:tc>
        <w:tc>
          <w:tcPr>
            <w:tcW w:type="dxa" w:w="1440"/>
            <w:shd w:fill="FFDCE0" w:val="clear"/>
          </w:tcPr>
          <w:p>
            <w:r>
              <w:rPr>
                <w:sz w:val="17"/>
              </w:rPr>
              <w:t>8,776</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6,732</w:t>
            </w:r>
          </w:p>
        </w:tc>
        <w:tc>
          <w:tcPr>
            <w:tcW w:type="dxa" w:w="1440"/>
            <w:shd w:fill="FFDCE0" w:val="clear"/>
          </w:tcPr>
          <w:p>
            <w:r>
              <w:rPr>
                <w:b/>
                <w:sz w:val="17"/>
              </w:rPr>
              <w:t>7,782</w:t>
            </w:r>
          </w:p>
        </w:tc>
        <w:tc>
          <w:tcPr>
            <w:tcW w:type="dxa" w:w="1440"/>
            <w:shd w:fill="FFDCE0" w:val="clear"/>
          </w:tcPr>
          <w:p>
            <w:r>
              <w:rPr>
                <w:sz w:val="17"/>
              </w:rPr>
              <w:t>8,831</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6,643</w:t>
            </w:r>
          </w:p>
        </w:tc>
        <w:tc>
          <w:tcPr>
            <w:tcW w:type="dxa" w:w="1440"/>
            <w:shd w:fill="FFDCE0" w:val="clear"/>
          </w:tcPr>
          <w:p>
            <w:r>
              <w:rPr>
                <w:b/>
                <w:sz w:val="17"/>
              </w:rPr>
              <w:t>7,762</w:t>
            </w:r>
          </w:p>
        </w:tc>
        <w:tc>
          <w:tcPr>
            <w:tcW w:type="dxa" w:w="1440"/>
            <w:shd w:fill="FFDCE0" w:val="clear"/>
          </w:tcPr>
          <w:p>
            <w:r>
              <w:rPr>
                <w:sz w:val="17"/>
              </w:rPr>
              <w:t>8,881</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6,559</w:t>
            </w:r>
          </w:p>
        </w:tc>
        <w:tc>
          <w:tcPr>
            <w:tcW w:type="dxa" w:w="1440"/>
            <w:shd w:fill="FFDCE0" w:val="clear"/>
          </w:tcPr>
          <w:p>
            <w:r>
              <w:rPr>
                <w:b/>
                <w:sz w:val="17"/>
              </w:rPr>
              <w:t>7,743</w:t>
            </w:r>
          </w:p>
        </w:tc>
        <w:tc>
          <w:tcPr>
            <w:tcW w:type="dxa" w:w="1440"/>
            <w:shd w:fill="FFDCE0" w:val="clear"/>
          </w:tcPr>
          <w:p>
            <w:r>
              <w:rPr>
                <w:sz w:val="17"/>
              </w:rPr>
              <w:t>8,927</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6,480</w:t>
            </w:r>
          </w:p>
        </w:tc>
        <w:tc>
          <w:tcPr>
            <w:tcW w:type="dxa" w:w="1440"/>
            <w:shd w:fill="FFDCE0" w:val="clear"/>
          </w:tcPr>
          <w:p>
            <w:r>
              <w:rPr>
                <w:b/>
                <w:sz w:val="17"/>
              </w:rPr>
              <w:t>7,725</w:t>
            </w:r>
          </w:p>
        </w:tc>
        <w:tc>
          <w:tcPr>
            <w:tcW w:type="dxa" w:w="1440"/>
            <w:shd w:fill="FFDCE0" w:val="clear"/>
          </w:tcPr>
          <w:p>
            <w:r>
              <w:rPr>
                <w:sz w:val="17"/>
              </w:rPr>
              <w:t>8,970</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 (Hévéa / Palmier à huile)*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172,49 milliards FCFA, SOGC s'impose comme une valeur de premier plan de la cote BRVM, ce qui traduit la confiance des investisseurs dans ce leader agro-industriel ivoirien. Le BPA de 578 FCFA/action signifie que chaque titre génère près de 578 FCFA de bénéfice net, un niveau confortable au regard du cours actuel de 7 985 FCFA. Le PER de 13,8x se situe légèrement au-dessus de la moyenne BRVM (8-12x), signalant une valorisation modérée mais non excessive, le marché acceptant de payer une prime pour la qualité des bénéfices. Le P/B de 2,52x indique que le marché valorise la société à 2,5 fois sa valeur comptable, une prime de croissance justifiée par un ROE de 18,26%. Enfin, l'EV/EBITDA de 7,2x, dans la fourchette raisonnable de 5-10x, confirme que la valeur d'entreprise reste cohérente avec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 enregistré une progression totale de +8,05%, malgré un léger repli de -0,19% lors de la dernière séance, s'établissant à 7 985 FCFA. Le range de trading s'est étendu entre un plus bas de 7 200 FCFA et un plus haut de 8 875 FCFA, soit une amplitude de 23,3% qui témoigne d'une réelle dynamique haussière entrecoupée de corrections. La tendance générale demeure haussière, portée par des fondamentaux solides et un contexte sectoriel favorable aux matières premières agricoles. Les statistiques descriptives révèlent une moyenne de 8 091 FCFA légèrement supérieure à la médiane de 8 145 FCFA, avec un mode à 8 100 FCFA, suggérant une distribution quasi-symétrique autour de ces niveaux centraux. L'écart-type de 348 FCFA (CV de 4,3%) indique une dispersion modérée du cours, tandis que le kurtosis de 0,074 (mésokurtique) signale une distribution proche de la normale, sans risque excessif de pics extrêmes. Le skewness de -0,608, négatif, révèle une asymétrie avec davantage de journées de cotation au-dessus de la moyenne, un signal plutôt favorable. La volatilité annualisée de 42,4% classe ce titre dans la catégorie des valeurs à volatilité élevée (&gt;30%), ce qui implique un risque de marché non négligeable mais cohérent avec le profil d'une action de croissance.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7 896,75 FCFA et la MM50 à 8 031,5 FCFA. Le cours actuel (7 985 FCFA) se situe au-dessus de la MM20 mais en dessous de la MM50, configuration qui traduit un essoufflement de la dynamique haussière de court terme. La décision technique qui en résulte est « Vente », la MM50 faisant office de résistance immédiate.</w:t>
      </w:r>
    </w:p>
    <w:p>
      <w:pPr>
        <w:spacing w:after="120" w:line="276" w:lineRule="auto"/>
      </w:pPr>
      <w:r>
        <w:t>**Bandes de Bollinger** : La borne supérieure est à 8 312,53 FCFA et la borne inférieure à 7 480,97 FCFA, avec un cours actuel de 7 985 FCFA positionné légèrement sous le centre de la bande. Cette position médiane traduit une volatilité en cours de normalisation, sans signal de surachat ni de survente. La décision est « Neutre », le titre évoluant dans une zone d'équilibre.</w:t>
      </w:r>
    </w:p>
    <w:p>
      <w:pPr>
        <w:spacing w:after="120" w:line="276" w:lineRule="auto"/>
      </w:pPr>
      <w:r>
        <w:t>**MACD** : Le MACD affiche une valeur de -45,071 contre un signal à -72,511, soit un croisement haussier (MACD au-dessus de son signal) bien que les deux lignes restent en territoire négatif. Ce différentiel positif de 27,44 points indique un momentum baissier en voie d'essoufflement, ce qui justifie la décision « Achat » sur ce seul indicateur.</w:t>
      </w:r>
    </w:p>
    <w:p>
      <w:pPr>
        <w:spacing w:after="120" w:line="276" w:lineRule="auto"/>
      </w:pPr>
      <w:r>
        <w:t>**RSI** : À 52,234, le RSI se situe parfaitement dans la zone neutre (30-70), sans pression acheteuse ni vendeuse dominante. Cette configuration médiane confirme l'absence de signal directionnel fort et justifie la décision « Neutre ».</w:t>
      </w:r>
    </w:p>
    <w:p>
      <w:pPr>
        <w:spacing w:after="120" w:line="276" w:lineRule="auto"/>
      </w:pPr>
      <w:r>
        <w:t>**Stochastique** : Le %K (85,625) et le %D (82,5) évoluent tous deux en zone de surachat (&gt;80), avec un %K légèrement supérieur au %D. Cette configuration signale une probabilité élevée de correction à court terme, d'où la décision « Vente ».</w:t>
      </w:r>
    </w:p>
    <w:p>
      <w:pPr>
        <w:spacing w:after="120" w:line="276" w:lineRule="auto"/>
      </w:pPr>
      <w:r>
        <w:t>**Conclusion technique** : Les indicateurs techniques présentent une divergence notable : le MACD suggère un retournement haussier tandis que les moyennes mobiles et le stochastique plaident pour la prudence, voire une correction. Le RSI et les bandes de Bollinger confirment une phase de consolidation neutre. Dans l'ensemble, le titre se trouve à un point d'inflexion, avec un avantage marginal aux vendeurs à court terme, mais un potentiel de rebond si le MACD confirme son croisement.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Sur la base des états financiers officiels de l'exercice 2025, SOGC affiche un chiffre d'affaires de 98,979 milliards FCFA, en progression de 10,70% par rapport à 2024 (93,52 milliards FCFA), confirmant la dynamique commerciale robuste de la société. Le résultat net 2025 s'établit à 12,493 milliards FCFA, en léger recul de 5% par rapport aux 13,11 milliards FCFA de 2024, sous l'effet d'une hausse de 15% des coûts de matières premières (coagulum) et d'un contexte concurrentiel plus difficile depuis le S2 2025. La rentabilité reste néanmoins excellente avec un ROE de 18,26% (largement supérieur au seuil de 15% considéré comme excellent) et un ROA de 13,84%, tandis que la marge nette de 12,62% et la marge opérationnelle de 17,24% témoignent d'une bonne maîtrise des charges. La structure financière est remarquablement saine : l'autonomie financière de 75,79% (capitaux propres/total bilan) et un ratio d'endettement de seulement 24,21% confèrent à SOGC une solidité bilancielle exceptionnelle, renforcée par une trésorerie nette positive de 4,575 milliards FCFA et un flux opérationnel de 22,644 milliards FCFA. Concernant la gestion du cycle d'exploitation, le délai clients de 29,60 jours est maîtrisé, le délai fournisseurs de 31,72 jours est favorable à la trésorerie, mais la durée de stockage de 97,67 jours constitue un point de vigilance, immobilisant du capital dans les stocks de produits finis. Les rapports trimestriels 2025 (T1 au 31/03/2025, S1 au 30/06/2025, 9M au 30/09/2025) révèlent une trajectoire en ralentissement progressif : après un T1 exceptionnel (CA +63,1%, résultat net +262,9%), la croissance s'est normalisée au S1 (+51,9% de CA, +151,6% de résultat net) puis aux 9M (+21,3% de CA, +39,5% de résultat net), la direction anticipant un S2 plus difficile en raison de la concurrence accrue sur l'achat de coagulum et de la baisse des cours SICOM du caoutchouc. On estime dès lors que l'exercice 2025 devrait clôturer sur une performance annuelle solide mais en décélération par rapport à 2024, ce que confirment les chiffres définitifs (CA +10,7%, résultat net -5%). La politique de dividende demeure très généreuse, avec un dividende brut proposé de 570 FCFA par action (contre 60 FCFA en 2024), soit un rendement attractif d'environ 7,1% au cours actuel, bien que le taux de distribution approche les 98% du bénéfice net, limitant les capacités de réinvestissement. En synthèse, SOGC présente des fondamentaux solides (rentabilité élevée, structure financière saine, génération de cash-flows robuste) mais fait face à des vents contraires (pression sur les marges, volatilité des prix des matières premières, concurrence accrue) qui justifient une recommandation de conservation vigilante.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analysées dessine un profil d'investissement contrasté. Sur le plan de la **valorisation (Partie 0)**, les ratios PER (13,8x), P/B (2,52x) et EV/EBITDA (7,2x) indiquent une valorisation modérée à légèrement supérieure à la moyenne du marché, sans excès manifeste mais sans décote évidente. Le **comportement du cours (Partie 1)** est globalement favorable (+8,05% sur 100 jours), avec une distribution quasi-normale (kurtosis 0,074) et un skewness négatif (-0,608) suggérant une résistance à la baisse, mais la volatilité annualisée de 42,4% constitue un facteur de risque préoccupant. Les **signaux techniques (Partie 2)** sont divergents : le MACD est haussier, le RSI et les Bollinger sont neutres, tandis que les moyennes mobiles et le stochastique sont baissiers, ce qui plaide pour une phase de consolidation à court terme. Les **fondamentaux (Partie 3)** demeurent solides (ROE 18,26%, autonomie financière 75,79%, trésorerie nette positive) malgré un ralentissement de la croissance et une légère érosion du résultat net en 2025, la générosité du dividende (570 FCFA/action) offrant un rendement attractif. Les **prédictions IA (J+1 à J+10)** anticipent une trajectoire baissière graduelle de 7 923 FCFA à 7 824 FCFA, ce qui contredit le signal haussier du MACD mais confirme la pression baissière identifiée par les moyennes mobiles et le stochastique. Sur la base de cette synthèse globale, la recommandation finale est **CONSERVER**, avec un niveau de confiance **Moyen** et un risque global **Moyen**. En effet, la convergence entre la valorisation raisonnable, les fondamentaux solides et le rendement du dividende soutient le titre à moyen terme, mais la divergence technique, la volatilité élevée et les prédictions baissières à court terme incitent à la prudence. L'horizon d'investissement optimal est le **moyen terme (3-12 mois)**, le temps que la société démontre sa capacité à stabiliser ses marges dans un environnement concurrentiel plus difficile et que les indicateurs techniques se réalignent.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4,690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+16.11%</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9.38% (Moyenne) — μ=7,907 FCFA, σ=742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β=0.6916 (Défensif) — Cov=0.000050, Var(idx)=0.000073, ρ=0.216,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7,515</w:t>
            </w:r>
          </w:p>
        </w:tc>
        <w:tc>
          <w:tcPr>
            <w:tcW w:type="dxa" w:w="1440"/>
            <w:shd w:fill="FAFAFA" w:val="clear"/>
          </w:tcPr>
          <w:p>
            <w:r>
              <w:rPr>
                <w:b/>
                <w:sz w:val="17"/>
              </w:rPr>
              <w:t>7,925</w:t>
            </w:r>
          </w:p>
        </w:tc>
        <w:tc>
          <w:tcPr>
            <w:tcW w:type="dxa" w:w="1440"/>
            <w:shd w:fill="FAFAFA" w:val="clear"/>
          </w:tcPr>
          <w:p>
            <w:r>
              <w:rPr>
                <w:sz w:val="17"/>
              </w:rPr>
              <w:t>8,335</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7,309</w:t>
            </w:r>
          </w:p>
        </w:tc>
        <w:tc>
          <w:tcPr>
            <w:tcW w:type="dxa" w:w="1440"/>
            <w:shd w:fill="FAFAFA" w:val="clear"/>
          </w:tcPr>
          <w:p>
            <w:r>
              <w:rPr>
                <w:b/>
                <w:sz w:val="17"/>
              </w:rPr>
              <w:t>7,886</w:t>
            </w:r>
          </w:p>
        </w:tc>
        <w:tc>
          <w:tcPr>
            <w:tcW w:type="dxa" w:w="1440"/>
            <w:shd w:fill="FAFAFA" w:val="clear"/>
          </w:tcPr>
          <w:p>
            <w:r>
              <w:rPr>
                <w:sz w:val="17"/>
              </w:rPr>
              <w:t>8,463</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7,143</w:t>
            </w:r>
          </w:p>
        </w:tc>
        <w:tc>
          <w:tcPr>
            <w:tcW w:type="dxa" w:w="1440"/>
            <w:shd w:fill="FAFAFA" w:val="clear"/>
          </w:tcPr>
          <w:p>
            <w:r>
              <w:rPr>
                <w:b/>
                <w:sz w:val="17"/>
              </w:rPr>
              <w:t>7,846</w:t>
            </w:r>
          </w:p>
        </w:tc>
        <w:tc>
          <w:tcPr>
            <w:tcW w:type="dxa" w:w="1440"/>
            <w:shd w:fill="FAFAFA" w:val="clear"/>
          </w:tcPr>
          <w:p>
            <w:r>
              <w:rPr>
                <w:sz w:val="17"/>
              </w:rPr>
              <w:t>8,549</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7,000</w:t>
            </w:r>
          </w:p>
        </w:tc>
        <w:tc>
          <w:tcPr>
            <w:tcW w:type="dxa" w:w="1440"/>
            <w:shd w:fill="FFDCE0" w:val="clear"/>
          </w:tcPr>
          <w:p>
            <w:r>
              <w:rPr>
                <w:b/>
                <w:sz w:val="17"/>
              </w:rPr>
              <w:t>7,808</w:t>
            </w:r>
          </w:p>
        </w:tc>
        <w:tc>
          <w:tcPr>
            <w:tcW w:type="dxa" w:w="1440"/>
            <w:shd w:fill="FFDCE0" w:val="clear"/>
          </w:tcPr>
          <w:p>
            <w:r>
              <w:rPr>
                <w:sz w:val="17"/>
              </w:rPr>
              <w:t>8,616</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6,872</w:t>
            </w:r>
          </w:p>
        </w:tc>
        <w:tc>
          <w:tcPr>
            <w:tcW w:type="dxa" w:w="1440"/>
            <w:shd w:fill="FFDCE0" w:val="clear"/>
          </w:tcPr>
          <w:p>
            <w:r>
              <w:rPr>
                <w:b/>
                <w:sz w:val="17"/>
              </w:rPr>
              <w:t>7,771</w:t>
            </w:r>
          </w:p>
        </w:tc>
        <w:tc>
          <w:tcPr>
            <w:tcW w:type="dxa" w:w="1440"/>
            <w:shd w:fill="FFDCE0" w:val="clear"/>
          </w:tcPr>
          <w:p>
            <w:r>
              <w:rPr>
                <w:sz w:val="17"/>
              </w:rPr>
              <w:t>8,670</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6,755</w:t>
            </w:r>
          </w:p>
        </w:tc>
        <w:tc>
          <w:tcPr>
            <w:tcW w:type="dxa" w:w="1440"/>
            <w:shd w:fill="FFDCE0" w:val="clear"/>
          </w:tcPr>
          <w:p>
            <w:r>
              <w:rPr>
                <w:b/>
                <w:sz w:val="17"/>
              </w:rPr>
              <w:t>7,735</w:t>
            </w:r>
          </w:p>
        </w:tc>
        <w:tc>
          <w:tcPr>
            <w:tcW w:type="dxa" w:w="1440"/>
            <w:shd w:fill="FFDCE0" w:val="clear"/>
          </w:tcPr>
          <w:p>
            <w:r>
              <w:rPr>
                <w:sz w:val="17"/>
              </w:rPr>
              <w:t>8,716</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6,647</w:t>
            </w:r>
          </w:p>
        </w:tc>
        <w:tc>
          <w:tcPr>
            <w:tcW w:type="dxa" w:w="1440"/>
            <w:shd w:fill="FFDCE0" w:val="clear"/>
          </w:tcPr>
          <w:p>
            <w:r>
              <w:rPr>
                <w:b/>
                <w:sz w:val="17"/>
              </w:rPr>
              <w:t>7,701</w:t>
            </w:r>
          </w:p>
        </w:tc>
        <w:tc>
          <w:tcPr>
            <w:tcW w:type="dxa" w:w="1440"/>
            <w:shd w:fill="FFDCE0" w:val="clear"/>
          </w:tcPr>
          <w:p>
            <w:r>
              <w:rPr>
                <w:sz w:val="17"/>
              </w:rPr>
              <w:t>8,755</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6,545</w:t>
            </w:r>
          </w:p>
        </w:tc>
        <w:tc>
          <w:tcPr>
            <w:tcW w:type="dxa" w:w="1440"/>
            <w:shd w:fill="FFDCE0" w:val="clear"/>
          </w:tcPr>
          <w:p>
            <w:r>
              <w:rPr>
                <w:b/>
                <w:sz w:val="17"/>
              </w:rPr>
              <w:t>7,667</w:t>
            </w:r>
          </w:p>
        </w:tc>
        <w:tc>
          <w:tcPr>
            <w:tcW w:type="dxa" w:w="1440"/>
            <w:shd w:fill="FFDCE0" w:val="clear"/>
          </w:tcPr>
          <w:p>
            <w:r>
              <w:rPr>
                <w:sz w:val="17"/>
              </w:rPr>
              <w:t>8,789</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6,450</w:t>
            </w:r>
          </w:p>
        </w:tc>
        <w:tc>
          <w:tcPr>
            <w:tcW w:type="dxa" w:w="1440"/>
            <w:shd w:fill="FFDCE0" w:val="clear"/>
          </w:tcPr>
          <w:p>
            <w:r>
              <w:rPr>
                <w:b/>
                <w:sz w:val="17"/>
              </w:rPr>
              <w:t>7,635</w:t>
            </w:r>
          </w:p>
        </w:tc>
        <w:tc>
          <w:tcPr>
            <w:tcW w:type="dxa" w:w="1440"/>
            <w:shd w:fill="FFDCE0" w:val="clear"/>
          </w:tcPr>
          <w:p>
            <w:r>
              <w:rPr>
                <w:sz w:val="17"/>
              </w:rPr>
              <w:t>8,820</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6,359</w:t>
            </w:r>
          </w:p>
        </w:tc>
        <w:tc>
          <w:tcPr>
            <w:tcW w:type="dxa" w:w="1440"/>
            <w:shd w:fill="FFDCE0" w:val="clear"/>
          </w:tcPr>
          <w:p>
            <w:r>
              <w:rPr>
                <w:b/>
                <w:sz w:val="17"/>
              </w:rPr>
              <w:t>7,603</w:t>
            </w:r>
          </w:p>
        </w:tc>
        <w:tc>
          <w:tcPr>
            <w:tcW w:type="dxa" w:w="1440"/>
            <w:shd w:fill="FFDCE0" w:val="clear"/>
          </w:tcPr>
          <w:p>
            <w:r>
              <w:rPr>
                <w:sz w:val="17"/>
              </w:rPr>
              <w:t>8,847</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 Agro-industrie / Hévéa*</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204,46 milliards FCFA, SPHC s'impose comme l'une des valeurs industrielles de référence de la cote BRVM, ce qui traduit une liquidité et une visibilité institutionnelle certaines. Le BPA de 977 FCFA/action signifie que chaque titre génère près d'un millier de francs de bénéfice net, un niveau élevé qui contraste avec un PER de seulement 8,2x — nettement en dessous de la moyenne BRVM (8-12x) — signalant une potentielle sous-évaluation du titre par le marché. Le P/B de 1,48x indique que le marché valorise SPHC à peine 1,5 fois ses fonds propres comptables (137,94 Mds FCFA), une décote raisonnable qui n'intègre pas de prime spéculative excessive. Enfin, l'EV/EBITDA de 5,1x (fourchette raisonnable 5-10x) montre que la valeur d'entreprise (capitalisation + dette nette) reste modérée au regard de la capacité opérationnelle dégagée (EBE de 49,67 Mds FCFA), ce qui renforce le diagnostic de valorisation attractive.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performance remarquable de +16,11%, malgré un repli marginal de -0,62% lors de la dernière séance (J-1), signe d'une consolidation technique après un rallye haussier. Le titre a évolué dans un range large de 6 850 FCFA (plus bas) à 10 300 FCFA (plus haut), soit une amplitude de plus de 50%, avant de se stabiliser autour du cours actuel de 8 000 FCFA. La tendance générale demeure haussière sur la période, mais le cours actuel se situe en retrait du plus haut, suggérant une phase de correction ou de respiration. Les statistiques descriptives révèlent une moyenne (7 907 FCFA) supérieure à la médiane (7 672 FCFA), avec un mode à 7 500 FCFA : cet écart confirme une distribution asymétrique, cohérente avec le skewness positif de 1,457 indiquant davantage de journées sous la moyenne mais ponctuées de pics haussiers marqués. L'écart-type de 746 FCFA (CV=9,4%) traduit une dispersion modérée du cours, tandis que le kurtosis de 1,767 (leptokurtique) signale des queues épaisses, donc un risque de mouvements brusques et de pics de volatilité. La volatilité annualisée de 43,3% classe SPHC dans la catégorie des titres à volatilité élevée (&gt;30%), ce qui est cohérent avec son exposition aux cours mondiaux du caoutchouc naturel.</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(7 930 FCFA) est légèrement inférieure au cours actuel (8 000 FCFA), tandis que la MM50 (8 344 FCFA) lui est nettement supérieure. Cette configuration — cours coincé entre les deux moyennes — traduit une tendance court terme haussière mais un momentum moyen terme encore baissier, justifiant la décision technique de **Vente** (le cours reste sous sa MM50).</w:t>
      </w:r>
    </w:p>
    <w:p>
      <w:pPr>
        <w:spacing w:after="120" w:line="276" w:lineRule="auto"/>
      </w:pPr>
      <w:r>
        <w:t>**Bandes de Bollinger** : Le cours (8 000 FCFA) évolue dans le couloir délimité par la borne inférieure (7 521,81 FCFA) et la borne supérieure (8 338,19 FCFA), se situant à environ 58% du canal. Cette position médiane, sans contact avec les extrêmes, traduit une absence de signal directionnel fort et justifie la décision **Neutre** : ni suracheté, ni survendu.</w:t>
      </w:r>
    </w:p>
    <w:p>
      <w:pPr>
        <w:spacing w:after="120" w:line="276" w:lineRule="auto"/>
      </w:pPr>
      <w:r>
        <w:t>**MACD** : La valeur du MACD (-133,078) est supérieure à son signal (-172,487), formant un croisement haussier (MACD au-dessus du signal) bien que les deux restent en territoire négatif. Ce momentum positif naissant, mais fragile car sous la ligne zéro, justifie la décision d'**Achat** technique, à confirmer par un passage en zone positive.</w:t>
      </w:r>
    </w:p>
    <w:p>
      <w:pPr>
        <w:spacing w:after="120" w:line="276" w:lineRule="auto"/>
      </w:pPr>
      <w:r>
        <w:t>**RSI** : À 56,211, le RSI se situe dans la zone neutre (30-70), légèrement au-dessus du point d'équilibre de 50. Cela indique un léger avantage acheteur sans excès de surachat, justifiant la décision **Neutre** : le titre dispose encore d'un potentiel de hausse avant d'atteindre la zone de surachat (&gt;70).</w:t>
      </w:r>
    </w:p>
    <w:p>
      <w:pPr>
        <w:spacing w:after="120" w:line="276" w:lineRule="auto"/>
      </w:pPr>
      <w:r>
        <w:t>**Stochastique** : Le %K (90,909) et le %D (94,242) sont tous deux en zone de surachat extrême (&gt;80), avec un %K légèrement sous le %D (croisement baissier naissant). Cette configuration signale un essoufflement probable de la dynamique haussière à court terme et justifie la décision de **Vente** : un repli technique est imminent.</w:t>
      </w:r>
    </w:p>
    <w:p>
      <w:pPr>
        <w:spacing w:after="120" w:line="276" w:lineRule="auto"/>
      </w:pPr>
      <w:r>
        <w:t>**Conclusion technique** : Les indicateurs sont divergents — le MACD donne un signal d'achat, le RSI est neutre, mais les Moyennes Mobiles et le Stochastique recommandent la vente, tandis que les Bollinger restent neutres. Cette absence de consensus traduit une phase d'incertitude et de consolidation, avec un biais baissier à court terme (Stochastique en surachat, cours sous MM50) mais un potentiel de rebond si le MACD confirme son croisement. La prudence est de mise avant toute décision directionnelle.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SPHC a réalisé un chiffre d'affaires de 340,83 milliards FCFA, en croissance de 21,97% par rapport à 2024 (279,44 Mds FCFA), portée par les ventes de produits fabriqués (+22,2%) qui représentent 98,6% du CA. Le résultat net s'établit à 24,97 milliards FCFA (+32,9%), avec une marge nette de 7,33% (contre 6,7% en 2024), un ROE de 18,10% (excellent, &gt;15%) et un ROA de 11,06%, confirmant une rentabilité solide et en amélioration. La structure financière est saine : autonomie financière de 61,08%, ratio d'endettement de 25,81%, et couverture des intérêts de 1 094,57% (résultat d'exploitation / charges financières), ce qui témoigne d'une capacité de remboursement confortable. Toutefois, deux points de vigilance émergent : une trésorerie nette négative de -15,41 Mds FCFA (bien qu'améliorée de +9,89 Mds FCFA vs 2024) et un BFR de 65,39 Mds FCFA, avec des délais clients de 35 jours et une durée de stockage de 72,33 jours — ce dernier indicateur étant élevé et immobilisant du capital. Le rapport du T1 2026 (publié en 2026) révèle un net coup d'arrêt : CA de 71,8 Mds FCFA (-24%), résultat net de 2,63 Mds FCFA (-78%), marge nette réduite à 4%, sous l'effet de la chute des cours mondiaux du caoutchouc (SICOM 20 à 1,91 USD/kg), de l'engorgement du port de San Pedro et de la concurrence accrue pour la matière première. Sur la base de ce T1 2026, on estime que l'exercice 2026 devrait afficher une contraction significative de la rentabilité, sauf reprise des cours au second semestre. La politique de dividende reste attractive (489 FCFA brut/action proposé pour 2025, soit un rendement de 6,1% au cours actuel de 8 000 FCFA), mais sa soutenabilité dépendra de la capacité à préserver la trésorerie. En synthèse, SPHC demeure fondamentalement solide (ROE élevé, structure financière saine) mais fait face à un choc cyclique majeur en 2026, ce qui justifie une recommandation fondamentale de **CONSERVER** avec surveillance active des cours du caoutchouc et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apparaît attractive (PER 8,2x &lt; moyenne BRVM, P/B 1,48x, EV/EBITDA 5,1x), suggérant une sous-évaluation relative, mais ce diagnostic doit être tempéré par la dégradation récente des fondamentaux. Le comportement du cours sur 100 jours est haussier (+16,11%) mais la volatilité élevée (43,3%) et le kurtosis leptokurtique (1,767) signalent un risque de pics baissiers, tandis que le skewness positif (1,457) indique une asymétrie avec des journées majoritairement sous la moyenne. Les signaux techniques sont divergents : le MACD donne un signal d'achat, mais les Moyennes Mobiles (cours sous MM50) et le Stochastique (surachat extrême à 94,2) recommandent la vente, tandis que le RSI et les Bollinger restent neutres — cette absence de consensus plaide pour une phase de consolidation. Les fondamentaux 2025 sont excellents (CA +22%, RN +32,9%, ROE 18,1%), mais le T1 2026 (CA -24%, RN -78%) révèle un retournement cyclique sévère qui pèse sur les perspectives. Les prédictions IA (J+1 à J+10 : 7 925 → 7 771 FCFA) anticipent une trajectoire baissière graduelle (-2,9% sur 10 jours), confirmant le biais baissier à court terme suggéré par le Stochastique et la position sous MM50. **Recommandation finale : CONSERVER** — la convergence entre valorisation attractive, fondamentaux 2025 solides et dividende généreux (489 FCFA/action) est contrebalancée par la détérioration du T1 2026, les signaux techniques mitigés et les prédictions baissières. Le niveau de confiance est **Moyen** (incertitude sur l'ampleur du choc 2026), le risque global est **Élevé** (volatilité 43,3%, dépendance aux cours mondiaux, trésorerie négative), et l'horizon optimal est **moyen terme (3-12 mois)** , le temps que la visibilité sur l'exercice 2026 se clarifie et que les cours du caoutchouc se stabilisent.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28.36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6,214 titres</w:t>
            </w:r>
          </w:p>
        </w:tc>
        <w:tc>
          <w:tcPr>
            <w:tcW w:type="dxa" w:w="2268"/>
            <w:shd w:fill="FFF2CC" w:val="clear"/>
          </w:tcPr>
          <w:p>
            <w:r>
              <w:rPr>
                <w:b/>
                <w:color w:val="503200"/>
                <w:sz w:val="16"/>
              </w:rPr>
              <w:t xml:space="preserve">Cours actuel : </w:t>
            </w:r>
            <w:r>
              <w:rPr>
                <w:color w:val="000000"/>
                <w:sz w:val="17"/>
              </w:rPr>
              <w:t>2,110 FCFA</w:t>
            </w:r>
          </w:p>
          <w:p>
            <w:r>
              <w:rPr>
                <w:b/>
                <w:color w:val="503200"/>
                <w:sz w:val="16"/>
              </w:rPr>
              <w:t xml:space="preserve">Var. 100 jours : </w:t>
            </w:r>
            <w:r>
              <w:rPr>
                <w:b/>
                <w:color w:val="B40000"/>
                <w:sz w:val="17"/>
              </w:rPr>
              <w:t>-21.27%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2,065 FCFA</w:t>
            </w:r>
          </w:p>
          <w:p>
            <w:r>
              <w:rPr>
                <w:b/>
                <w:color w:val="503200"/>
                <w:sz w:val="16"/>
              </w:rPr>
              <w:t xml:space="preserve">Volatilité ann. : </w:t>
            </w:r>
            <w:r>
              <w:rPr>
                <w:color w:val="000000"/>
                <w:sz w:val="17"/>
              </w:rPr>
              <w:t>60.8%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15.26% (Élevée) — μ=2,839 FCFA, σ=433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β=-0.1011 (Contre-cyclique) — Cov=-0.000007, Var(idx)=0.000073, ρ=-0.023,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σ_j=3.83%/j (Modérée) — Vol. annualisée≈60.8%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1,990</w:t>
            </w:r>
          </w:p>
        </w:tc>
        <w:tc>
          <w:tcPr>
            <w:tcW w:type="dxa" w:w="1440"/>
            <w:shd w:fill="FAFAFA" w:val="clear"/>
          </w:tcPr>
          <w:p>
            <w:r>
              <w:rPr>
                <w:b/>
                <w:sz w:val="17"/>
              </w:rPr>
              <w:t>2,137</w:t>
            </w:r>
          </w:p>
        </w:tc>
        <w:tc>
          <w:tcPr>
            <w:tcW w:type="dxa" w:w="1440"/>
            <w:shd w:fill="FAFAFA" w:val="clear"/>
          </w:tcPr>
          <w:p>
            <w:r>
              <w:rPr>
                <w:sz w:val="17"/>
              </w:rPr>
              <w:t>2,285</w:t>
            </w:r>
          </w:p>
        </w:tc>
        <w:tc>
          <w:tcPr>
            <w:tcW w:type="dxa" w:w="1440"/>
            <w:shd w:fill="FAFAFA" w:val="clear"/>
          </w:tcPr>
          <w:p>
            <w:r>
              <w:rPr>
                <w:b/>
                <w:color w:val="008000"/>
                <w:sz w:val="17"/>
              </w:rPr>
              <w:t>+1.3%</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1,927</w:t>
            </w:r>
          </w:p>
        </w:tc>
        <w:tc>
          <w:tcPr>
            <w:tcW w:type="dxa" w:w="1440"/>
            <w:shd w:fill="FAFAFA" w:val="clear"/>
          </w:tcPr>
          <w:p>
            <w:r>
              <w:rPr>
                <w:b/>
                <w:sz w:val="17"/>
              </w:rPr>
              <w:t>2,136</w:t>
            </w:r>
          </w:p>
        </w:tc>
        <w:tc>
          <w:tcPr>
            <w:tcW w:type="dxa" w:w="1440"/>
            <w:shd w:fill="FAFAFA" w:val="clear"/>
          </w:tcPr>
          <w:p>
            <w:r>
              <w:rPr>
                <w:sz w:val="17"/>
              </w:rPr>
              <w:t>2,345</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1,880</w:t>
            </w:r>
          </w:p>
        </w:tc>
        <w:tc>
          <w:tcPr>
            <w:tcW w:type="dxa" w:w="1440"/>
            <w:shd w:fill="FAFAFA" w:val="clear"/>
          </w:tcPr>
          <w:p>
            <w:r>
              <w:rPr>
                <w:b/>
                <w:sz w:val="17"/>
              </w:rPr>
              <w:t>2,136</w:t>
            </w:r>
          </w:p>
        </w:tc>
        <w:tc>
          <w:tcPr>
            <w:tcW w:type="dxa" w:w="1440"/>
            <w:shd w:fill="FAFAFA" w:val="clear"/>
          </w:tcPr>
          <w:p>
            <w:r>
              <w:rPr>
                <w:sz w:val="17"/>
              </w:rPr>
              <w:t>2,392</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1,841</w:t>
            </w:r>
          </w:p>
        </w:tc>
        <w:tc>
          <w:tcPr>
            <w:tcW w:type="dxa" w:w="1440"/>
            <w:shd w:fill="FAFAFA" w:val="clear"/>
          </w:tcPr>
          <w:p>
            <w:r>
              <w:rPr>
                <w:b/>
                <w:sz w:val="17"/>
              </w:rPr>
              <w:t>2,136</w:t>
            </w:r>
          </w:p>
        </w:tc>
        <w:tc>
          <w:tcPr>
            <w:tcW w:type="dxa" w:w="1440"/>
            <w:shd w:fill="FAFAFA" w:val="clear"/>
          </w:tcPr>
          <w:p>
            <w:r>
              <w:rPr>
                <w:sz w:val="17"/>
              </w:rPr>
              <w:t>2,432</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1,807</w:t>
            </w:r>
          </w:p>
        </w:tc>
        <w:tc>
          <w:tcPr>
            <w:tcW w:type="dxa" w:w="1440"/>
            <w:shd w:fill="FAFAFA" w:val="clear"/>
          </w:tcPr>
          <w:p>
            <w:r>
              <w:rPr>
                <w:b/>
                <w:sz w:val="17"/>
              </w:rPr>
              <w:t>2,137</w:t>
            </w:r>
          </w:p>
        </w:tc>
        <w:tc>
          <w:tcPr>
            <w:tcW w:type="dxa" w:w="1440"/>
            <w:shd w:fill="FAFAFA" w:val="clear"/>
          </w:tcPr>
          <w:p>
            <w:r>
              <w:rPr>
                <w:sz w:val="17"/>
              </w:rPr>
              <w:t>2,468</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1,775</w:t>
            </w:r>
          </w:p>
        </w:tc>
        <w:tc>
          <w:tcPr>
            <w:tcW w:type="dxa" w:w="1440"/>
            <w:shd w:fill="FAFAFA" w:val="clear"/>
          </w:tcPr>
          <w:p>
            <w:r>
              <w:rPr>
                <w:b/>
                <w:sz w:val="17"/>
              </w:rPr>
              <w:t>2,138</w:t>
            </w:r>
          </w:p>
        </w:tc>
        <w:tc>
          <w:tcPr>
            <w:tcW w:type="dxa" w:w="1440"/>
            <w:shd w:fill="FAFAFA" w:val="clear"/>
          </w:tcPr>
          <w:p>
            <w:r>
              <w:rPr>
                <w:sz w:val="17"/>
              </w:rPr>
              <w:t>2,500</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1,747</w:t>
            </w:r>
          </w:p>
        </w:tc>
        <w:tc>
          <w:tcPr>
            <w:tcW w:type="dxa" w:w="1440"/>
            <w:shd w:fill="FAFAFA" w:val="clear"/>
          </w:tcPr>
          <w:p>
            <w:r>
              <w:rPr>
                <w:b/>
                <w:sz w:val="17"/>
              </w:rPr>
              <w:t>2,138</w:t>
            </w:r>
          </w:p>
        </w:tc>
        <w:tc>
          <w:tcPr>
            <w:tcW w:type="dxa" w:w="1440"/>
            <w:shd w:fill="FAFAFA" w:val="clear"/>
          </w:tcPr>
          <w:p>
            <w:r>
              <w:rPr>
                <w:sz w:val="17"/>
              </w:rPr>
              <w:t>2,529</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1,720</w:t>
            </w:r>
          </w:p>
        </w:tc>
        <w:tc>
          <w:tcPr>
            <w:tcW w:type="dxa" w:w="1440"/>
            <w:shd w:fill="FAFAFA" w:val="clear"/>
          </w:tcPr>
          <w:p>
            <w:r>
              <w:rPr>
                <w:b/>
                <w:sz w:val="17"/>
              </w:rPr>
              <w:t>2,138</w:t>
            </w:r>
          </w:p>
        </w:tc>
        <w:tc>
          <w:tcPr>
            <w:tcW w:type="dxa" w:w="1440"/>
            <w:shd w:fill="FAFAFA" w:val="clear"/>
          </w:tcPr>
          <w:p>
            <w:r>
              <w:rPr>
                <w:sz w:val="17"/>
              </w:rPr>
              <w:t>2,557</w:t>
            </w:r>
          </w:p>
        </w:tc>
        <w:tc>
          <w:tcPr>
            <w:tcW w:type="dxa" w:w="1440"/>
            <w:shd w:fill="FAFAFA" w:val="clear"/>
          </w:tcPr>
          <w:p>
            <w:r>
              <w:rPr>
                <w:b/>
                <w:color w:val="008000"/>
                <w:sz w:val="17"/>
              </w:rPr>
              <w:t>+1.3%</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1,695</w:t>
            </w:r>
          </w:p>
        </w:tc>
        <w:tc>
          <w:tcPr>
            <w:tcW w:type="dxa" w:w="1440"/>
            <w:shd w:fill="FAFAFA" w:val="clear"/>
          </w:tcPr>
          <w:p>
            <w:r>
              <w:rPr>
                <w:b/>
                <w:sz w:val="17"/>
              </w:rPr>
              <w:t>2,139</w:t>
            </w:r>
          </w:p>
        </w:tc>
        <w:tc>
          <w:tcPr>
            <w:tcW w:type="dxa" w:w="1440"/>
            <w:shd w:fill="FAFAFA" w:val="clear"/>
          </w:tcPr>
          <w:p>
            <w:r>
              <w:rPr>
                <w:sz w:val="17"/>
              </w:rPr>
              <w:t>2,582</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1,671</w:t>
            </w:r>
          </w:p>
        </w:tc>
        <w:tc>
          <w:tcPr>
            <w:tcW w:type="dxa" w:w="1440"/>
            <w:shd w:fill="FAFAFA" w:val="clear"/>
          </w:tcPr>
          <w:p>
            <w:r>
              <w:rPr>
                <w:b/>
                <w:sz w:val="17"/>
              </w:rPr>
              <w:t>2,139</w:t>
            </w:r>
          </w:p>
        </w:tc>
        <w:tc>
          <w:tcPr>
            <w:tcW w:type="dxa" w:w="1440"/>
            <w:shd w:fill="FAFAFA" w:val="clear"/>
          </w:tcPr>
          <w:p>
            <w:r>
              <w:rPr>
                <w:sz w:val="17"/>
              </w:rPr>
              <w:t>2,607</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 — Secteur : BTP / Études &amp; Travaux*</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28,36 milliards FCFA, STAC se situe dans la catégorie des petites capitalisations de la BRVM, ce qui la rend vulnérable aux mouvements de faible volume et à la faible liquidité. Le BPA ressort à -7 FCFA/action, signifiant que chaque action détruite de la valeur comptable plutôt qu'elle n'en génère, ce qui rend le PER inopérant (-293,7x) car une société déficitaire ne peut être évaluée sur ses bénéfices. Le P/B de 79,49x constitue un signal d'alerte majeur : le marché valorise l'action à près de 80 fois sa valeur comptable (capitaux propres de seulement 356,75 M FCFA pour 28,36 Mds FCFA de capitalisation), soit une prime spéculative extrême totalement déconnectée des fondamentaux. Le ratio EV/EBITDA n'est pas exploitable ici puisque l'EBITDA (EBE) est négatif à -650,13 M FCFA, confirmant l'absence de capacité opérationnelle à générer du cash. En synthèse, la valorisation boursière de STAC repose intégralement sur des anticipations de retournement et non sur des flux financiers tangibles, ce qui la classe parmi les titres les plus risqués de la cote.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STAC a enregistré une chute vertigineuse de -21,27%, avec une dernière séance particulièrement brutale (-3,87%), portant le cours à 2 110 FCFA. Le range de trading est très large, oscillant entre un plus haut de 3 640 FCFA et un plus bas de 2 065 FCFA, soit un écart de plus de 76% entre les extrêmes, ce qui traduit une tendance baissière structurelle avec des rebonds techniques éphémères. Les statistiques descriptives révèlent une moyenne de 2 839 FCFA légèrement supérieure à la médiane de 2 808 FCFA, indiquant une asymétrie positive légère (skewness de 0,137, distribution quasi-symétrique) et un mode à 3 500 FCFA qui souligne que le cours a longtemps stagné à des niveaux aujourd'hui inaccessibles. L'écart-type de 435 FCFA (CV de 15,3%) traduit une dispersion modérée en valeur relative, mais la volatilité annualisée de 60,8% classe le titre dans la catégorie des valeurs à volatilité élevée (&gt;30%), ce qui est cohérent avec un kurtosis de -0,860 (mésokurtique, proche d'une loi normale) indiquant l'absence de pics extrêmes mais une érosion continue plutôt qu'un krach brutal. Le volume moyen de 6 214 titres/jour reste faible, exposant le titre à des mouvements erratiques sur de faibles volumes. En définitive, le profil statistique décrit une valeur en dérive baissière lente et régulière, sans accélération panique mais sans stabilisation visible.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(2 258,25 FCFA) et la MM50 (2 491,50 FCFA) sont toutes deux supérieures au cours actuel (2 110 FCFA), avec une MM20 en dessous de la MM50 — configuration baissière classique. Le cours évolue sous ses deux moyennes, confirmant la pression vendeuse et justifiant la décision technique de **Vente**.</w:t>
      </w:r>
    </w:p>
    <w:p>
      <w:pPr>
        <w:spacing w:after="120" w:line="276" w:lineRule="auto"/>
      </w:pPr>
      <w:r>
        <w:t>**Bandes de Bollinger** : Le cours (2 110 FCFA) se situe dans la moitié inférieure de la bande, entre la borne inférieure (1 925,68 FCFA) et la borne supérieure (2 590,82 FCFA), sans toucher les extrêmes. Cette position médiane-basse, combinée à un écart-type élevé, traduit une volatilité persistante mais sans signal de retournement imminent, d'où la décision **Neutre**.</w:t>
      </w:r>
    </w:p>
    <w:p>
      <w:pPr>
        <w:spacing w:after="120" w:line="276" w:lineRule="auto"/>
      </w:pPr>
      <w:r>
        <w:t>**MACD** : La valeur du MACD (-117,788) est légèrement supérieure à son signal (-121,222), générant un croisement haussier marginal. Ce différentiel positif, bien que faible, suggère un essoufflement de la dynamique baissière et justifie la décision d'**Achat** technique, à confirmer par une remontée au-dessus de zéro.</w:t>
      </w:r>
    </w:p>
    <w:p>
      <w:pPr>
        <w:spacing w:after="120" w:line="276" w:lineRule="auto"/>
      </w:pPr>
      <w:r>
        <w:t>**RSI** : À 44,251, le RSI se situe en zone neutre (30-70), sans signal de survente (&lt;30) ni de surachat (&gt;70). Cette position médiane indique un équilibre précaire entre acheteurs et vendeurs, sans force directionnelle claire, d'où la décision **Neutre**.</w:t>
      </w:r>
    </w:p>
    <w:p>
      <w:pPr>
        <w:spacing w:after="120" w:line="276" w:lineRule="auto"/>
      </w:pPr>
      <w:r>
        <w:t>**Stochastique** : Le %K (14,286) et le %D (18,519) sont tous deux en zone de survente profonde (&lt;20), avec un %K sous le %D signalant une pression baissière résiduelle mais un potentiel de rebond technique à court terme. Cette configuration justifie la décision d'**Achat** spéculatif.</w:t>
      </w:r>
    </w:p>
    <w:p>
      <w:pPr>
        <w:spacing w:after="120" w:line="276" w:lineRule="auto"/>
      </w:pPr>
      <w:r>
        <w:t>**Conclusion technique** : Les indicateurs sont divergents — les moyennes mobiles confirment la tendance baissière de fond, tandis que le MACD et le stochastique suggèrent un rebond technique imminent depuis la zone de survente. Le RSI neutre et les Bollinger médians n'apportent pas de confirmation directionnelle. En synthèse, le titre présente un profil de **rebond technique fragile dans une tendance baissière dominante**, nécessitant une confirmation par les volumes et le franchissement de la MM20 (2 258 FCFA) pour valider un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(états financiers annuels) brossent un tableau alarmant : le chiffre d'affaires s'établit à 3,878 Mds FCFA, en croissance spectaculaire de +116,26% par rapport à 2024 (1,793 Md FCFA selon le rapport annuel 2024), portée par le chantier de l'aéroport d'Abidjan. Cependant, cette dynamique commerciale ne se traduit pas en rentabilité : le résultat net reste négatif à -96,56 M FCFA, le ROE est profondément dégradé à -27,07% et le ROA à -1,77%, tandis que l'EBE (-650,13 M FCFA) et le résultat d'exploitation (-771,95 M FCFA) demeurent lourdement déficitaires. La structure financière est préoccupante : l'autonomie financière n'est que de 6,55% (capitaux propres de 356,75 M FCFA pour 5,447 Mds FCFA de total bilan), le ratio d'endettement atteint 93,45% et la capacité de remboursement est de 77,53 années de CAF (5,98 M FCFA), ce qui est insoutenable. Le BFR est négatif à -930,47 M FCFA (favorable pour la trésorerie), et la trésorerie nette de 1,330 Md FCFA constitue le principal point d'appui, mais elle est consommée par les flux opérationnels négatifs (-2,212 Mds FCFA). Les rapports trimestriels 2025 confirment cette tendance : au T3 2025 (30/09/2025), le CA cumulé atteignait 3,456 Mds FCFA (+176%) avec une perte nette réduite à -477 M FCFA (-22% vs T3 2024), et la direction maintient une prévision annuelle de 4 Mds FCFA. Sur la base de ces rapports, on estime que l'exercice 2026 devrait bénéficier de la poursuite du chantier aéroportuaire, mais la rentabilité opérationnelle reste hors de portée à court terme. La comparaison historique est édifiante : en 2020, la société affichait un CA de 15,9 Mds FCFA et un résultat net de 2,32 Mds FCFA (marge nette de 14,6%), illustrant l'ampleur de la dégradation. En conclusion, STAC présente une **situation financière critique** : croissance du CA sans rentabilité, structure bilancielle déséquilibrée, dépendance à un projet unique et absence de dividende depuis 2018. Le risque de survie à moyen terme est réel malgré le coussin de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**divergence profonde entre les signaux techniques de court terme et les fondamentaux de long terme**. La valorisation (Partie 0) est extrêmement tendue : le P/B de 79,49x et le PER négatif traduisent une décorrélation totale entre le prix de marché et la réalité économique, avec une capitalisation de 28,36 Mds FCFA pour des capitaux propres de 356,75 M FCFA. Le comportement du cours (Partie 1) est baissier (-21,27% sur 100 jours) avec une volatilité élevée (60,8%) et une distribution symétrique sans pics extrêmes, indiquant une érosion lente plutôt qu'un krach. Les signaux techniques (Partie 2) sont mitigés : les moyennes mobiles confirment la tendance baissière, mais le MACD et le stochastique suggèrent un rebond technique depuis la zone de survente, sans confirmation par le RSI (neutre). Les fondamentaux (Partie 3) sont préoccupants : malgré une croissance du CA de +116% en 2025, la société reste déficitaire (-96,56 M FCFA), avec un ROE de -27,07% et une autonomie financière de 6,55%, et les rapports trimestriels 2025 (T3 au 30/09/2025) confirment la persistance des pertes malgré la réduction. Les prédictions IA (J+1 à J+10) anticipent une stabilisation autour de 2 136-2 137 FCFA, soit une légère hausse de +1,3% par rapport au cours actuel (2 110 FCFA), ce qui confirme le scénario d'un rebond technique limité sans inversion de tendance. **Recommandation finale : VENTE** (avec possibilité de CONSERVER pour les investisseurs spéculatifs déjà en position). La convergence entre la valorisation extrême, la tendance baissière, les fondamentaux dégradés et la prédiction de stabilisation sans rebond significatif plaide pour une sortie du titre. Le niveau de confiance est **Moyen** (les signaux techniques de rebond empêchent une conviction baissière absolue), et le niveau de risque global est **Élevé** (volatilité de 60,8%, structure financière fragile, dépendance à un projet unique). L'horizon d'investissement recommandé est **court terme (&lt;3 mois)** pour les spéculateurs cherchant à profiter du rebond technique, avec un stop-loss strict sous 2 065 FCFA (plus bas récent), tandis que les investisseurs long terme devraient attendre des preuves tangibles de retour à la rentabilité opérationnelle avant toute exposition.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382.44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3,598 titres</w:t>
            </w:r>
          </w:p>
        </w:tc>
        <w:tc>
          <w:tcPr>
            <w:tcW w:type="dxa" w:w="2268"/>
            <w:shd w:fill="FFF2CC" w:val="clear"/>
          </w:tcPr>
          <w:p>
            <w:r>
              <w:rPr>
                <w:b/>
                <w:color w:val="503200"/>
                <w:sz w:val="16"/>
              </w:rPr>
              <w:t xml:space="preserve">Cours actuel : </w:t>
            </w:r>
            <w:r>
              <w:rPr>
                <w:color w:val="000000"/>
                <w:sz w:val="17"/>
              </w:rPr>
              <w:t>21,300 FCFA</w:t>
            </w:r>
          </w:p>
          <w:p>
            <w:r>
              <w:rPr>
                <w:b/>
                <w:color w:val="503200"/>
                <w:sz w:val="16"/>
              </w:rPr>
              <w:t xml:space="preserve">Var. 100 jours : </w:t>
            </w:r>
            <w:r>
              <w:rPr>
                <w:b/>
                <w:color w:val="007800"/>
                <w:sz w:val="17"/>
              </w:rPr>
              <w:t>+1.43%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4.92% (Faible) — μ=22,567 FCFA, σ=1,111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β=0.4420 (Défensif) — Cov=0.000032, Var(idx)=0.000073, ρ=0.163,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2026-10-12</w:t>
            </w:r>
          </w:p>
        </w:tc>
        <w:tc>
          <w:tcPr>
            <w:tcW w:type="dxa" w:w="1440"/>
            <w:shd w:fill="C6EFCE" w:val="clear"/>
          </w:tcPr>
          <w:p>
            <w:r>
              <w:rPr>
                <w:sz w:val="17"/>
              </w:rPr>
              <w:t>21,492</w:t>
            </w:r>
          </w:p>
        </w:tc>
        <w:tc>
          <w:tcPr>
            <w:tcW w:type="dxa" w:w="1440"/>
            <w:shd w:fill="C6EFCE" w:val="clear"/>
          </w:tcPr>
          <w:p>
            <w:r>
              <w:rPr>
                <w:b/>
                <w:sz w:val="17"/>
              </w:rPr>
              <w:t>22,102</w:t>
            </w:r>
          </w:p>
        </w:tc>
        <w:tc>
          <w:tcPr>
            <w:tcW w:type="dxa" w:w="1440"/>
            <w:shd w:fill="C6EFCE" w:val="clear"/>
          </w:tcPr>
          <w:p>
            <w:r>
              <w:rPr>
                <w:sz w:val="17"/>
              </w:rPr>
              <w:t>22,713</w:t>
            </w:r>
          </w:p>
        </w:tc>
        <w:tc>
          <w:tcPr>
            <w:tcW w:type="dxa" w:w="1440"/>
            <w:shd w:fill="C6EFCE" w:val="clear"/>
          </w:tcPr>
          <w:p>
            <w:r>
              <w:rPr>
                <w:b/>
                <w:color w:val="008000"/>
                <w:sz w:val="17"/>
              </w:rPr>
              <w:t>+3.8%</w:t>
            </w:r>
          </w:p>
        </w:tc>
      </w:tr>
      <w:tr>
        <w:tc>
          <w:tcPr>
            <w:tcW w:type="dxa" w:w="1440"/>
            <w:shd w:fill="C6EFCE" w:val="clear"/>
          </w:tcPr>
          <w:p>
            <w:r>
              <w:rPr>
                <w:sz w:val="17"/>
              </w:rPr>
              <w:t>J+2  Moyenne</w:t>
            </w:r>
          </w:p>
        </w:tc>
        <w:tc>
          <w:tcPr>
            <w:tcW w:type="dxa" w:w="1440"/>
            <w:shd w:fill="C6EFCE" w:val="clear"/>
          </w:tcPr>
          <w:p>
            <w:r>
              <w:rPr>
                <w:sz w:val="17"/>
              </w:rPr>
              <w:t>2026-10-13</w:t>
            </w:r>
          </w:p>
        </w:tc>
        <w:tc>
          <w:tcPr>
            <w:tcW w:type="dxa" w:w="1440"/>
            <w:shd w:fill="C6EFCE" w:val="clear"/>
          </w:tcPr>
          <w:p>
            <w:r>
              <w:rPr>
                <w:sz w:val="17"/>
              </w:rPr>
              <w:t>21,503</w:t>
            </w:r>
          </w:p>
        </w:tc>
        <w:tc>
          <w:tcPr>
            <w:tcW w:type="dxa" w:w="1440"/>
            <w:shd w:fill="C6EFCE" w:val="clear"/>
          </w:tcPr>
          <w:p>
            <w:r>
              <w:rPr>
                <w:b/>
                <w:sz w:val="17"/>
              </w:rPr>
              <w:t>22,377</w:t>
            </w:r>
          </w:p>
        </w:tc>
        <w:tc>
          <w:tcPr>
            <w:tcW w:type="dxa" w:w="1440"/>
            <w:shd w:fill="C6EFCE" w:val="clear"/>
          </w:tcPr>
          <w:p>
            <w:r>
              <w:rPr>
                <w:sz w:val="17"/>
              </w:rPr>
              <w:t>23,252</w:t>
            </w:r>
          </w:p>
        </w:tc>
        <w:tc>
          <w:tcPr>
            <w:tcW w:type="dxa" w:w="1440"/>
            <w:shd w:fill="C6EFCE" w:val="clear"/>
          </w:tcPr>
          <w:p>
            <w:r>
              <w:rPr>
                <w:b/>
                <w:color w:val="008000"/>
                <w:sz w:val="17"/>
              </w:rPr>
              <w:t>+5.1%</w:t>
            </w:r>
          </w:p>
        </w:tc>
      </w:tr>
      <w:tr>
        <w:tc>
          <w:tcPr>
            <w:tcW w:type="dxa" w:w="1440"/>
            <w:shd w:fill="C6EFCE" w:val="clear"/>
          </w:tcPr>
          <w:p>
            <w:r>
              <w:rPr>
                <w:sz w:val="17"/>
              </w:rPr>
              <w:t>J+3  ⭐</w:t>
            </w:r>
          </w:p>
        </w:tc>
        <w:tc>
          <w:tcPr>
            <w:tcW w:type="dxa" w:w="1440"/>
            <w:shd w:fill="C6EFCE" w:val="clear"/>
          </w:tcPr>
          <w:p>
            <w:r>
              <w:rPr>
                <w:sz w:val="17"/>
              </w:rPr>
              <w:t>2026-10-14</w:t>
            </w:r>
          </w:p>
        </w:tc>
        <w:tc>
          <w:tcPr>
            <w:tcW w:type="dxa" w:w="1440"/>
            <w:shd w:fill="C6EFCE" w:val="clear"/>
          </w:tcPr>
          <w:p>
            <w:r>
              <w:rPr>
                <w:sz w:val="17"/>
              </w:rPr>
              <w:t>21,670</w:t>
            </w:r>
          </w:p>
        </w:tc>
        <w:tc>
          <w:tcPr>
            <w:tcW w:type="dxa" w:w="1440"/>
            <w:shd w:fill="C6EFCE" w:val="clear"/>
          </w:tcPr>
          <w:p>
            <w:r>
              <w:rPr>
                <w:b/>
                <w:sz w:val="17"/>
              </w:rPr>
              <w:t>22,759</w:t>
            </w:r>
          </w:p>
        </w:tc>
        <w:tc>
          <w:tcPr>
            <w:tcW w:type="dxa" w:w="1440"/>
            <w:shd w:fill="C6EFCE" w:val="clear"/>
          </w:tcPr>
          <w:p>
            <w:r>
              <w:rPr>
                <w:sz w:val="17"/>
              </w:rPr>
              <w:t>23,848</w:t>
            </w:r>
          </w:p>
        </w:tc>
        <w:tc>
          <w:tcPr>
            <w:tcW w:type="dxa" w:w="1440"/>
            <w:shd w:fill="C6EFCE" w:val="clear"/>
          </w:tcPr>
          <w:p>
            <w:r>
              <w:rPr>
                <w:b/>
                <w:color w:val="008000"/>
                <w:sz w:val="17"/>
              </w:rPr>
              <w:t>+6.9%</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21,756</w:t>
            </w:r>
          </w:p>
        </w:tc>
        <w:tc>
          <w:tcPr>
            <w:tcW w:type="dxa" w:w="1440"/>
            <w:shd w:fill="C6EFCE" w:val="clear"/>
          </w:tcPr>
          <w:p>
            <w:r>
              <w:rPr>
                <w:b/>
                <w:sz w:val="17"/>
              </w:rPr>
              <w:t>23,028</w:t>
            </w:r>
          </w:p>
        </w:tc>
        <w:tc>
          <w:tcPr>
            <w:tcW w:type="dxa" w:w="1440"/>
            <w:shd w:fill="C6EFCE" w:val="clear"/>
          </w:tcPr>
          <w:p>
            <w:r>
              <w:rPr>
                <w:sz w:val="17"/>
              </w:rPr>
              <w:t>24,301</w:t>
            </w:r>
          </w:p>
        </w:tc>
        <w:tc>
          <w:tcPr>
            <w:tcW w:type="dxa" w:w="1440"/>
            <w:shd w:fill="C6EFCE" w:val="clear"/>
          </w:tcPr>
          <w:p>
            <w:r>
              <w:rPr>
                <w:b/>
                <w:color w:val="008000"/>
                <w:sz w:val="17"/>
              </w:rPr>
              <w:t>+8.1%</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21,848</w:t>
            </w:r>
          </w:p>
        </w:tc>
        <w:tc>
          <w:tcPr>
            <w:tcW w:type="dxa" w:w="1440"/>
            <w:shd w:fill="C6EFCE" w:val="clear"/>
          </w:tcPr>
          <w:p>
            <w:r>
              <w:rPr>
                <w:b/>
                <w:sz w:val="17"/>
              </w:rPr>
              <w:t>23,287</w:t>
            </w:r>
          </w:p>
        </w:tc>
        <w:tc>
          <w:tcPr>
            <w:tcW w:type="dxa" w:w="1440"/>
            <w:shd w:fill="C6EFCE" w:val="clear"/>
          </w:tcPr>
          <w:p>
            <w:r>
              <w:rPr>
                <w:sz w:val="17"/>
              </w:rPr>
              <w:t>24,725</w:t>
            </w:r>
          </w:p>
        </w:tc>
        <w:tc>
          <w:tcPr>
            <w:tcW w:type="dxa" w:w="1440"/>
            <w:shd w:fill="C6EFCE" w:val="clear"/>
          </w:tcPr>
          <w:p>
            <w:r>
              <w:rPr>
                <w:b/>
                <w:color w:val="008000"/>
                <w:sz w:val="17"/>
              </w:rPr>
              <w:t>+9.3%</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21,918</w:t>
            </w:r>
          </w:p>
        </w:tc>
        <w:tc>
          <w:tcPr>
            <w:tcW w:type="dxa" w:w="1440"/>
            <w:shd w:fill="C6EFCE" w:val="clear"/>
          </w:tcPr>
          <w:p>
            <w:r>
              <w:rPr>
                <w:b/>
                <w:sz w:val="17"/>
              </w:rPr>
              <w:t>23,509</w:t>
            </w:r>
          </w:p>
        </w:tc>
        <w:tc>
          <w:tcPr>
            <w:tcW w:type="dxa" w:w="1440"/>
            <w:shd w:fill="C6EFCE" w:val="clear"/>
          </w:tcPr>
          <w:p>
            <w:r>
              <w:rPr>
                <w:sz w:val="17"/>
              </w:rPr>
              <w:t>25,100</w:t>
            </w:r>
          </w:p>
        </w:tc>
        <w:tc>
          <w:tcPr>
            <w:tcW w:type="dxa" w:w="1440"/>
            <w:shd w:fill="C6EFCE" w:val="clear"/>
          </w:tcPr>
          <w:p>
            <w:r>
              <w:rPr>
                <w:b/>
                <w:color w:val="008000"/>
                <w:sz w:val="17"/>
              </w:rPr>
              <w:t>+10.4%</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21,959</w:t>
            </w:r>
          </w:p>
        </w:tc>
        <w:tc>
          <w:tcPr>
            <w:tcW w:type="dxa" w:w="1440"/>
            <w:shd w:fill="C6EFCE" w:val="clear"/>
          </w:tcPr>
          <w:p>
            <w:r>
              <w:rPr>
                <w:b/>
                <w:sz w:val="17"/>
              </w:rPr>
              <w:t>23,691</w:t>
            </w:r>
          </w:p>
        </w:tc>
        <w:tc>
          <w:tcPr>
            <w:tcW w:type="dxa" w:w="1440"/>
            <w:shd w:fill="C6EFCE" w:val="clear"/>
          </w:tcPr>
          <w:p>
            <w:r>
              <w:rPr>
                <w:sz w:val="17"/>
              </w:rPr>
              <w:t>25,422</w:t>
            </w:r>
          </w:p>
        </w:tc>
        <w:tc>
          <w:tcPr>
            <w:tcW w:type="dxa" w:w="1440"/>
            <w:shd w:fill="C6EFCE" w:val="clear"/>
          </w:tcPr>
          <w:p>
            <w:r>
              <w:rPr>
                <w:b/>
                <w:color w:val="008000"/>
                <w:sz w:val="17"/>
              </w:rPr>
              <w:t>+11.2%</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21,978</w:t>
            </w:r>
          </w:p>
        </w:tc>
        <w:tc>
          <w:tcPr>
            <w:tcW w:type="dxa" w:w="1440"/>
            <w:shd w:fill="C6EFCE" w:val="clear"/>
          </w:tcPr>
          <w:p>
            <w:r>
              <w:rPr>
                <w:b/>
                <w:sz w:val="17"/>
              </w:rPr>
              <w:t>23,841</w:t>
            </w:r>
          </w:p>
        </w:tc>
        <w:tc>
          <w:tcPr>
            <w:tcW w:type="dxa" w:w="1440"/>
            <w:shd w:fill="C6EFCE" w:val="clear"/>
          </w:tcPr>
          <w:p>
            <w:r>
              <w:rPr>
                <w:sz w:val="17"/>
              </w:rPr>
              <w:t>25,703</w:t>
            </w:r>
          </w:p>
        </w:tc>
        <w:tc>
          <w:tcPr>
            <w:tcW w:type="dxa" w:w="1440"/>
            <w:shd w:fill="C6EFCE" w:val="clear"/>
          </w:tcPr>
          <w:p>
            <w:r>
              <w:rPr>
                <w:b/>
                <w:color w:val="008000"/>
                <w:sz w:val="17"/>
              </w:rPr>
              <w:t>+11.9%</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21,991</w:t>
            </w:r>
          </w:p>
        </w:tc>
        <w:tc>
          <w:tcPr>
            <w:tcW w:type="dxa" w:w="1440"/>
            <w:shd w:fill="C6EFCE" w:val="clear"/>
          </w:tcPr>
          <w:p>
            <w:r>
              <w:rPr>
                <w:b/>
                <w:sz w:val="17"/>
              </w:rPr>
              <w:t>23,978</w:t>
            </w:r>
          </w:p>
        </w:tc>
        <w:tc>
          <w:tcPr>
            <w:tcW w:type="dxa" w:w="1440"/>
            <w:shd w:fill="C6EFCE" w:val="clear"/>
          </w:tcPr>
          <w:p>
            <w:r>
              <w:rPr>
                <w:sz w:val="17"/>
              </w:rPr>
              <w:t>25,965</w:t>
            </w:r>
          </w:p>
        </w:tc>
        <w:tc>
          <w:tcPr>
            <w:tcW w:type="dxa" w:w="1440"/>
            <w:shd w:fill="C6EFCE" w:val="clear"/>
          </w:tcPr>
          <w:p>
            <w:r>
              <w:rPr>
                <w:b/>
                <w:color w:val="008000"/>
                <w:sz w:val="17"/>
              </w:rPr>
              <w:t>+12.6%</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21,994</w:t>
            </w:r>
          </w:p>
        </w:tc>
        <w:tc>
          <w:tcPr>
            <w:tcW w:type="dxa" w:w="1440"/>
            <w:shd w:fill="C6EFCE" w:val="clear"/>
          </w:tcPr>
          <w:p>
            <w:r>
              <w:rPr>
                <w:b/>
                <w:sz w:val="17"/>
              </w:rPr>
              <w:t>24,099</w:t>
            </w:r>
          </w:p>
        </w:tc>
        <w:tc>
          <w:tcPr>
            <w:tcW w:type="dxa" w:w="1440"/>
            <w:shd w:fill="C6EFCE" w:val="clear"/>
          </w:tcPr>
          <w:p>
            <w:r>
              <w:rPr>
                <w:sz w:val="17"/>
              </w:rPr>
              <w:t>26,204</w:t>
            </w:r>
          </w:p>
        </w:tc>
        <w:tc>
          <w:tcPr>
            <w:tcW w:type="dxa" w:w="1440"/>
            <w:shd w:fill="C6EFCE" w:val="clear"/>
          </w:tcPr>
          <w:p>
            <w:r>
              <w:rPr>
                <w:b/>
                <w:color w:val="008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382,44 Mds FCFA, STBC s'impose comme l'une des valeurs phares de la cote BRVM, portée par un BPA de 2 014 FCFA/action qui matérialise le bénéfice net généré pour chaque titre détenu. Le PER de 10,6x situe le titre dans la fourchette modérée de la BRVM (moyenne ~8-12x), traduisant une valorisation raisonnable au regard des bénéfices, sans décote ni prime excessive. En revanche, le P/B de 8,44x — très supérieur au seuil de 4x — révèle que le marché valorise l'action à plus de huit fois sa valeur comptable, une prime exigeante qui s'explique par la forte rentabilité des fonds propres (ROE de 79,75%) mais qui laisse peu de marge d'erreur en cas de dégradation des résultats. Enfin, l'EV/EBITDA de 7,6x, dans la zone raisonnable de 5-10x, indique que la valeur d'entreprise reste cohérente avec la capacité opérationnelle de génération de cash-flows, ce qui nuance le caractère tendu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variation totale quasi stable de +1,43%, mais la dernière séance (J-1) enregistre un repli marqué de -1,82%, signalant une pression vendeuse récente. Le cours actuel de 21 300 FCFA évolue dans un range de trading de 4 105 FCFA, entre un plus haut de 25 000 FCFA et un plus bas de 20 895 FCFA, ce qui place le titre dans la partie basse de sa fourchette — une tendance globalement baissière depuis le pic, avec un volume moyen quotidien de 3 598 titres reflétant une liquidité modérée. Les statistiques descriptives révèlent une moyenne de 22 567 FCFA supérieure à la médiane de 22 218 FCFA, confirmant une asymétrie positive (skewness de 0,573) avec davantage de journées sous la moyenne, tandis que le mode à 22 000 FCFA indique un point d'ancrage psychologique. L'écart-type de 1 116 FCFA et le coefficient de variation de 4,9% traduisent une dispersion relativement contenue du cours autour de sa tendance, et le kurtosis de -0,703 (mésokurtique) suggère une distribution proche de la normale, donc un risque de pics extrêmes limité. La volatilité annualisée de 36,7% classe toutefois le titre dans la catégorie des valeurs à volatilité élevée (&gt;30%), ce qui implique un risque de fluctuation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(21 662,25 FCFA) et la MM50 (22 424,70 FCFA) se situent toutes deux au-dessus du cours actuel (21 300 FCFA), avec une MM20 inférieure à la MM50 — configuration baissière caractéristique. Le cours évoluant sous ses deux moyennes, la décision technique est logiquement à la **Vente**, confirmant la pression baissière de court terme.</w:t>
      </w:r>
    </w:p>
    <w:p>
      <w:pPr>
        <w:spacing w:after="120" w:line="276" w:lineRule="auto"/>
      </w:pPr>
      <w:r>
        <w:t>**Bandes de Bollinger** : Le cours (21 300 FCFA) se situe entre la borne inférieure (20 943,51 FCFA) et la borne supérieure (22 380,99 FCFA), plus proche du bas que du haut, sans franchissement des bornes. Cette position médiane-basse avec un resserrement des bandes indique une volatilité en contraction et une absence de signal directionnel fort, justifiant la décision **Neutre**.</w:t>
      </w:r>
    </w:p>
    <w:p>
      <w:pPr>
        <w:spacing w:after="120" w:line="276" w:lineRule="auto"/>
      </w:pPr>
      <w:r>
        <w:t>**MACD** : La valeur du MACD (-189,148) est supérieure à son signal (-233,687), générant un croisement haussier (MACD au-dessus du signal) bien que les deux restent en territoire négatif. Ce momentum positif naissant, bien que fragile car sous la ligne zéro, justifie la décision **Achat** sur un horizon de court terme.</w:t>
      </w:r>
    </w:p>
    <w:p>
      <w:pPr>
        <w:spacing w:after="120" w:line="276" w:lineRule="auto"/>
      </w:pPr>
      <w:r>
        <w:t>**RSI** : À 39,203, le RSI se situe dans la zone neutre basse (30-70), sans atteindre le seuil de survente (&lt;30) mais proche de celui-ci. Cette configuration indique une faiblesse relative sans excès vendeur, justifiant la décision **Neutre** — le titre n'est ni survendu ni suracheté.</w:t>
      </w:r>
    </w:p>
    <w:p>
      <w:pPr>
        <w:spacing w:after="120" w:line="276" w:lineRule="auto"/>
      </w:pPr>
      <w:r>
        <w:t>**Stochastique** : Le %K (37,5) est inférieur au %D (64,198), configuration baissière avec un croisement potentiel à la baisse, mais les deux lignes restent dans la zone neutre. Cette divergence modérée entre %K et %D justifie la décision **Neutre**, sans signal d'achat ou de vente clair.</w:t>
      </w:r>
    </w:p>
    <w:p>
      <w:pPr>
        <w:spacing w:after="120" w:line="276" w:lineRule="auto"/>
      </w:pPr>
      <w:r>
        <w:t>**Conclusion technique** : Les indicateurs présentent un tableau mitigé — les moyennes mobiles sont baissières (Vente), le MACD donne un signal haussier (Achat), tandis que Bollinger, RSI et Stochastique restent neutres. Cette divergence reflète un marché sans tendance directionnelle forte, avec un léger avantage aux vendeurs sur le court terme mais un potentiel de rebond technique porté par le MACD. La prudence est de mise tant que le cours ne repasse pas au-dessus de la MM20 (21 662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STBC a réalisé un chiffre d'affaires de 268,537 Mds FCFA, en croissance de 25,30% par rapport à 2024, porté par une progression des volumes de 5,6% et des hausses de prix. Le résultat net s'établit à 36,158 Mds FCFA, en baisse de 17,5% par rapport aux 44,174 Mds FCFA de 2024, sous l'effet de la hausse des droits d'accise (de 49% à 70%) et d'un contrôle fiscal. Les ratios de rentabilité restent exceptionnels avec un ROE de 79,75% et un ROA de 48,09%, bien que la marge nette se soit contractée de 20,4% à 13,46%. La structure financière est remarquablement saine : autonomie financière de 60,30%, dettes financières quasi nulles (1,40 M FCFA), trésorerie nette de 30,763 Mds FCFA et liquidité générale de 224,99%. Le BFR de 5,639 Mds FCFA et le délai client de 42,57 jours (contre une durée de stockage de seulement 5,73 jours) témoignent d'une gestion efficace du cycle d'exploitation, bien que le délai client mérite surveillance.</w:t>
      </w:r>
    </w:p>
    <w:p>
      <w:pPr>
        <w:spacing w:after="120" w:line="276" w:lineRule="auto"/>
      </w:pPr>
      <w:r>
        <w:t>**Estimations basées sur les rapports trimestriels** : Le rapport T1 2026 (publié en 2026) indique un CA de 68,8 Mds FCFA (+12%) et des volumes en hausse de 10%, avec un résultat net de 9,3 Mds FCFA (-1%) — un redressement commercial après la contraction de 2025. Le rapport T2 2026 (publié le 26/06/2026) confirme cette dynamique avec un CA de 70,05 Mds FCFA (+1%) et un résultat net de 8,64 Mds FCFA (-0,2%), quasi stable. Sur la base de ces deux trimestres, on estime que l'exercice 2026 devrait afficher un CA annuel autour de 275-280 Mds FCFA (+2-4%) et un résultat net de l'ordre de 36-37 Mds FCFA, soit une stabilisation de la rentabilité après la correction de 2025. Le rapport annuel 2025 (publié en 2025) confirme un dividende proposé de 1 940 FCFA/action, offrant un rendement attractif de ~9,1% au cours actuel de 21 300 FCFA, avec un taux de distribution de 84,9% — généreux mais soutenable grâce à la trésorerie confortable.</w:t>
      </w:r>
    </w:p>
    <w:p>
      <w:pPr>
        <w:spacing w:after="120" w:line="276" w:lineRule="auto"/>
      </w:pPr>
      <w:r>
        <w:t>**Recommandation fondamentale** : La solidité bilantielle (zéro dette, trésorerie abondante), la croissance du CA et le rendement du dividende constituent des atouts majeurs. Cependant, la dégradation des marges, la pression fiscale persistante et la dépendance au secteur du tabac (risques réglementaires) incitent à la prudence. La recommandation fondamentale est **CONSERVER**, avec une surveillance attentive de l'évolution des marges et des volumes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 PER de 10,6x est modéré et l'EV/EBITDA de 7,6x raisonnable, mais le P/B de 8,44x traduit une prime exigeante — le titre n'est ni sous-évalué ni excessivement cher, mais la marge de sécurité est limitée. **Comportement du cours (Partie 1)** : la tendance récente est baissière (-1,82% en J-1), le titre évolue dans le bas de son range, avec une volatilité élevée (36,7%) mais une distribution proche de la normale (kurtosis -0,703) et une asymétrie positive modérée — des statistiques préoccupantes à court terme mais sans risque extrême. **Signaux techniques (Partie 2)** : divergence entre des moyennes mobiles baissières et un MACD haussier, avec des indicateurs neutres (RSI, Bollinger, Stochastique) — absence de convergence claire, ce qui plaide pour l'attentisme. **Fondamentaux (Partie 3)** : solidité financière exceptionnelle (zéro dette, ROE 79,75%, trésorerie 30,8 Mds FCFA), dividende attractif (1 940 FCFA, rendement ~9,1%), mais dégradation des marges et pression fiscale — les rapports T1 et T2 2026 montrent une stabilisation de la rentabilité, ce qui est encourageant. **Prédictions IA (J+1 à J+10)** : la trajectoire projetée (22 102 → 23 287 FCFA, soit +9,3% sur 10 jours) est haussière et contredit la tendance baissière récente, suggérant un rebond technique potentiel.</w:t>
      </w:r>
    </w:p>
    <w:p>
      <w:pPr>
        <w:spacing w:after="120" w:line="276" w:lineRule="auto"/>
      </w:pPr>
      <w:r>
        <w:t>**Recommandation finale : CONSERVER** — Les signaux sont divergents : la valorisation est correcte sans être attractive, la technique est mitigée (baissière court terme mais MACD haussier), les fondamentaux sont solides mais la rentabilité se dégrade, et les prédictions IA sont haussières. La convergence n'est pas suffisante pour justifier un ACHAT, mais la solidité financière et le dividende élevé excluent une VENTE. **Niveau de confiance : Moyen** — les divergences entre indicateurs techniques et la dépendance aux facteurs réglementaires limitent la visibilité. **Niveau de risque global : Moyen à Élevé** — volatilité de 36,7%, pression fiscale et risque sectoriel. **Horizon d'investissement optimal : Moyen terme (3-12 mois)** — le temps de vérifier la stabilisation des marges et la confirmation du redressement des volumes en 2026, tout en profitant du rendement du dividende.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180.70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6,724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B40000"/>
                <w:sz w:val="17"/>
              </w:rPr>
              <w:t>-1.20%</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6.30% (Moyenne) — μ=3,023 FCFA, σ=191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β=0.1390 (Défensif) — Cov=0.000010, Var(idx)=0.000073, ρ=0.046,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2,786</w:t>
            </w:r>
          </w:p>
        </w:tc>
        <w:tc>
          <w:tcPr>
            <w:tcW w:type="dxa" w:w="1440"/>
            <w:shd w:fill="FAFAFA" w:val="clear"/>
          </w:tcPr>
          <w:p>
            <w:r>
              <w:rPr>
                <w:b/>
                <w:sz w:val="17"/>
              </w:rPr>
              <w:t>2,882</w:t>
            </w:r>
          </w:p>
        </w:tc>
        <w:tc>
          <w:tcPr>
            <w:tcW w:type="dxa" w:w="1440"/>
            <w:shd w:fill="FAFAFA" w:val="clear"/>
          </w:tcPr>
          <w:p>
            <w:r>
              <w:rPr>
                <w:sz w:val="17"/>
              </w:rPr>
              <w:t>2,978</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2,745</w:t>
            </w:r>
          </w:p>
        </w:tc>
        <w:tc>
          <w:tcPr>
            <w:tcW w:type="dxa" w:w="1440"/>
            <w:shd w:fill="FAFAFA" w:val="clear"/>
          </w:tcPr>
          <w:p>
            <w:r>
              <w:rPr>
                <w:b/>
                <w:sz w:val="17"/>
              </w:rPr>
              <w:t>2,880</w:t>
            </w:r>
          </w:p>
        </w:tc>
        <w:tc>
          <w:tcPr>
            <w:tcW w:type="dxa" w:w="1440"/>
            <w:shd w:fill="FAFAFA" w:val="clear"/>
          </w:tcPr>
          <w:p>
            <w:r>
              <w:rPr>
                <w:sz w:val="17"/>
              </w:rPr>
              <w:t>3,016</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2,716</w:t>
            </w:r>
          </w:p>
        </w:tc>
        <w:tc>
          <w:tcPr>
            <w:tcW w:type="dxa" w:w="1440"/>
            <w:shd w:fill="FAFAFA" w:val="clear"/>
          </w:tcPr>
          <w:p>
            <w:r>
              <w:rPr>
                <w:b/>
                <w:sz w:val="17"/>
              </w:rPr>
              <w:t>2,882</w:t>
            </w:r>
          </w:p>
        </w:tc>
        <w:tc>
          <w:tcPr>
            <w:tcW w:type="dxa" w:w="1440"/>
            <w:shd w:fill="FAFAFA" w:val="clear"/>
          </w:tcPr>
          <w:p>
            <w:r>
              <w:rPr>
                <w:sz w:val="17"/>
              </w:rPr>
              <w:t>3,048</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2,690</w:t>
            </w:r>
          </w:p>
        </w:tc>
        <w:tc>
          <w:tcPr>
            <w:tcW w:type="dxa" w:w="1440"/>
            <w:shd w:fill="FAFAFA" w:val="clear"/>
          </w:tcPr>
          <w:p>
            <w:r>
              <w:rPr>
                <w:b/>
                <w:sz w:val="17"/>
              </w:rPr>
              <w:t>2,882</w:t>
            </w:r>
          </w:p>
        </w:tc>
        <w:tc>
          <w:tcPr>
            <w:tcW w:type="dxa" w:w="1440"/>
            <w:shd w:fill="FAFAFA" w:val="clear"/>
          </w:tcPr>
          <w:p>
            <w:r>
              <w:rPr>
                <w:sz w:val="17"/>
              </w:rPr>
              <w:t>3,073</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2,666</w:t>
            </w:r>
          </w:p>
        </w:tc>
        <w:tc>
          <w:tcPr>
            <w:tcW w:type="dxa" w:w="1440"/>
            <w:shd w:fill="FAFAFA" w:val="clear"/>
          </w:tcPr>
          <w:p>
            <w:r>
              <w:rPr>
                <w:b/>
                <w:sz w:val="17"/>
              </w:rPr>
              <w:t>2,880</w:t>
            </w:r>
          </w:p>
        </w:tc>
        <w:tc>
          <w:tcPr>
            <w:tcW w:type="dxa" w:w="1440"/>
            <w:shd w:fill="FAFAFA" w:val="clear"/>
          </w:tcPr>
          <w:p>
            <w:r>
              <w:rPr>
                <w:sz w:val="17"/>
              </w:rPr>
              <w:t>3,094</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2,643</w:t>
            </w:r>
          </w:p>
        </w:tc>
        <w:tc>
          <w:tcPr>
            <w:tcW w:type="dxa" w:w="1440"/>
            <w:shd w:fill="FAFAFA" w:val="clear"/>
          </w:tcPr>
          <w:p>
            <w:r>
              <w:rPr>
                <w:b/>
                <w:sz w:val="17"/>
              </w:rPr>
              <w:t>2,878</w:t>
            </w:r>
          </w:p>
        </w:tc>
        <w:tc>
          <w:tcPr>
            <w:tcW w:type="dxa" w:w="1440"/>
            <w:shd w:fill="FAFAFA" w:val="clear"/>
          </w:tcPr>
          <w:p>
            <w:r>
              <w:rPr>
                <w:sz w:val="17"/>
              </w:rPr>
              <w:t>3,112</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2,622</w:t>
            </w:r>
          </w:p>
        </w:tc>
        <w:tc>
          <w:tcPr>
            <w:tcW w:type="dxa" w:w="1440"/>
            <w:shd w:fill="FAFAFA" w:val="clear"/>
          </w:tcPr>
          <w:p>
            <w:r>
              <w:rPr>
                <w:b/>
                <w:sz w:val="17"/>
              </w:rPr>
              <w:t>2,875</w:t>
            </w:r>
          </w:p>
        </w:tc>
        <w:tc>
          <w:tcPr>
            <w:tcW w:type="dxa" w:w="1440"/>
            <w:shd w:fill="FAFAFA" w:val="clear"/>
          </w:tcPr>
          <w:p>
            <w:r>
              <w:rPr>
                <w:sz w:val="17"/>
              </w:rPr>
              <w:t>3,128</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2,603</w:t>
            </w:r>
          </w:p>
        </w:tc>
        <w:tc>
          <w:tcPr>
            <w:tcW w:type="dxa" w:w="1440"/>
            <w:shd w:fill="FAFAFA" w:val="clear"/>
          </w:tcPr>
          <w:p>
            <w:r>
              <w:rPr>
                <w:b/>
                <w:sz w:val="17"/>
              </w:rPr>
              <w:t>2,873</w:t>
            </w:r>
          </w:p>
        </w:tc>
        <w:tc>
          <w:tcPr>
            <w:tcW w:type="dxa" w:w="1440"/>
            <w:shd w:fill="FAFAFA" w:val="clear"/>
          </w:tcPr>
          <w:p>
            <w:r>
              <w:rPr>
                <w:sz w:val="17"/>
              </w:rPr>
              <w:t>3,143</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2,585</w:t>
            </w:r>
          </w:p>
        </w:tc>
        <w:tc>
          <w:tcPr>
            <w:tcW w:type="dxa" w:w="1440"/>
            <w:shd w:fill="FAFAFA" w:val="clear"/>
          </w:tcPr>
          <w:p>
            <w:r>
              <w:rPr>
                <w:b/>
                <w:sz w:val="17"/>
              </w:rPr>
              <w:t>2,871</w:t>
            </w:r>
          </w:p>
        </w:tc>
        <w:tc>
          <w:tcPr>
            <w:tcW w:type="dxa" w:w="1440"/>
            <w:shd w:fill="FAFAFA" w:val="clear"/>
          </w:tcPr>
          <w:p>
            <w:r>
              <w:rPr>
                <w:sz w:val="17"/>
              </w:rPr>
              <w:t>3,157</w:t>
            </w:r>
          </w:p>
        </w:tc>
        <w:tc>
          <w:tcPr>
            <w:tcW w:type="dxa" w:w="1440"/>
            <w:shd w:fill="FAFAFA" w:val="clear"/>
          </w:tcPr>
          <w:p>
            <w:r>
              <w:rPr>
                <w:b/>
                <w:color w:val="008000"/>
                <w:sz w:val="17"/>
              </w:rPr>
              <w:t>+0.0%</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2,567</w:t>
            </w:r>
          </w:p>
        </w:tc>
        <w:tc>
          <w:tcPr>
            <w:tcW w:type="dxa" w:w="1440"/>
            <w:shd w:fill="FAFAFA" w:val="clear"/>
          </w:tcPr>
          <w:p>
            <w:r>
              <w:rPr>
                <w:b/>
                <w:sz w:val="17"/>
              </w:rPr>
              <w:t>2,869</w:t>
            </w:r>
          </w:p>
        </w:tc>
        <w:tc>
          <w:tcPr>
            <w:tcW w:type="dxa" w:w="1440"/>
            <w:shd w:fill="FAFAFA" w:val="clear"/>
          </w:tcPr>
          <w:p>
            <w:r>
              <w:rPr>
                <w:sz w:val="17"/>
              </w:rPr>
              <w:t>3,170</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 TOTALENERGIES MARKETING CÔTE D'IVOIRE (TTLC)**</w:t>
        <w:br/>
        <w:t>*Bourse Régionale des Valeurs Mobilières (BRVM) — Secteur : Distribution pétrolière /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180,70 milliards FCFA, TTLC figure parmi les valeurs les plus capitalisées de la BRVM, ce qui traduit sa stature de leader du secteur énergétique ivoirien et une forte liquidité relative sur le marché régional. Le BPA de 144 FCFA/action signifie que chaque titre génère 144 FCFA de bénéfice net, un niveau appréciable pour une entreprise de distribution à faibles marges. Le PER de 19,9x situe le titre nettement au-dessus de la moyenne BRVM (~8-12x), ce qui indique que les investisseurs paient une prime significative pour la qualité et la régularité des bénéfices, sans pour autant basculer dans une bulle spéculative. Le P/B de 4,99x confirme cette prime : le marché valorise TTLC à près de 5 fois sa valeur comptable, une exigence forte qui suppose une rentabilité durable des fonds propres (ROE de 25,1% en 2025 le justifie en partie). Enfin, l'EV/EBITDA de 10,5x, dans la fourchette 10-15x, signale une valorisation élevée de la capacité opérationnelle, cohérente avec la position dominante de la société mais laissant peu de marge d'erreur en cas de dégradation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variation quasi stable de -1,20%, mais la dernière séance (J-1) a enregistré une chute brutale de -3,69%, ramenant le cours à 2 870 FCFA. Le range de trading est large, entre un plus haut de 3 595 FCFA et un plus bas de 2 770 FCFA, soit un écart de 825 FCFA (près de 30% du cours actuel), ce qui témoigne d'une réelle nervosité du marché. La tendance générale est baissière sur la période, le cours actuel se situant dans le bas du range, non loin du plus bas. Les statistiques descriptives révèlent une moyenne (3 023 FCFA) supérieure à la médiane (2 962 FCFA), avec un skewness positif de 0,897 indiquant davantage de journées sous la moyenne — cohérent avec une pression vendeuse récente. L'écart-type de 192 FCFA et un coefficient de variation de 6,3% traduisent une dispersion modérée du cours autour de sa moyenne, tandis que le kurtosis de -0,282 (mésokurtique) suggère une distribution proche de la normale, sans risque extrême de pics violents. La volatilité annualisée de 40,9% classe le titre dans la catégorie **élevée** (&gt;30%), ce qui implique un risque de marché important pour un investisseur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(3 112,25 FCFA) et la MM50 (3 157,80 FCFA) se situent toutes deux nettement au-dessus du cours actuel (2 870 FCFA), confirmant une configuration baissière où le prix évolue sous ses références moyennes. La MM20 étant elle-même sous la MM50, la structure est clairement descendante, ce qui justifie la décision technique de **Vente**.</w:t>
      </w:r>
    </w:p>
    <w:p>
      <w:pPr>
        <w:spacing w:after="120" w:line="276" w:lineRule="auto"/>
      </w:pPr>
      <w:r>
        <w:t>**Bandes de Bollinger** : Le cours (2 870 FCFA) frôle la borne inférieure (2 864,07 FCFA) tout en restant très éloigné de la borne supérieure (3 360,43 FCFA), signe que le titre évolue en bas de canal avec une pression vendeuse persistante. La décision est **Neutre**, car le contact avec la borne basse peut annoncer un rebond technique à court terme.</w:t>
      </w:r>
    </w:p>
    <w:p>
      <w:pPr>
        <w:spacing w:after="120" w:line="276" w:lineRule="auto"/>
      </w:pPr>
      <w:r>
        <w:t>**MACD** : La valeur du MACD (-67,149) est inférieure à son signal (-42,312), avec un histogramme négatif qui traduit un momentum baissier toujours actif. La divergence négative entre les deux lignes confirme la décision de **Vente**, sans signe de retournement imminent.</w:t>
      </w:r>
    </w:p>
    <w:p>
      <w:pPr>
        <w:spacing w:after="120" w:line="276" w:lineRule="auto"/>
      </w:pPr>
      <w:r>
        <w:t>**RSI** : À 30,667, le RSI se situe juste au-dessus du seuil de survente (30), ce qui place le titre dans une zone de **Neutre** à tendance fragile. Un franchissement sous 30 déclencherait un signal de survente propice à un rebond, mais pour l'instant la prudence domine.</w:t>
      </w:r>
    </w:p>
    <w:p>
      <w:pPr>
        <w:spacing w:after="120" w:line="276" w:lineRule="auto"/>
      </w:pPr>
      <w:r>
        <w:t>**Stochastique** : Le %K à 0,0 est en forte divergence avec le %D à 0,585, le %K étant collé au plancher — configuration typique d'une survente extrême pouvant précéder un croisement haussier. La décision est **Achat** sur ce seul indicateur, à contre-courant des autres signaux.</w:t>
      </w:r>
    </w:p>
    <w:p>
      <w:pPr>
        <w:spacing w:after="120" w:line="276" w:lineRule="auto"/>
      </w:pPr>
      <w:r>
        <w:t>**Conclusion technique** : La majorité des indicateurs (MM, MACD) pointent vers une poursuite de la baisse, tandis que le RSI et le stochastique signalent une survente potentiellement propice à un rebond technique. La convergence n'est pas acquise : le titre est en zone de faiblesse mais approche de niveaux de support (borne basse de Bollinger à 2 864 FCFA) qui pourraient limiter la chute. Un signal d'achat contrarien ne serait validé qu'en cas de croisement haussier du stochastique et de redressement du RSI au-dessus de 35-40.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Côte d'Ivoire a réalisé un chiffre d'affaires de 588,709 milliards FCFA, en repli de 5,2% sur un an (contre 621,0 milliards en 2024), dans un contexte de baisse des ventes hors réseau. Le résultat net s'établit à 9,087 milliards FCFA (-3% vs 9,374 milliards en 2024), avec une marge nette de 1,54% (contre 1,51% en 2024), légèrement améliorée. La rentabilité des fonds propres (ROE) reste excellente à 25,1%, bien au-dessus du seuil de 15%, tandis que le ROA de 4,82% reflète la faible intensité capitalistique du modèle de distribution. Sur le plan opérationnel, l'EBE progresse de 12% à 22,347 milliards FCFA et le résultat d'exploitation bondit de 18% à 12,329 milliards, signe d'une meilleure maîtrise des coûts malgré la baisse du CA. En tant qu'entreprise de distribution, les points d'attention sont le BFR négatif (-9,662 milliards FCFA, favorable car financé par les fournisseurs), le délai fournisseurs élevé de 49,72 jours (bon pour la trésorerie) et une durée de stockage courte de 13,80 jours. Cependant, la trésorerie nette est négative à -21,926 milliards FCFA et le ratio d'endettement atteint 90,23%, avec une autonomie financière faible (19,21%). Le rapport annuel 2025 (publié en 2026) confirme un dividende brut de 10 milliards FCFA, soit un taux de distribution supérieur à 100% du résultat net, ce qui puise dans les réserves. Les rapports trimestriels 2025 (S1 et T3, datés de 2025) montrent une érosion du résultat net (-25,5% au S1, -30,2% au T3) due à l'absence de ventes exceptionnelles et à une charge fiscale anticipée. **Estimation** : sur la base du rapport T1 2026 (CA +4,3% à 154,392 milliards FCFA, résultat net +5,5% à 2,329 milliards), on peut estimer un exercice 2026 en légère reprise, avec un CA annualisé proche de 610-620 milliards FCFA et un résultat net autour de 9,5-10 milliards FCFA, sous réserve de la confirmation de la dynamique des volumes. La recommandation fondamentale est de **Conserver** : la solidité opérationnelle et le leadership sont indéniables, mais la trésorerie négative, l'endettement élevé et le payout supérieur à 100%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19,9x et P/B de 4,99x traduisent une prime de qualité qui laisse peu de marge de sécurité, même si l'EV/EBITDA de 10,5x reste dans une fourchette acceptable. Le comportement du cours (Partie 1) est préoccupant à court terme : tendance baissière, skewness positif (pression vendeuse), volatilité élevée de 40,9% et chute de -3,69% en J-1, bien que le kurtosis mésokurtique limite le risque de krach brutal. Les signaux techniques (Partie 2) sont majoritairement baissiers (MM, MACD) mais divergent avec un stochastique en survente extrême (%K=0,0) et un RSI proche de 30, ce qui pourrait annoncer un rebond technique à court terme. Les fondamentaux (Partie 3) restent solides : ROE de 25,1%, EBE en hausse de 12%, leader du marché ivoirien, mais la trésorerie nette négative (-21,9 milliards FCFA) et le payout &gt;100% pèsent sur la soutenabilité de la distribution. Les prédictions IA (J+1 à J+10) anticipent une stabilisation autour de 2 880-2 882 FCFA, ce qui contredit la dynamique baissière immédiate et suggère un plancher proche des 2 870 FCFA. **Recommandation finale : CONSERVER**. La convergence est partielle : la valorisation et les fondamentaux justifient une détention de long terme, mais les signaux techniques baissiers et la volatilité élevée déconseillent un achat immédiat. Le niveau de confiance est **Moyen** (divergence entre technique et fondamental), le risque global est **Moyen à Élevé** (volatilité 40,9%, endettement 90,2%), et l'horizon optimal est le **moyen terme (3-12 mois)**, en attendant la confirmation d'un retournement technique et la publication des résultats annuels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118.91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3,328 titres</w:t>
            </w:r>
          </w:p>
        </w:tc>
        <w:tc>
          <w:tcPr>
            <w:tcW w:type="dxa" w:w="2268"/>
            <w:shd w:fill="FFF2CC" w:val="clear"/>
          </w:tcPr>
          <w:p>
            <w:r>
              <w:rPr>
                <w:b/>
                <w:color w:val="503200"/>
                <w:sz w:val="16"/>
              </w:rPr>
              <w:t xml:space="preserve">Cours actuel : </w:t>
            </w:r>
            <w:r>
              <w:rPr>
                <w:color w:val="000000"/>
                <w:sz w:val="17"/>
              </w:rPr>
              <w:t>3,650 FCFA</w:t>
            </w:r>
          </w:p>
          <w:p>
            <w:r>
              <w:rPr>
                <w:b/>
                <w:color w:val="503200"/>
                <w:sz w:val="16"/>
              </w:rPr>
              <w:t xml:space="preserve">Var. 100 jours : </w:t>
            </w:r>
            <w:r>
              <w:rPr>
                <w:b/>
                <w:color w:val="007800"/>
                <w:sz w:val="17"/>
              </w:rPr>
              <w:t>+22.07%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2,990 FCFA</w:t>
            </w:r>
          </w:p>
          <w:p>
            <w:r>
              <w:rPr>
                <w:b/>
                <w:color w:val="503200"/>
                <w:sz w:val="16"/>
              </w:rPr>
              <w:t xml:space="preserve">Volatilité ann. : </w:t>
            </w:r>
            <w:r>
              <w:rPr>
                <w:color w:val="000000"/>
                <w:sz w:val="17"/>
              </w:rPr>
              <w:t>43.1%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7.73% (Moyenne) — μ=3,697 FCFA, σ=286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β=0.4640 (Défensif) — Cov=0.000034, Var(idx)=0.000073, ρ=0.147,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3,532</w:t>
            </w:r>
          </w:p>
        </w:tc>
        <w:tc>
          <w:tcPr>
            <w:tcW w:type="dxa" w:w="1440"/>
            <w:shd w:fill="FAFAFA" w:val="clear"/>
          </w:tcPr>
          <w:p>
            <w:r>
              <w:rPr>
                <w:b/>
                <w:sz w:val="17"/>
              </w:rPr>
              <w:t>3,660</w:t>
            </w:r>
          </w:p>
        </w:tc>
        <w:tc>
          <w:tcPr>
            <w:tcW w:type="dxa" w:w="1440"/>
            <w:shd w:fill="FAFAFA" w:val="clear"/>
          </w:tcPr>
          <w:p>
            <w:r>
              <w:rPr>
                <w:sz w:val="17"/>
              </w:rPr>
              <w:t>3,788</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3,467</w:t>
            </w:r>
          </w:p>
        </w:tc>
        <w:tc>
          <w:tcPr>
            <w:tcW w:type="dxa" w:w="1440"/>
            <w:shd w:fill="FAFAFA" w:val="clear"/>
          </w:tcPr>
          <w:p>
            <w:r>
              <w:rPr>
                <w:b/>
                <w:sz w:val="17"/>
              </w:rPr>
              <w:t>3,647</w:t>
            </w:r>
          </w:p>
        </w:tc>
        <w:tc>
          <w:tcPr>
            <w:tcW w:type="dxa" w:w="1440"/>
            <w:shd w:fill="FAFAFA" w:val="clear"/>
          </w:tcPr>
          <w:p>
            <w:r>
              <w:rPr>
                <w:sz w:val="17"/>
              </w:rPr>
              <w:t>3,828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3,418</w:t>
            </w:r>
          </w:p>
        </w:tc>
        <w:tc>
          <w:tcPr>
            <w:tcW w:type="dxa" w:w="1440"/>
            <w:shd w:fill="FAFAFA" w:val="clear"/>
          </w:tcPr>
          <w:p>
            <w:r>
              <w:rPr>
                <w:b/>
                <w:sz w:val="17"/>
              </w:rPr>
              <w:t>3,638</w:t>
            </w:r>
          </w:p>
        </w:tc>
        <w:tc>
          <w:tcPr>
            <w:tcW w:type="dxa" w:w="1440"/>
            <w:shd w:fill="FAFAFA" w:val="clear"/>
          </w:tcPr>
          <w:p>
            <w:r>
              <w:rPr>
                <w:sz w:val="17"/>
              </w:rPr>
              <w:t>3,858</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3,376</w:t>
            </w:r>
          </w:p>
        </w:tc>
        <w:tc>
          <w:tcPr>
            <w:tcW w:type="dxa" w:w="1440"/>
            <w:shd w:fill="FAFAFA" w:val="clear"/>
          </w:tcPr>
          <w:p>
            <w:r>
              <w:rPr>
                <w:b/>
                <w:sz w:val="17"/>
              </w:rPr>
              <w:t>3,630</w:t>
            </w:r>
          </w:p>
        </w:tc>
        <w:tc>
          <w:tcPr>
            <w:tcW w:type="dxa" w:w="1440"/>
            <w:shd w:fill="FAFAFA" w:val="clear"/>
          </w:tcPr>
          <w:p>
            <w:r>
              <w:rPr>
                <w:sz w:val="17"/>
              </w:rPr>
              <w:t>3,884</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3,340</w:t>
            </w:r>
          </w:p>
        </w:tc>
        <w:tc>
          <w:tcPr>
            <w:tcW w:type="dxa" w:w="1440"/>
            <w:shd w:fill="FAFAFA" w:val="clear"/>
          </w:tcPr>
          <w:p>
            <w:r>
              <w:rPr>
                <w:b/>
                <w:sz w:val="17"/>
              </w:rPr>
              <w:t>3,623</w:t>
            </w:r>
          </w:p>
        </w:tc>
        <w:tc>
          <w:tcPr>
            <w:tcW w:type="dxa" w:w="1440"/>
            <w:shd w:fill="FAFAFA" w:val="clear"/>
          </w:tcPr>
          <w:p>
            <w:r>
              <w:rPr>
                <w:sz w:val="17"/>
              </w:rPr>
              <w:t>3,906</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3,306</w:t>
            </w:r>
          </w:p>
        </w:tc>
        <w:tc>
          <w:tcPr>
            <w:tcW w:type="dxa" w:w="1440"/>
            <w:shd w:fill="FAFAFA" w:val="clear"/>
          </w:tcPr>
          <w:p>
            <w:r>
              <w:rPr>
                <w:b/>
                <w:sz w:val="17"/>
              </w:rPr>
              <w:t>3,616</w:t>
            </w:r>
          </w:p>
        </w:tc>
        <w:tc>
          <w:tcPr>
            <w:tcW w:type="dxa" w:w="1440"/>
            <w:shd w:fill="FAFAFA" w:val="clear"/>
          </w:tcPr>
          <w:p>
            <w:r>
              <w:rPr>
                <w:sz w:val="17"/>
              </w:rPr>
              <w:t>3,926</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3,275</w:t>
            </w:r>
          </w:p>
        </w:tc>
        <w:tc>
          <w:tcPr>
            <w:tcW w:type="dxa" w:w="1440"/>
            <w:shd w:fill="FAFAFA" w:val="clear"/>
          </w:tcPr>
          <w:p>
            <w:r>
              <w:rPr>
                <w:b/>
                <w:sz w:val="17"/>
              </w:rPr>
              <w:t>3,609</w:t>
            </w:r>
          </w:p>
        </w:tc>
        <w:tc>
          <w:tcPr>
            <w:tcW w:type="dxa" w:w="1440"/>
            <w:shd w:fill="FAFAFA" w:val="clear"/>
          </w:tcPr>
          <w:p>
            <w:r>
              <w:rPr>
                <w:sz w:val="17"/>
              </w:rPr>
              <w:t>3,943</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3,246</w:t>
            </w:r>
          </w:p>
        </w:tc>
        <w:tc>
          <w:tcPr>
            <w:tcW w:type="dxa" w:w="1440"/>
            <w:shd w:fill="FAFAFA" w:val="clear"/>
          </w:tcPr>
          <w:p>
            <w:r>
              <w:rPr>
                <w:b/>
                <w:sz w:val="17"/>
              </w:rPr>
              <w:t>3,603</w:t>
            </w:r>
          </w:p>
        </w:tc>
        <w:tc>
          <w:tcPr>
            <w:tcW w:type="dxa" w:w="1440"/>
            <w:shd w:fill="FAFAFA" w:val="clear"/>
          </w:tcPr>
          <w:p>
            <w:r>
              <w:rPr>
                <w:sz w:val="17"/>
              </w:rPr>
              <w:t>3,959</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3,219</w:t>
            </w:r>
          </w:p>
        </w:tc>
        <w:tc>
          <w:tcPr>
            <w:tcW w:type="dxa" w:w="1440"/>
            <w:shd w:fill="FAFAFA" w:val="clear"/>
          </w:tcPr>
          <w:p>
            <w:r>
              <w:rPr>
                <w:b/>
                <w:sz w:val="17"/>
              </w:rPr>
              <w:t>3,596</w:t>
            </w:r>
          </w:p>
        </w:tc>
        <w:tc>
          <w:tcPr>
            <w:tcW w:type="dxa" w:w="1440"/>
            <w:shd w:fill="FAFAFA" w:val="clear"/>
          </w:tcPr>
          <w:p>
            <w:r>
              <w:rPr>
                <w:sz w:val="17"/>
              </w:rPr>
              <w:t>3,974</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3,193</w:t>
            </w:r>
          </w:p>
        </w:tc>
        <w:tc>
          <w:tcPr>
            <w:tcW w:type="dxa" w:w="1440"/>
            <w:shd w:fill="FAFAFA" w:val="clear"/>
          </w:tcPr>
          <w:p>
            <w:r>
              <w:rPr>
                <w:b/>
                <w:sz w:val="17"/>
              </w:rPr>
              <w:t>3,590</w:t>
            </w:r>
          </w:p>
        </w:tc>
        <w:tc>
          <w:tcPr>
            <w:tcW w:type="dxa" w:w="1440"/>
            <w:shd w:fill="FAFAFA" w:val="clear"/>
          </w:tcPr>
          <w:p>
            <w:r>
              <w:rPr>
                <w:sz w:val="17"/>
              </w:rPr>
              <w:t>3,988</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118,91 milliards FCFA, TTLS s'impose comme l'une des valeurs moyennes les plus liquides et les plus suivies de la cote BRVM, portée par un actionnariat majoritaire du groupe TotalEnergies (69,1 %). Le BPA de 208 FCFA/action signifie que chaque titre génère près de 208 FCFA de bénéfice net, ce qui, rapporté au cours actuel de 3 650 FCFA, aboutit à un PER de 17,5x — soit un niveau **nettement supérieur à la moyenne du marché BRVM (8-12x)**, traduisant une prime de qualité et de leadership. Le P/B de 4,21x confirme cette valorisation exigeante : le marché paie plus de quatre fois la valeur comptable des fonds propres (28,2 Mds FCFA), ce qui n'est justifié que par la régularité des dividendes et la solidité du réseau de 140 stations-service. En revanche, l'EV/EBITDA de 7,4x, situé dans la fourchette raisonnable de 5-10x, indique que la valeur d'entreprise reste cohérente avec la capacité opérationnelle de génération de cash-flow. Au global, la valorisation apparaît **modérément tendue** : le marché intègre déjà la prime de leader, mais l'EV/EBITDA laisse une marge de sécurité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TTLS affiche une **progression totale de +22,07 %**, mais la dernière séance (J-1) marque un net repli de **-3,95 %**, signalant une prise de bénéfices après un rallye soutenu. Le titre a évolué dans un range large de **2 990 FCFA (plus bas) à 4 500 FCFA (plus haut)**, soit une amplitude de plus de 50 %, avant de se stabiliser autour de 3 650 FCFA. La tendance de fond reste **haussière**, mais le cours actuel se situe désormais sous sa moyenne (3 697 FCFA) et sa médiane (3 695 FCFA), ce qui traduit un essoufflement de court terme. Les statistiques descriptives confirment cette lecture : l'écart très faible entre moyenne (3 697) et médiane (3 695) indique une **distribution quasi symétrique**, cohérente avec un skewness de 0,191 (asymétrie légère mais positive). L'écart-type de 287 FCFA, soit un **coefficient de variation de 7,8 %**, révèle une dispersion modérée du cours autour de sa tendance. Le kurtosis de 0,452 (mésokurtique) suggère une distribution proche de la normale, sans risque majeur de pics extrêmes. Enfin, la **volatilité annualisée de 43,1 %** classe TTLS parmi les titres à volatilité **élevée** (&gt;30 %), ce qui implique une gestion prudente du risque et un horizon d'investissement adapté.</w:t>
      </w:r>
    </w:p>
    <w:p>
      <w:pPr>
        <w:spacing w:after="120" w:line="276" w:lineRule="auto"/>
      </w:pPr>
      <w:r>
        <w:t>---</w:t>
      </w:r>
    </w:p>
    <w:p>
      <w:pPr>
        <w:spacing w:after="120" w:line="276" w:lineRule="auto"/>
      </w:pPr>
      <w:r>
        <w:t>## PARTIE 2 : ANALYSE TECHNIQUE DÉTAILLÉE</w:t>
      </w:r>
    </w:p>
    <w:p>
      <w:pPr>
        <w:spacing w:after="120" w:line="276" w:lineRule="auto"/>
      </w:pPr>
      <w:r>
        <w:t>**Moyennes Mobiles** — La MM20 (3 774 FCFA) et la MM50 (3 747 FCFA) se situent toutes deux **au-dessus du cours actuel (3 650 FCFA)**, ce qui place le titre en position de faiblesse relative à court terme. Toutefois, la MM20 reste supérieure à la MM50, configuration classique d'un **croisement haussier de fond** qui justifie la décision « Achat » fournie, à condition d'une reprise du cours au-dessus de 3 750 FCFA.</w:t>
      </w:r>
    </w:p>
    <w:p>
      <w:pPr>
        <w:spacing w:after="120" w:line="276" w:lineRule="auto"/>
      </w:pPr>
      <w:r>
        <w:t>**Bandes de Bollinger** — Le cours (3 650 FCFA) évolue dans la moitié inférieure du canal, entre la borne inférieure (3 501 FCFA) et la borne supérieure (4 047 FCFA). La décision « Neutre » reflète l'absence de signal directionnel fort : le titre n'est ni en survente extrême, ni en surachat, et la largeur des bandes confirme la **volatilité élevée** observée sur la période.</w:t>
      </w:r>
    </w:p>
    <w:p>
      <w:pPr>
        <w:spacing w:after="120" w:line="276" w:lineRule="auto"/>
      </w:pPr>
      <w:r>
        <w:t>**MACD** — La valeur du MACD (-45,729) est **inférieure à son signal (-37,061)**, avec un histogramme négatif. Cette configuration traduit un **momentum baissier de court terme** et justifie la décision « Vente », bien que l'écart reste modéré et puisse se résorber rapidement en cas de rebond.</w:t>
      </w:r>
    </w:p>
    <w:p>
      <w:pPr>
        <w:spacing w:after="120" w:line="276" w:lineRule="auto"/>
      </w:pPr>
      <w:r>
        <w:t>**RSI** — À 32,759, le RSI se situe juste au-dessus du seuil de survente (30), en zone **neutre basse**. La décision « Neutre » est cohérente : le titre n'est pas encore survendu, mais la pression vendeuse récente commence à peser sur le momentum.</w:t>
      </w:r>
    </w:p>
    <w:p>
      <w:pPr>
        <w:spacing w:after="120" w:line="276" w:lineRule="auto"/>
      </w:pPr>
      <w:r>
        <w:t>**Stochastique** — Le %K (20,0) est inférieur au %D (26,667), avec les deux courbes en zone basse. Cette configuration indique une **pression baissière persistante**, mais la proximité du seuil de survente (20) suggère qu'un retournement technique pourrait se produire à court terme.</w:t>
      </w:r>
    </w:p>
    <w:p>
      <w:pPr>
        <w:spacing w:after="120" w:line="276" w:lineRule="auto"/>
      </w:pPr>
      <w:r>
        <w:t>**Conclusion technique** — Les indicateurs sont **majoritairement baissiers à court terme** (MACD en vente, cours sous les MM, stochastique bas), mais le RSI neutre et la position du cours dans les bandes de Bollinger laissent entrevoir un **potentiel de rebond technique** autour de 3 500-3 600 FCFA. La convergence des signaux plaide pour une **phase de consolidation** avant une reprise éventuelle.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TTLS a réalisé un chiffre d'affaires de **455,209 Mds FCFA**, en **recul de 6,1 %** par rapport à 2024, sous l'effet de l'arrêt stratégique de la commercialisation du fuel lourd (39,5 Mds FCFA de CA en 2024). Le résultat net s'établit à **6,779 Mds FCFA** (marge nette de 1,49 %), en légère baisse de 5,1 % vs 2024 (7,140 Mds FCFA), tandis que le **ROE atteint 24,0 %** (excellent, &gt;15 %) et le **ROA 3,95 %**, confirmant une rentabilité des fonds propres solide malgré une marge nette structurellement faible, typique de la distribution pétrolière. Le **BFR est négatif (-36,899 Mds FCFA)**, ce qui constitue un **avantage de trésorerie majeur** : les fournisseurs (délai de 97,76 jours) financent l'activité plus longtemps que les clients ne paient (délai de 47,43 jours). La trésorerie nette s'élève à **13,941 Mds FCFA** et le **FCF à 17,483 Mds FCFA**, en nette amélioration (trésorerie passée de 8,4 à 20,6 Mds FCFA selon le rapport 2025). Le taux d'endettement de 52,2 % et l'autonomie financière de 16,4 % (inférieure au seuil sain de 30 %) restent des points de vigilance, mais la **capacité de remboursement de 0,94 an** et la **couverture des intérêts à 485,9 %** rassurent sur la solvabilité.</w:t>
      </w:r>
    </w:p>
    <w:p>
      <w:pPr>
        <w:spacing w:after="120" w:line="276" w:lineRule="auto"/>
      </w:pPr>
      <w:r>
        <w:t>**Estimations issues des rapports trimestriels** — Le rapport du **T1 2026 (publié le 2026-05-04)** révèle un CA de 99,9 Mds FCFA (-10 % vs T1 2025), impacté par la **baisse réglementaire des prix à la pompe** décidée par l'État en décembre 2025. Malgré cela, le **résultat d'exploitation progresse de +28 % à 2,623 Mds FCFA** et le **résultat net de +5 % à 1,585 Mds FCFA**, grâce à l'amélioration des marges sur les lubrifiants. On estime donc que l'exercice 2026 devrait confirmer cette **résilience opérationnelle**, avec un résultat net annuel potentiellement stable autour de 6,5-7,0 Mds FCFA, à condition que la pression réglementaire sur les prix ne s'aggrave pas. Le rapport annuel 2025 (publié le 2026-05-04) confirme la solidité du modèle : **140 stations-service**, leader du marché sénégalais, et des perspectives de croissance liées aux projets **Sangomar et GNL/GTA**.</w:t>
      </w:r>
    </w:p>
    <w:p>
      <w:pPr>
        <w:spacing w:after="120" w:line="276" w:lineRule="auto"/>
      </w:pPr>
      <w:r>
        <w:t>**Recommandation fondamentale** — TTLS est une **valeur défensive de qualité**, avec une rentabilité des fonds propres élevée (ROE 24 %), un BFR négatif favorable et une trésorerie en amélioration. Les risques principaux restent la **dépendance aux décisions réglementaires de l'État sénégalais** sur les prix des carburants, la **baisse structurelle du CA** et l'**absence d'information sur la politique de dividende** pour 2025-2026. La solidité opérationnelle et le soutien du groupe TotalEnergies justifient une **recommandation de conservation**,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**contrasté mais globalement équilibré**. Sur le plan de la **valorisation (Partie 0)**, le PER de 17,5x et le P/B de 4,21x indiquent une **surévaluation relative** par rapport à la moyenne BRVM (8-12x), mais l'EV/EBITDA de 7,4x reste raisonnable et la prime se justifie par le leadership et la régularité des dividendes. Le **comportement du cours (Partie 1)** est haussier sur 100 jours (+22,07 %), mais la récente correction de -3,95 % et la volatilité élevée (43,1 %) incitent à la prudence ; la distribution quasi symétrique (skewness 0,191) et l'absence de pics extrêmes (kurtosis 0,452) sont rassurantes. Les **signaux techniques (Partie 2)** sont majoritairement baissiers à court terme (MACD en vente, cours sous les MM20/MM50, stochastique bas), mais le RSI neutre (32,76) et la position dans les bandes de Bollinger suggèrent un **potentiel de rebond** autour de 3 500-3 600 FCFA. Les **fondamentaux (Partie 3)** demeurent solides : ROE de 24 %, BFR négatif, trésorerie en hausse, et résilience opérationnelle confirmée par le T1 2026 (+28 % de résultat d'exploitation). Les **prédictions IA (J+1 à J+10)** anticipent une **légère dérive baissière** de 3 660 à 3 623 FCFA, ce qui **contredit partiellement** les signaux de rebond technique mais **confirme** la phase de consolidation en cours.</w:t>
      </w:r>
    </w:p>
    <w:p>
      <w:pPr>
        <w:spacing w:after="120" w:line="276" w:lineRule="auto"/>
      </w:pPr>
      <w:r>
        <w:t>**Recommandation finale : CONSERVER**</w:t>
        <w:br/>
        <w:t>La convergence entre une valorisation tendue, des signaux techniques baissiers à court terme et des fondamentaux solides mais sans catalyseur immédiat plaide pour une **conservation** des positions. Un **ACHAT** serait prématuré sans confirmation d'un rebond au-dessus de 3 750 FCFA (MM20) et sans visibilité sur la politique de dividende 2025-2026. Une **VENTE** ne se justifie pas compte tenu de la solidité opérationnelle et du soutien du groupe TotalEnergies.</w:t>
      </w:r>
    </w:p>
    <w:p>
      <w:pPr>
        <w:spacing w:after="120" w:line="276" w:lineRule="auto"/>
      </w:pPr>
      <w:r>
        <w:t>- **Niveau de confiance** : Moyen (les signaux techniques et fondamentaux divergent à court terme)</w:t>
        <w:br/>
        <w:t>- **Niveau de risque global** : Moyen (volatilité élevée de 43,1 %, dépendance réglementaire)</w:t>
        <w:br/>
        <w:t>- **Horizon d'investissement optimal** : **Moyen terme (3-12 mois)**, en attendant la publication des résultats semestriels 2026 et la clarification de la politique de dividende.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22 titres</w:t>
            </w:r>
          </w:p>
        </w:tc>
        <w:tc>
          <w:tcPr>
            <w:tcW w:type="dxa" w:w="2268"/>
            <w:shd w:fill="FFF2CC" w:val="clear"/>
          </w:tcPr>
          <w:p>
            <w:r>
              <w:rPr>
                <w:b/>
                <w:color w:val="503200"/>
                <w:sz w:val="16"/>
              </w:rPr>
              <w:t xml:space="preserve">Cours actuel : </w:t>
            </w:r>
            <w:r>
              <w:rPr>
                <w:color w:val="000000"/>
                <w:sz w:val="17"/>
              </w:rPr>
              <w:t>48,000 FCFA</w:t>
            </w:r>
          </w:p>
          <w:p>
            <w:r>
              <w:rPr>
                <w:b/>
                <w:color w:val="503200"/>
                <w:sz w:val="16"/>
              </w:rPr>
              <w:t xml:space="preserve">Var. 100 jours : </w:t>
            </w:r>
            <w:r>
              <w:rPr>
                <w:b/>
                <w:color w:val="B40000"/>
                <w:sz w:val="17"/>
              </w:rPr>
              <w:t>-14.44%</w:t>
            </w:r>
          </w:p>
          <w:p>
            <w:r>
              <w:rPr>
                <w:b/>
                <w:color w:val="503200"/>
                <w:sz w:val="16"/>
              </w:rPr>
              <w:t xml:space="preserve">Plus haut 100j : </w:t>
            </w:r>
            <w:r>
              <w:rPr>
                <w:color w:val="000000"/>
                <w:sz w:val="17"/>
              </w:rPr>
              <w:t>60,295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5.85% (Moyenne) — μ=54,127 FCFA, σ=3,168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β=0.6017 (Défensif) — Cov=0.000045, Var(idx)=0.000074, ρ=0.144,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22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σ_j=3.62%/j (Modérée) — Vol. annualisée≈57.4%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45,042</w:t>
            </w:r>
          </w:p>
        </w:tc>
        <w:tc>
          <w:tcPr>
            <w:tcW w:type="dxa" w:w="1440"/>
            <w:shd w:fill="FAFAFA" w:val="clear"/>
          </w:tcPr>
          <w:p>
            <w:r>
              <w:rPr>
                <w:b/>
                <w:sz w:val="17"/>
              </w:rPr>
              <w:t>47,937</w:t>
            </w:r>
          </w:p>
        </w:tc>
        <w:tc>
          <w:tcPr>
            <w:tcW w:type="dxa" w:w="1440"/>
            <w:shd w:fill="FAFAFA" w:val="clear"/>
          </w:tcPr>
          <w:p>
            <w:r>
              <w:rPr>
                <w:sz w:val="17"/>
              </w:rPr>
              <w:t>50,832</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43,835</w:t>
            </w:r>
          </w:p>
        </w:tc>
        <w:tc>
          <w:tcPr>
            <w:tcW w:type="dxa" w:w="1440"/>
            <w:shd w:fill="FAFAFA" w:val="clear"/>
          </w:tcPr>
          <w:p>
            <w:r>
              <w:rPr>
                <w:b/>
                <w:sz w:val="17"/>
              </w:rPr>
              <w:t>47,928</w:t>
            </w:r>
          </w:p>
        </w:tc>
        <w:tc>
          <w:tcPr>
            <w:tcW w:type="dxa" w:w="1440"/>
            <w:shd w:fill="FAFAFA" w:val="clear"/>
          </w:tcPr>
          <w:p>
            <w:r>
              <w:rPr>
                <w:sz w:val="17"/>
              </w:rPr>
              <w:t>52,022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42,909</w:t>
            </w:r>
          </w:p>
        </w:tc>
        <w:tc>
          <w:tcPr>
            <w:tcW w:type="dxa" w:w="1440"/>
            <w:shd w:fill="FAFAFA" w:val="clear"/>
          </w:tcPr>
          <w:p>
            <w:r>
              <w:rPr>
                <w:b/>
                <w:sz w:val="17"/>
              </w:rPr>
              <w:t>47,921</w:t>
            </w:r>
          </w:p>
        </w:tc>
        <w:tc>
          <w:tcPr>
            <w:tcW w:type="dxa" w:w="1440"/>
            <w:shd w:fill="FAFAFA" w:val="clear"/>
          </w:tcPr>
          <w:p>
            <w:r>
              <w:rPr>
                <w:sz w:val="17"/>
              </w:rPr>
              <w:t>52,934</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42,130</w:t>
            </w:r>
          </w:p>
        </w:tc>
        <w:tc>
          <w:tcPr>
            <w:tcW w:type="dxa" w:w="1440"/>
            <w:shd w:fill="FAFAFA" w:val="clear"/>
          </w:tcPr>
          <w:p>
            <w:r>
              <w:rPr>
                <w:b/>
                <w:sz w:val="17"/>
              </w:rPr>
              <w:t>47,917</w:t>
            </w:r>
          </w:p>
        </w:tc>
        <w:tc>
          <w:tcPr>
            <w:tcW w:type="dxa" w:w="1440"/>
            <w:shd w:fill="FAFAFA" w:val="clear"/>
          </w:tcPr>
          <w:p>
            <w:r>
              <w:rPr>
                <w:sz w:val="17"/>
              </w:rPr>
              <w:t>53,705</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41,444</w:t>
            </w:r>
          </w:p>
        </w:tc>
        <w:tc>
          <w:tcPr>
            <w:tcW w:type="dxa" w:w="1440"/>
            <w:shd w:fill="FAFAFA" w:val="clear"/>
          </w:tcPr>
          <w:p>
            <w:r>
              <w:rPr>
                <w:b/>
                <w:sz w:val="17"/>
              </w:rPr>
              <w:t>47,915</w:t>
            </w:r>
          </w:p>
        </w:tc>
        <w:tc>
          <w:tcPr>
            <w:tcW w:type="dxa" w:w="1440"/>
            <w:shd w:fill="FAFAFA" w:val="clear"/>
          </w:tcPr>
          <w:p>
            <w:r>
              <w:rPr>
                <w:sz w:val="17"/>
              </w:rPr>
              <w:t>54,386</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40,826</w:t>
            </w:r>
          </w:p>
        </w:tc>
        <w:tc>
          <w:tcPr>
            <w:tcW w:type="dxa" w:w="1440"/>
            <w:shd w:fill="FAFAFA" w:val="clear"/>
          </w:tcPr>
          <w:p>
            <w:r>
              <w:rPr>
                <w:b/>
                <w:sz w:val="17"/>
              </w:rPr>
              <w:t>47,914</w:t>
            </w:r>
          </w:p>
        </w:tc>
        <w:tc>
          <w:tcPr>
            <w:tcW w:type="dxa" w:w="1440"/>
            <w:shd w:fill="FAFAFA" w:val="clear"/>
          </w:tcPr>
          <w:p>
            <w:r>
              <w:rPr>
                <w:sz w:val="17"/>
              </w:rPr>
              <w:t>55,002</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40,257</w:t>
            </w:r>
          </w:p>
        </w:tc>
        <w:tc>
          <w:tcPr>
            <w:tcW w:type="dxa" w:w="1440"/>
            <w:shd w:fill="FAFAFA" w:val="clear"/>
          </w:tcPr>
          <w:p>
            <w:r>
              <w:rPr>
                <w:b/>
                <w:sz w:val="17"/>
              </w:rPr>
              <w:t>47,913</w:t>
            </w:r>
          </w:p>
        </w:tc>
        <w:tc>
          <w:tcPr>
            <w:tcW w:type="dxa" w:w="1440"/>
            <w:shd w:fill="FAFAFA" w:val="clear"/>
          </w:tcPr>
          <w:p>
            <w:r>
              <w:rPr>
                <w:sz w:val="17"/>
              </w:rPr>
              <w:t>55,569</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39,729</w:t>
            </w:r>
          </w:p>
        </w:tc>
        <w:tc>
          <w:tcPr>
            <w:tcW w:type="dxa" w:w="1440"/>
            <w:shd w:fill="FAFAFA" w:val="clear"/>
          </w:tcPr>
          <w:p>
            <w:r>
              <w:rPr>
                <w:b/>
                <w:sz w:val="17"/>
              </w:rPr>
              <w:t>47,913</w:t>
            </w:r>
          </w:p>
        </w:tc>
        <w:tc>
          <w:tcPr>
            <w:tcW w:type="dxa" w:w="1440"/>
            <w:shd w:fill="FAFAFA" w:val="clear"/>
          </w:tcPr>
          <w:p>
            <w:r>
              <w:rPr>
                <w:sz w:val="17"/>
              </w:rPr>
              <w:t>56,098</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39,232</w:t>
            </w:r>
          </w:p>
        </w:tc>
        <w:tc>
          <w:tcPr>
            <w:tcW w:type="dxa" w:w="1440"/>
            <w:shd w:fill="FAFAFA" w:val="clear"/>
          </w:tcPr>
          <w:p>
            <w:r>
              <w:rPr>
                <w:b/>
                <w:sz w:val="17"/>
              </w:rPr>
              <w:t>47,913</w:t>
            </w:r>
          </w:p>
        </w:tc>
        <w:tc>
          <w:tcPr>
            <w:tcW w:type="dxa" w:w="1440"/>
            <w:shd w:fill="FAFAFA" w:val="clear"/>
          </w:tcPr>
          <w:p>
            <w:r>
              <w:rPr>
                <w:sz w:val="17"/>
              </w:rPr>
              <w:t>56,594</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38,763</w:t>
            </w:r>
          </w:p>
        </w:tc>
        <w:tc>
          <w:tcPr>
            <w:tcW w:type="dxa" w:w="1440"/>
            <w:shd w:fill="FAFAFA" w:val="clear"/>
          </w:tcPr>
          <w:p>
            <w:r>
              <w:rPr>
                <w:b/>
                <w:sz w:val="17"/>
              </w:rPr>
              <w:t>47,914</w:t>
            </w:r>
          </w:p>
        </w:tc>
        <w:tc>
          <w:tcPr>
            <w:tcW w:type="dxa" w:w="1440"/>
            <w:shd w:fill="FAFAFA" w:val="clear"/>
          </w:tcPr>
          <w:p>
            <w:r>
              <w:rPr>
                <w:sz w:val="17"/>
              </w:rPr>
              <w:t>57,064</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COTE D'IVOIRE (UNLC)</w:t>
        <w:br/>
        <w:t>**Bourse Régionale des Valeurs Mobilières (BRVM) — Secteur : Biens de Consommation (FMCG)**</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**440,80 milliards FCFA**, un niveau significatif à l'échelle de la BRVM qui place la société parmi les valeurs les plus capitalisées de la cote, reflétant la notoriété du groupe Unilever et la résilience de son portefeuille de marques (Omo, Blue Band, Geisha, etc.). Le BPA (Bénéfice Par Action) et le PER ne sont pas calculables en l'absence de données financières structurées récentes exploitables, mais sur la base du bénéfice net 2023 de 640,3 millions FCFA rapporté à environ 9,18 millions d'actions, le BPA ressortirait à environ **70 FCFA**, ce qui impliquerait un PER théorique d'environ **686x** — un niveau aberrant qui traduit une décorrélation totale entre le cours de bourse et la rentabilité effective de l'entreprise. Le P/B (Price-to-Book) serait également non significatif puisque les capitaux propres sont **négatifs à -10 658 millions FCFA** en 2023, ce qui signifie que le marché valorise l'action bien au-delà d'une valeur comptable inexistante. L'EV/EBITDA ne peut être calculé faute d'EBITDA communiqué, mais la trésorerie passive élevée (14 874 millions FCFA) et l'endettement croissant suggèrent une valeur d'entreprise supérieure à la capitalisation, ce qui rendrait le multiple encore plus tendu. En synthèse, la valorisation boursière d'UNLC apparaît **très riche et déconnectée des fondamentaux**, portée davantage par la prime de rareté et la notoriété de la marque que par la performance financière.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 enregistré une **variation totale de -14,44%**, avec une dernière séance (J-1) stable à **+0,00%**, le cours actuel s'établissant à **48 000 FCFA**. Le range de trading est relativement large, avec un plus haut à **60 295 FCFA** et un plus bas à **47 215 FCFA**, soit un écart de plus de 13 000 FCFA qui témoigne d'une pression vendeuse soutenue ayant ramené le titre près de ses plus bas. La tendance générale est clairement **baissière** sur la période, le cours actuel (48 000 FCFA) se situant sous la moyenne (54 127 FCFA) et sous la médiane (54 150 FCFA), ce qui confirme la prédominance des vendeurs. Les statistiques descriptives révèlent une **distribution quasi-symétrique** (skewness = -0,200) et **mésokurtique** (kurtosis = -0,560), c'est-à-dire proche d'une loi normale, sans risque de pics extrêmes marqués ni d'asymétrie prononcée — un comportement de marché relativement « ordonné » malgré la baisse. L'écart-type de **3 184 FCFA** et le coefficient de variation de **5,9%** indiquent une dispersion modérée du cours autour de sa moyenne, mais la **volatilité annualisée de 57,4%** classe le titre dans la catégorie des valeurs **très volatiles** (seuil &gt;30%), ce qui implique un risque de marché élevé pour l'investisseur. Le mode à **58 000 FCFA** — nettement supérieur au cours actuel — suggère que le titre a longtemps évolué dans une zone de prix plus élevée avant de décrocher, ce qui peut indiquer une cassure de support et un changement de régime baissier.</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**50 313 FCFA** et la MM50 à **52 475,5 FCFA**, toutes deux nettement supérieures au cours actuel de 48 000 FCFA, ce qui confirme une configuration baissière avec le prix sous ses moyennes. La MM20 étant elle-même inférieure à la MM50, on observe un croisement baissier (death cross) caractéristique d'une tendance descendante. La décision technique qui en résulte est logiquement **Vente**.</w:t>
      </w:r>
    </w:p>
    <w:p>
      <w:pPr>
        <w:spacing w:after="120" w:line="276" w:lineRule="auto"/>
      </w:pPr>
      <w:r>
        <w:t>**Bandes de Bollinger** : La borne supérieure se situe à **54 952,97 FCFA** et la borne inférieure à **45 673,03 FCFA**, avec un cours actuel de 48 000 FCFA qui se positionne dans la moitié basse de la bande, sans toutefois toucher la borne inférieure. Cette position indique une pression baissière modérée mais pas encore de survente extrême, et la décision qui en découle est **Neutre**, le titre n'étant ni en zone d'achat technique ni en zone de vente forcée.</w:t>
      </w:r>
    </w:p>
    <w:p>
      <w:pPr>
        <w:spacing w:after="120" w:line="276" w:lineRule="auto"/>
      </w:pPr>
      <w:r>
        <w:t>**MACD** : La valeur du MACD est de **-1 363,55** contre un signal à **-1 167,30**, soit un MACD inférieur à son signal, ce qui traduit un **momentum baissier persistant**. La divergence négative entre les deux lignes confirme que la dynamique de court terme reste défavorable, et la décision technique est **Vente**.</w:t>
      </w:r>
    </w:p>
    <w:p>
      <w:pPr>
        <w:spacing w:after="120" w:line="276" w:lineRule="auto"/>
      </w:pPr>
      <w:r>
        <w:t>**RSI** : Le RSI s'établit à **36,77**, un niveau qui se situe dans la zone neutre basse (entre 30 et 70), sans atteindre le seuil de survente de 30. Cela signifie que le titre n'est pas encore techniquement « survendu » et qu'il pourrait encore baisser avant qu'un rebond ne se matérialise. La décision est **Neutre**, mais la proximité du seuil de 30 appelle à la vigilance.</w:t>
      </w:r>
    </w:p>
    <w:p>
      <w:pPr>
        <w:spacing w:after="120" w:line="276" w:lineRule="auto"/>
      </w:pPr>
      <w:r>
        <w:t>**Stochastique** : Le %K est à **16,42** et le %D à **15,31**, des niveaux très bas (proches de 0) qui signalent une **survente technique**. Le croisement éventuel du %K au-dessus du %D pourrait déclencher un signal d'achat à court terme, ce qui justifie la décision **Achat** fournie par cet indicateur — mais ce signal doit être pondéré par la faiblesse des autres indicateurs.</w:t>
      </w:r>
    </w:p>
    <w:p>
      <w:pPr>
        <w:spacing w:after="120" w:line="276" w:lineRule="auto"/>
      </w:pPr>
      <w:r>
        <w:t>**Conclusion technique** : Les indicateurs techniques présentent un tableau **majoritairement baissier** (MM, MACD) avec quelques signaux contradictoires (Stochastique en survente, RSI neutre-bas). La convergence des moyennes mobiles et du MACD vers une tendance descendante, combinée à un cours sous ses moyennes, suggère que la pression vendeuse reste dominante. Le signal d'achat du Stochastique est un signal de court terme qui ne remet pas en cause la tendance de fond, et l'absence de survente marquée sur le RSI indique que le potentiel de baisse n'est pas épuisé. **La prudence reste de mise, avec une orientation baissière à court terme.**</w:t>
      </w:r>
    </w:p>
    <w:p>
      <w:pPr>
        <w:spacing w:after="120" w:line="276" w:lineRule="auto"/>
      </w:pPr>
      <w:r>
        <w:t>---</w:t>
      </w:r>
    </w:p>
    <w:p>
      <w:pPr>
        <w:spacing w:after="120" w:line="276" w:lineRule="auto"/>
      </w:pPr>
      <w:r>
        <w:t>## 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**En 2023**, le chiffre d'affaires s'est établi à **24 336 010 000 FCFA**, stable par rapport à 2022, tandis que le résultat net est redevenu positif à **640 334 855 FCFA** après une perte massive de **-6 908 362 002 FCFA en 2022** (ou -6 382 600 386 FCFA selon une autre source). Cette amélioration spectaculaire du résultat net est principalement due à un retour à un résultat d'exploitation positif de **+3 340 millions FCFA** (contre -6 258 millions en 2022), grâce à une réduction des charges et une meilleure gestion des stocks. La marge nette reste toutefois très faible à **2,63%**, bien en dessous de la moyenne sectorielle des FMCG en Afrique de l'Ouest (5-10%). Le ROE et le ROA ne sont pas calculables de manière pertinente car les **capitaux propres sont négatifs à -10 658 millions FCFA**, ce qui signifie que l'entreprise est techniquement en situation de capitaux propres négatifs — un signal de fragilité financière majeur. **En 2022**, le chiffre d'affaires était de **36 174,6 millions FCFA** (hors taxes) selon un rapport provisoire, en baisse de 21,5% par rapport à 2021 (46 059,4 millions FCFA), en raison de la cession de l'activité « Thé » (Lipton) et des perturbations régionales (embargo malien, restrictions BCEAO). La perte nette de 2022 (-6,4 milliards FCFA) reflétait la disparition des produits exceptionnels de 2021 (cession de Lipton pour +16,7 milliards FCFA) et la pression sur les marges. **En 2021**, le chiffre d'affaires était de **24 336 010 000 FCFA** (stable), avec un résultat net bénéficiaire de **+6 090 755 732 FCFA** (marge nette de 25,0%) — mais ce bénéfice était largement dû à des produits exceptionnels non récurrents. L'évolution sur 2021-2023 montre une **grande volatilité des résultats**, avec un passage d'un bénéfice exceptionnel (2021) à une perte massive (2022) puis à un modeste bénéfice (2023), ce qui traduit une **absence de rentabilité opérationnelle structurelle**. Les risques identifiés sont nombreux : **capitaux propres négatifs**, **endettement élevé** (dettes financières de 4 379 millions FCFA en 2023), **absence de dividende** depuis plusieurs années, **dépendance au marché ivoirien**, et **concurrence accrue** des multinationales (Nestlé, P&amp;G) et des marques locales. Les opportunités résident dans l'**expansion régionale** (UEMOA), l'**innovation produit** (gammes premium, bio) et l'**optimisation des coûts**. **En conclusion, la situation fondamentale d'UNLC reste précaire malgré l'amélioration de 2023 : la société est en redressement mais sa structure financière est fragile, sa rentabilité est faible et sa politique de dividende est inexistante. La recommandation fondamentale est de CONSERVER avec une vigilance extrême, en attendant une confirmation durable de la rentabilité et une reconstitution des capitaux propres.**</w:t>
      </w:r>
    </w:p>
    <w:p>
      <w:pPr>
        <w:spacing w:after="120" w:line="276" w:lineRule="auto"/>
      </w:pPr>
      <w:r>
        <w:t>---</w:t>
      </w:r>
    </w:p>
    <w:p>
      <w:pPr>
        <w:spacing w:after="120" w:line="276" w:lineRule="auto"/>
      </w:pPr>
      <w:r>
        <w:t>## PARTIE 4 : CONCLUSION D'INVESTISSEMENT</w:t>
      </w:r>
    </w:p>
    <w:p>
      <w:pPr>
        <w:spacing w:after="120" w:line="276" w:lineRule="auto"/>
      </w:pPr>
      <w:r>
        <w:t>La synthèse des quatre parties de cette analyse conduit à une recommandation **CONSERVER (avec vigilance)**, avec un **niveau de confiance moyen** et un **risque global élevé**. En effet, la **valorisation boursière (Partie 0)** apparaît très tendue, avec une capitalisation de 440,80 milliards FCFA pour un bénéfice net de seulement 640 millions FCFA en 2023, soit un PER théorique d'environ 686x — un niveau qui traduit une décorrélation totale entre le cours et les fondamentaux, et qui ne laisse aucune marge de sécurité à l'investisseur. Le **comportement du cours (Partie 1)** est baissier (-14,44% sur 100 jours), avec une volatilité annualisée très élevée (57,4%) et une distribution quasi-symétrique (skewness -0,200) mais sans pics extrêmes (kurtosis -0,560), ce qui indique une tendance descendante ordonnée mais persistante. Les **signaux techniques (Partie 2)** sont majoritairement baissiers (MM20 &lt; MM50, MACD négatif, cours sous les moyennes), avec seulement le Stochastique en zone de survente qui offre un signal d'achat contrarien de court terme — mais ce signal est isolé et ne remet pas en cause la tendance de fond. Les **fondamentaux (Partie 3)** montrent une amélioration en 2023 (retour à un bénéfice de 640 millions FCFA, résultat d'exploitation positif de 3 340 millions FCFA) mais restent fragiles : capitaux propres négatifs (-10 658 millions FCFA), endettement élevé, absence de dividende, et une marge nette de seulement 2,63% — bien inférieure à la moyenne sectorielle. Les **prédictions IA (J+1 à J+10)** anticipent une **stabilisation du cours autour de 47 915-47 937 FCFA**, soit une légère baisse par rapport au cours actuel de 48 000 FCFA, ce qui **confirme la tendance baissière** et ne contredit pas les signaux techniques et fondamentaux. La convergence entre la valorisation tendue, la tendance baissière, les signaux techniques majoritairement négatifs et les fondamentaux fragiles plaide pour une **grande prudence**. **La recommandation finale est donc CONSERVER (avec vigilance), avec un horizon d'investissement de moyen terme (3-12 mois) pour les investisseurs déjà positionnés, et une recommandation d'ÉVITER l'achat pour les nouveaux investisseurs tant que la société n'aura pas démontré une capacité à générer une rentabilité durable et à reconstituer ses capitaux propres.** Le niveau de risque est **élevé** en raison de la volatilité du titre, de la fragilité financière de l'entreprise et de l'absence de dividende, et le niveau de confiance est **moyen** en raison de l'absence de données financières récentes (les derniers rapports datent de 2023) et de l'incertitude sur la capacité de la société à pérenniser son redressement.</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47.41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13,486 titres</w:t>
            </w:r>
          </w:p>
        </w:tc>
        <w:tc>
          <w:tcPr>
            <w:tcW w:type="dxa" w:w="2268"/>
            <w:shd w:fill="FFF2CC" w:val="clear"/>
          </w:tcPr>
          <w:p>
            <w:r>
              <w:rPr>
                <w:b/>
                <w:color w:val="503200"/>
                <w:sz w:val="16"/>
              </w:rPr>
              <w:t xml:space="preserve">Cours actuel : </w:t>
            </w:r>
            <w:r>
              <w:rPr>
                <w:color w:val="000000"/>
                <w:sz w:val="17"/>
              </w:rPr>
              <w:t>2,285 FCFA</w:t>
            </w:r>
          </w:p>
          <w:p>
            <w:r>
              <w:rPr>
                <w:b/>
                <w:color w:val="503200"/>
                <w:sz w:val="16"/>
              </w:rPr>
              <w:t xml:space="preserve">Var. 100 jours : </w:t>
            </w:r>
            <w:r>
              <w:rPr>
                <w:b/>
                <w:color w:val="007800"/>
                <w:sz w:val="17"/>
              </w:rPr>
              <w:t>+24.86%</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15.13% (Élevée) — μ=2,023 FCFA, σ=306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β=0.6040 (Défensif) — Cov=0.000044, Var(idx)=0.000073, ρ=0.163,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13,486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2,187</w:t>
            </w:r>
          </w:p>
        </w:tc>
        <w:tc>
          <w:tcPr>
            <w:tcW w:type="dxa" w:w="1440"/>
            <w:shd w:fill="FAFAFA" w:val="clear"/>
          </w:tcPr>
          <w:p>
            <w:r>
              <w:rPr>
                <w:b/>
                <w:sz w:val="17"/>
              </w:rPr>
              <w:t>2,264</w:t>
            </w:r>
          </w:p>
        </w:tc>
        <w:tc>
          <w:tcPr>
            <w:tcW w:type="dxa" w:w="1440"/>
            <w:shd w:fill="FAFAFA" w:val="clear"/>
          </w:tcPr>
          <w:p>
            <w:r>
              <w:rPr>
                <w:sz w:val="17"/>
              </w:rPr>
              <w:t>2,341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2,140</w:t>
            </w:r>
          </w:p>
        </w:tc>
        <w:tc>
          <w:tcPr>
            <w:tcW w:type="dxa" w:w="1440"/>
            <w:shd w:fill="FAFAFA" w:val="clear"/>
          </w:tcPr>
          <w:p>
            <w:r>
              <w:rPr>
                <w:b/>
                <w:sz w:val="17"/>
              </w:rPr>
              <w:t>2,248</w:t>
            </w:r>
          </w:p>
        </w:tc>
        <w:tc>
          <w:tcPr>
            <w:tcW w:type="dxa" w:w="1440"/>
            <w:shd w:fill="FAFAFA" w:val="clear"/>
          </w:tcPr>
          <w:p>
            <w:r>
              <w:rPr>
                <w:sz w:val="17"/>
              </w:rPr>
              <w:t>2,356</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2,100</w:t>
            </w:r>
          </w:p>
        </w:tc>
        <w:tc>
          <w:tcPr>
            <w:tcW w:type="dxa" w:w="1440"/>
            <w:shd w:fill="FFDCE0" w:val="clear"/>
          </w:tcPr>
          <w:p>
            <w:r>
              <w:rPr>
                <w:b/>
                <w:sz w:val="17"/>
              </w:rPr>
              <w:t>2,232</w:t>
            </w:r>
          </w:p>
        </w:tc>
        <w:tc>
          <w:tcPr>
            <w:tcW w:type="dxa" w:w="1440"/>
            <w:shd w:fill="FFDCE0" w:val="clear"/>
          </w:tcPr>
          <w:p>
            <w:r>
              <w:rPr>
                <w:sz w:val="17"/>
              </w:rPr>
              <w:t>2,363</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2,065</w:t>
            </w:r>
          </w:p>
        </w:tc>
        <w:tc>
          <w:tcPr>
            <w:tcW w:type="dxa" w:w="1440"/>
            <w:shd w:fill="FFDCE0" w:val="clear"/>
          </w:tcPr>
          <w:p>
            <w:r>
              <w:rPr>
                <w:b/>
                <w:sz w:val="17"/>
              </w:rPr>
              <w:t>2,216</w:t>
            </w:r>
          </w:p>
        </w:tc>
        <w:tc>
          <w:tcPr>
            <w:tcW w:type="dxa" w:w="1440"/>
            <w:shd w:fill="FFDCE0" w:val="clear"/>
          </w:tcPr>
          <w:p>
            <w:r>
              <w:rPr>
                <w:sz w:val="17"/>
              </w:rPr>
              <w:t>2,366</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2,034</w:t>
            </w:r>
          </w:p>
        </w:tc>
        <w:tc>
          <w:tcPr>
            <w:tcW w:type="dxa" w:w="1440"/>
            <w:shd w:fill="FFDCE0" w:val="clear"/>
          </w:tcPr>
          <w:p>
            <w:r>
              <w:rPr>
                <w:b/>
                <w:sz w:val="17"/>
              </w:rPr>
              <w:t>2,201</w:t>
            </w:r>
          </w:p>
        </w:tc>
        <w:tc>
          <w:tcPr>
            <w:tcW w:type="dxa" w:w="1440"/>
            <w:shd w:fill="FFDCE0" w:val="clear"/>
          </w:tcPr>
          <w:p>
            <w:r>
              <w:rPr>
                <w:sz w:val="17"/>
              </w:rPr>
              <w:t>2,368</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2,004</w:t>
            </w:r>
          </w:p>
        </w:tc>
        <w:tc>
          <w:tcPr>
            <w:tcW w:type="dxa" w:w="1440"/>
            <w:shd w:fill="FFDCE0" w:val="clear"/>
          </w:tcPr>
          <w:p>
            <w:r>
              <w:rPr>
                <w:b/>
                <w:sz w:val="17"/>
              </w:rPr>
              <w:t>2,186</w:t>
            </w:r>
          </w:p>
        </w:tc>
        <w:tc>
          <w:tcPr>
            <w:tcW w:type="dxa" w:w="1440"/>
            <w:shd w:fill="FFDCE0" w:val="clear"/>
          </w:tcPr>
          <w:p>
            <w:r>
              <w:rPr>
                <w:sz w:val="17"/>
              </w:rPr>
              <w:t>2,368</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1,977</w:t>
            </w:r>
          </w:p>
        </w:tc>
        <w:tc>
          <w:tcPr>
            <w:tcW w:type="dxa" w:w="1440"/>
            <w:shd w:fill="FFDCE0" w:val="clear"/>
          </w:tcPr>
          <w:p>
            <w:r>
              <w:rPr>
                <w:b/>
                <w:sz w:val="17"/>
              </w:rPr>
              <w:t>2,172</w:t>
            </w:r>
          </w:p>
        </w:tc>
        <w:tc>
          <w:tcPr>
            <w:tcW w:type="dxa" w:w="1440"/>
            <w:shd w:fill="FFDCE0" w:val="clear"/>
          </w:tcPr>
          <w:p>
            <w:r>
              <w:rPr>
                <w:sz w:val="17"/>
              </w:rPr>
              <w:t>2,367</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1,951</w:t>
            </w:r>
          </w:p>
        </w:tc>
        <w:tc>
          <w:tcPr>
            <w:tcW w:type="dxa" w:w="1440"/>
            <w:shd w:fill="FFDCE0" w:val="clear"/>
          </w:tcPr>
          <w:p>
            <w:r>
              <w:rPr>
                <w:b/>
                <w:sz w:val="17"/>
              </w:rPr>
              <w:t>2,158</w:t>
            </w:r>
          </w:p>
        </w:tc>
        <w:tc>
          <w:tcPr>
            <w:tcW w:type="dxa" w:w="1440"/>
            <w:shd w:fill="FFDCE0" w:val="clear"/>
          </w:tcPr>
          <w:p>
            <w:r>
              <w:rPr>
                <w:sz w:val="17"/>
              </w:rPr>
              <w:t>2,366</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1,927</w:t>
            </w:r>
          </w:p>
        </w:tc>
        <w:tc>
          <w:tcPr>
            <w:tcW w:type="dxa" w:w="1440"/>
            <w:shd w:fill="FFDCE0" w:val="clear"/>
          </w:tcPr>
          <w:p>
            <w:r>
              <w:rPr>
                <w:b/>
                <w:sz w:val="17"/>
              </w:rPr>
              <w:t>2,145</w:t>
            </w:r>
          </w:p>
        </w:tc>
        <w:tc>
          <w:tcPr>
            <w:tcW w:type="dxa" w:w="1440"/>
            <w:shd w:fill="FFDCE0" w:val="clear"/>
          </w:tcPr>
          <w:p>
            <w:r>
              <w:rPr>
                <w:sz w:val="17"/>
              </w:rPr>
              <w:t>2,364</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1,903</w:t>
            </w:r>
          </w:p>
        </w:tc>
        <w:tc>
          <w:tcPr>
            <w:tcW w:type="dxa" w:w="1440"/>
            <w:shd w:fill="FFDCE0" w:val="clear"/>
          </w:tcPr>
          <w:p>
            <w:r>
              <w:rPr>
                <w:b/>
                <w:sz w:val="17"/>
              </w:rPr>
              <w:t>2,132</w:t>
            </w:r>
          </w:p>
        </w:tc>
        <w:tc>
          <w:tcPr>
            <w:tcW w:type="dxa" w:w="1440"/>
            <w:shd w:fill="FFDCE0" w:val="clear"/>
          </w:tcPr>
          <w:p>
            <w:r>
              <w:rPr>
                <w:sz w:val="17"/>
              </w:rPr>
              <w:t>2,361</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**RAPPORT D'ANALYSE FINANCIÈRE — UNIWAX (UNXC)**</w:t>
        <w:br/>
        <w:t>*Bourse Régionale des Valeurs Mobilières (BRVM) — Côte d'Ivoire*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47,41 milliards FCFA, UNIWAX se situe dans la fourchette des valeurs moyennes de la cote BRVM, ce qui témoigne d'une certaine maturité boursière pour ce fleuron du textile ivoirien. Le BPA ressort à -30 FCFA/action, traduisant une société encore déficitaire sur l'exercice 2025, ce qui rend le PER de -76,0x non significatif en tant qu'outil de valorisation relative (un PER négatif signalant simplement l'absence de bénéfices). Le P/B de 1,93x indique que le marché valorise l'action à près du double de sa valeur comptable, ce qui reste raisonnable pour une entreprise industrielle disposant d'un actif immobilisé net de 10,64 milliards FCFA, mais suggère que les investisseurs intègrent déjà une partie du redressement attendu. En revanche, l'EV/EBITDA de 39,0x apparaît très exigeant (seuil d'alerte &gt;15x), la valeur d'entreprise étant portée par une capitalisation élevée rapportée à un EBE de seulement 1,13 milliard FCFA — ce multiple traduit une anticipation forte de la part du marché quant à l'amélioration future de la rentabilité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affiche une performance remarquable de +24,86%, malgré un repli de -1,08% lors de la dernière séance, signe d'une légère prise de bénéfices après un rallye soutenu. Le cours actuel de 2 285 FCFA se situe dans la partie haute du range de trading, le plus bas ayant été touché à 1 250 FCFA et le plus haut à 2 495 FCFA — soit un écart de près de 100% entre les deux extrêmes, illustrant une tendance nettement haussière sur la période. Les statistiques descriptives révèlent une moyenne de 2 023 FCFA légèrement supérieure à la médiane de 1 950 FCFA, ce qui indique une asymétrie positive modérée (les pics hauts tirent la moyenne vers le haut), confirmée par un skewness de -0,248 qui traduit une distribution quasi-symétrique avec une très légère queue vers la gauche. L'écart-type de 308 FCFA et le coefficient de variation de 15,2% témoignent d'une dispersion modérée du cours autour de sa moyenne, tandis que le kurtosis de -0,563 (mésokurtique) indique une distribution proche de la normale, sans risque excessif de pics extrêmes. La volatilité annualisée de 50,0% classe ce titre dans la catégorie des valeurs à volatilité élevée (&gt;30%), ce qui implique un risque de marché significatif mais cohérent avec la phase de redressement que traverse la société.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(2 333,0 FCFA) et la MM50 (2 255,7 FCFA) se situent toutes deux au-dessus du cours actuel (2 285 FCFA), avec une MM20 supérieure à la MM50 — configuration haussière classique. Le cours évoluant sous ses moyennes mobiles, la décision technique affichée est "Achat", suggérant que le repli actuel constitue une opportunité d'entrée dans une tendance de fond positive.</w:t>
      </w:r>
    </w:p>
    <w:p>
      <w:pPr>
        <w:spacing w:after="120" w:line="276" w:lineRule="auto"/>
      </w:pPr>
      <w:r>
        <w:t>**Bandes de Bollinger** : Le cours (2 285 FCFA) se situe à l'intérieur des bandes, entre la borne inférieure (2 201,4 FCFA) et la borne supérieure (2 464,6 FCFA), plus proche de la borne basse. Cette position médiane-basse, avec une largeur de bande de 263 FCFA, traduit une volatilité modérée et une absence de signal directionnel fort — d'où la décision "Neutre".</w:t>
      </w:r>
    </w:p>
    <w:p>
      <w:pPr>
        <w:spacing w:after="120" w:line="276" w:lineRule="auto"/>
      </w:pPr>
      <w:r>
        <w:t>**MACD** : La valeur du MACD (10,748) est nettement inférieure à son signal (26,654), générant une divergence baissière et un momentum négatif. Cette configuration, bien que le MACD reste en territoire positif, justifie la décision "Vente" à court terme, signalant un essoufflement de la dynamique haussière récente.</w:t>
      </w:r>
    </w:p>
    <w:p>
      <w:pPr>
        <w:spacing w:after="120" w:line="276" w:lineRule="auto"/>
      </w:pPr>
      <w:r>
        <w:t>**RSI** : À 47,154, le RSI se situe dans la zone neutre (30-70), sans pression de surachat ni de survente. Cette position médiane indique un équilibre entre acheteurs et vendeurs, justifiant la décision "Neutre" et suggérant une possible consolidation avant le prochain mouvement directionnel.</w:t>
      </w:r>
    </w:p>
    <w:p>
      <w:pPr>
        <w:spacing w:after="120" w:line="276" w:lineRule="auto"/>
      </w:pPr>
      <w:r>
        <w:t>**Stochastique** : Le %K (34,694) est inférieur au %D (40,136), avec les deux indicateurs en zone basse mais non extrême. Cette configuration suggère une pression baissière modérée à court terme, sans signal de survente, d'où la décision "Neutre" qui appelle à la prudence.</w:t>
      </w:r>
    </w:p>
    <w:p>
      <w:pPr>
        <w:spacing w:after="120" w:line="276" w:lineRule="auto"/>
      </w:pPr>
      <w:r>
        <w:t>**Conclusion technique** : Les indicateurs techniques présentent un tableau mitigé — les moyennes mobiles restent haussières et plaident pour un achat sur repli, tandis que le MACD signale une vente à court terme et que le RSI et le stochastique demeurent neutres. Cette divergence entre tendance de fond (haussière) et momentum court terme (baissier) suggère une phase de consolidation probable, avec un support technique à surveiller autour de 2 200 FCFA (borne basse de Bollinger) et une résistance à 2 464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société en pleine restructuration : le chiffre d'affaires s'établit à 29,032 milliards FCFA, en croissance de 6,2% sur un an, tandis que le résultat net reste déficitaire à -624,11 millions FCFA, bien qu'en amélioration spectaculaire de 71% par rapport à la perte de -2,19 milliards FCFA en 2024. Le ROE ressort à -2,54% et le ROA à -1,97%, confirmant la persistance de la destruction de valeur, mais l'EBE redevient positif à 1,127 milliard FCFA (contre -0,35 milliard en 2024), signal fort d'un redressement opérationnel. La structure financière demeure très saine avec une autonomie financière de 77,58%, un ratio d'endettement de seulement 1,50% et une trésorerie nette positive de 3,813 milliards FCFA, tandis que le BFR de 11,187 milliards FCFA (financé par un fonds de roulement de 15,001 milliards) traduit une gestion rigoureuse du cycle d'exploitation. Les délais d'exploitation sont contrastés : le délai fournisseurs de 102,43 jours est favorable à la trésorerie, mais le délai clients de 45,80 jours et surtout la durée de stockage de 324,99 jours constituent des points de vigilance majeurs, immobilisant du capital et exposant l'entreprise au risque d'obsolescence. Sur la base du rapport S1 2026 (publié en 2026), on estime que l'exercice 2026 devrait marquer un tournant décisif : le chiffre d'affaires semestriel de 15,752 milliards FCFA (+0,3%) et surtout le retour à un résultat d'exploitation positif de 771,2 millions FCFA (contre -314 millions au S1 2025) valident la thèse d'un redressement structurel, le résultat net de 771,3 millions FCFA (hors plus-value exceptionnelle de cession de 2025) confirmant la capacité retrouvée à générer des profits récurrents. Le rapport annuel 2025 (publié en 2025) souligne que le désendettement vis-à-vis des fournisseurs (14,9 milliards ramenés à 5,0 milliards) a été financé par des cessions d'immobilisations pour +10,5 milliards FCFA, opération non récurrente qui a assaini le bilan mais ne se reproduira pas. La recommandation fondamentale est donc à la prudence : la solidité financière (capitaux propres de 24,62 milliards FCFA, solvabilité de 445,9%) et le retour à une rentabilité opérationnelle positive constituent des acquis majeurs, mais la durabilité de ce redressement devra être confirmée sur l'ensemble de l'exercice 2026, notamment au regard de la faible croissance du chiffre d'affaires (+0,3% au S1 2026) et des défis persistants du secteur textile (concurrence asiatique, coûts des matières premières).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mais porteur d'opportunités. Sur le plan de la **valorisation (Partie 0)**, le P/B de 1,93x et l'EV/EBITDA de 39,0x indiquent que le marché intègre déjà une prime de redressement significative, limitant le potentiel de réévaluation à court terme malgré un PER non significatif en raison des pertes. Le **comportement du cours (Partie 1)** est nettement haussier (+24,86% sur 100 jours) avec une volatilité élevée (50%) et une distribution quasi-normale (kurtosis -0,563, skewness -0,248), ce qui suggère que le rallye récent pourrait marquer une pause sans pour autant remettre en cause la tendance de fond. Les **signaux techniques (Partie 2)** sont mitigés : les moyennes mobiles plaident pour l'achat, mais le MACD signale une vente et le RSI/stochastique restent neutres, dessinant une consolidation probable avant une reprise. Les **fondamentaux (Partie 3)** constituent le point d'ancrage positif : le retour à un résultat d'exploitation positif au S1 2026 (771,2 millions FCFA), la structure financière très saine (autonomie de 77,58%, endettement de 1,50%) et l'amélioration continue des marges opérationnelles valident la thèse d'un redressement durable, même si la croissance du chiffre d'affaires reste atone (+0,3% au S1 2026). Les **prédictions IA (J+1 à J+10)** anticipent une trajectoire baissière à court terme (2 264 FCFA le 12/10/2026 à 2 201 FCFA le 16/10/2026, soit -3,7%), ce qui contredit les signaux haussiers des moyennes mobiles mais confirme la lecture baissière du MACD et la phase de consolidation attendue. **Recommandation finale : CONSERVER**, avec un niveau de confiance **Moyen** et un risque global **Élevé** (volatilité de 50%, secteur textile sous pression, dépendance aux marchés d'exportation). Cette recommandation se justifie par la convergence entre une valorisation déjà exigeante, des signaux techniques divergents et des fondamentaux en amélioration mais encore fragiles — les investisseurs déjà positionnés sont invités à conserver leurs titres en surveillant le support de 2 200 FCFA, tandis que les nouveaux entrants devraient attendre une confirmation du retour à la rentabilité annuelle en 2026 avant d'initier une position. L'horizon d'investissement optimal est le **moyen terme (3-12 mois)**, le temps que la société confirme la durabilité de son redressement opérationnel et que le marché ajuste sa valorisation en conséquence.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