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02/10/2026 à 10:38</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ABJC  (score 85/100)</w:t>
      </w:r>
    </w:p>
    <w:p>
      <w:pPr>
        <w:spacing w:before="20" w:after="20"/>
        <w:ind w:left="360" w:right="360"/>
        <w:shd w:val="clear" w:color="auto" w:fill="EBF5FB"/>
      </w:pPr>
      <w:r>
        <w:rPr>
          <w:b/>
          <w:sz w:val="19"/>
        </w:rPr>
        <w:t xml:space="preserve">Secteur surperformant :  </w:t>
      </w:r>
      <w:r>
        <w:rPr>
          <w:color w:val="008000"/>
          <w:sz w:val="19"/>
        </w:rPr>
        <w:t>SERVICES PUBLICS  (+68.7%)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549.02 points </w:t>
      </w:r>
      <w:r>
        <w:rPr>
          <w:color w:val="008000"/>
        </w:rPr>
        <w:t>(+0.12%)</w:t>
      </w:r>
      <w:r>
        <w:t xml:space="preserve"> sur la séance. </w:t>
      </w:r>
      <w:r>
        <w:t>La capitalisation globale du marché atteint 21 529,927 milliards FCFA.</w:t>
      </w:r>
    </w:p>
    <w:p/>
    <w:p>
      <w:pPr>
        <w:pStyle w:val="Heading3"/>
      </w:pPr>
      <w:r>
        <w:t>📊 Évolution de l'indice BRVM Composite (100 derniers jours)</w:t>
      </w:r>
    </w:p>
    <w:p>
      <w:r>
        <w:rPr>
          <w:b/>
        </w:rPr>
        <w:t xml:space="preserve">BRVM Composite — </w:t>
      </w:r>
      <w:r>
        <w:t xml:space="preserve">Sur les 100 derniers jours de cotation (2026-05-08 au 2026-10-01), l'indice BRVM Composite a évolué de </w:t>
      </w:r>
      <w:r>
        <w:rPr>
          <w:b/>
          <w:color w:val="008000"/>
        </w:rPr>
        <w:t>+35.70%</w:t>
      </w:r>
      <w:r>
        <w:t>, passant de 404.59 pts à 549.02 pts. Le plus haut atteint est 555.90 pts et le plus bas 404.59 pts. Sur l'ensemble de la période, la moyenne de l'indice s'établit à 481.61 pts, la médiane à 480.58 pts et le mode à 404.59 pts</w:t>
      </w:r>
      <w:r>
        <w:t xml:space="preserve"> (distribution symétrique). </w:t>
      </w:r>
      <w:r>
        <w:t xml:space="preserve">L'écart-type de 46.61 pts (CV=9.7%) traduit une modérée dispersion des cotations. Le kurtosis de -1.24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+38.04%</w:t>
      </w:r>
      <w:r>
        <w:t xml:space="preserve"> sur la période, passant de 15 596,700 Mds FCFA à 21 529,927 Mds FCFA. Le pic de capitalisation observé est de 21 529,927 Mds FCFA et le plancher de 15 596,700 Mds FCFA. La moyenne de la capitalisation sur la période s'établit à 18 584,263 Mds FCFA, la médiane à 18 513,271 Mds FCFA et le mode à 15 596,700 Mds FCFA</w:t>
      </w:r>
      <w:r>
        <w:t xml:space="preserve"> (distribution symétrique). </w:t>
      </w:r>
      <w:r>
        <w:t>L'écart-type de 1 832,141 Mds FCFA (CV=9.9%) reflète une modérée variabilité de la valorisation du marché. Le kurtosis de -1.23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BOABF - BANK OF AFRICA BURKINA FASO</w:t>
      </w:r>
      <w:r>
        <w:t xml:space="preserve"> | Prix: 8000 FCFA | </w:t>
      </w:r>
      <w:r>
        <w:rPr>
          <w:b/>
          <w:color w:val="008000"/>
        </w:rPr>
        <w:t>ACHAT FORT</w:t>
      </w:r>
      <w:r>
        <w:t xml:space="preserve"> | Confiance: Élevée | Risque: Moyen</w:t>
      </w:r>
    </w:p>
    <w:p>
      <w:pPr>
        <w:pStyle w:val="ListNumber"/>
      </w:pPr>
      <w:r>
        <w:rPr>
          <w:b/>
        </w:rPr>
        <w:t>PRSC - PRSC - TRACTAFRIC MOTORS CI</w:t>
      </w:r>
      <w:r>
        <w:t xml:space="preserve"> | Prix: 3905 FCFA | </w:t>
      </w:r>
      <w:r>
        <w:rPr>
          <w:b/>
          <w:color w:val="008000"/>
        </w:rPr>
        <w:t>ACHAT FORT</w:t>
      </w:r>
      <w:r>
        <w:t xml:space="preserve"> | Confiance: Élevée | Risque: Moyen</w:t>
      </w:r>
    </w:p>
    <w:p>
      <w:pPr>
        <w:pStyle w:val="ListNumber"/>
      </w:pPr>
      <w:r>
        <w:rPr>
          <w:b/>
        </w:rPr>
        <w:t>ABJC - ABJC - SERVAIR ABIDJAN CI</w:t>
      </w:r>
      <w:r>
        <w:t xml:space="preserve"> | Prix: 3370 FCFA | </w:t>
      </w:r>
      <w:r>
        <w:rPr>
          <w:b/>
          <w:color w:val="008000"/>
        </w:rPr>
        <w:t>ACHAT</w:t>
      </w:r>
      <w:r>
        <w:t xml:space="preserve"> | Confiance: Élevée | Risque: Faible</w:t>
      </w:r>
    </w:p>
    <w:p>
      <w:pPr>
        <w:pStyle w:val="ListNumber"/>
      </w:pPr>
      <w:r>
        <w:rPr>
          <w:b/>
        </w:rPr>
        <w:t>BBGC - BRIDGE BANK GROUP COTE D'IVOIRE</w:t>
      </w:r>
      <w:r>
        <w:t xml:space="preserve"> | Prix: 8800 FCFA | </w:t>
      </w:r>
      <w:r>
        <w:rPr>
          <w:b/>
          <w:color w:val="008000"/>
        </w:rPr>
        <w:t>ACHAT</w:t>
      </w:r>
      <w:r>
        <w:t xml:space="preserve"> | Confiance: Moyen | Risque: Faible</w:t>
      </w:r>
    </w:p>
    <w:p>
      <w:pPr>
        <w:pStyle w:val="ListNumber"/>
      </w:pPr>
      <w:r>
        <w:rPr>
          <w:b/>
        </w:rPr>
        <w:t>BICB - BIIC BN - Banque internationale pour le commerce du benin</w:t>
      </w:r>
      <w:r>
        <w:t xml:space="preserve"> | Prix: 8800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33800 FCFA | </w:t>
      </w:r>
      <w:r>
        <w:rPr>
          <w:b/>
          <w:color w:val="008000"/>
        </w:rPr>
        <w:t>ACHAT</w:t>
      </w:r>
      <w:r>
        <w:t xml:space="preserve"> | Confiance: Élevée | Risque: Moyen</w:t>
      </w:r>
    </w:p>
    <w:p>
      <w:pPr>
        <w:pStyle w:val="ListNumber"/>
      </w:pPr>
      <w:r>
        <w:rPr>
          <w:b/>
        </w:rPr>
        <w:t>BNBC - BNBC - BERNABE CI</w:t>
      </w:r>
      <w:r>
        <w:t xml:space="preserve"> | Prix: 1900 FCFA | </w:t>
      </w:r>
      <w:r>
        <w:rPr>
          <w:b/>
          <w:color w:val="008000"/>
        </w:rPr>
        <w:t>ACHAT</w:t>
      </w:r>
      <w:r>
        <w:t xml:space="preserve"> | Confiance: Élevée | Risque: Faible</w:t>
      </w:r>
    </w:p>
    <w:p>
      <w:pPr>
        <w:pStyle w:val="ListNumber"/>
      </w:pPr>
      <w:r>
        <w:rPr>
          <w:b/>
        </w:rPr>
        <w:t>BOAB - BANK OF AFRICA BENIN</w:t>
      </w:r>
      <w:r>
        <w:t xml:space="preserve"> | Prix: 9385 FCFA | </w:t>
      </w:r>
      <w:r>
        <w:rPr>
          <w:b/>
          <w:color w:val="008000"/>
        </w:rPr>
        <w:t>ACHAT</w:t>
      </w:r>
      <w:r>
        <w:t xml:space="preserve"> | Confiance: Moyen | Risque: Faible</w:t>
      </w:r>
    </w:p>
    <w:p>
      <w:pPr>
        <w:pStyle w:val="ListNumber"/>
      </w:pPr>
      <w:r>
        <w:rPr>
          <w:b/>
        </w:rPr>
        <w:t>BOAC - BANK OF AFRICA COTE D'IVOIRE</w:t>
      </w:r>
      <w:r>
        <w:t xml:space="preserve"> | Prix: 11490 FCFA | </w:t>
      </w:r>
      <w:r>
        <w:rPr>
          <w:b/>
          <w:color w:val="008000"/>
        </w:rPr>
        <w:t>ACHAT</w:t>
      </w:r>
      <w:r>
        <w:t xml:space="preserve"> | Confiance: Faible | Risque: Faible</w:t>
      </w:r>
    </w:p>
    <w:p>
      <w:pPr>
        <w:pStyle w:val="ListNumber"/>
      </w:pPr>
      <w:r>
        <w:rPr>
          <w:b/>
        </w:rPr>
        <w:t>BOAM - BANK OF AFRICA MALI</w:t>
      </w:r>
      <w:r>
        <w:t xml:space="preserve"> | Prix: 6090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UNLC - UNLC - UNILEVER COTE D'IVOIRE</w:t>
      </w:r>
      <w:r>
        <w:t xml:space="preserve"> | Prix: 51000 FCFA | </w:t>
      </w:r>
      <w:r>
        <w:rPr>
          <w:b/>
          <w:color w:val="C00000"/>
        </w:rPr>
        <w:t>CONSERVER ⚠️</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68.74%</w:t>
      </w:r>
      <w:r>
        <w:t xml:space="preserve">  |  </w:t>
      </w:r>
      <w:r>
        <w:rPr>
          <w:b/>
        </w:rPr>
        <w:t xml:space="preserve">vs BRVM Composite: </w:t>
      </w:r>
      <w:r>
        <w:rPr>
          <w:b/>
          <w:color w:val="008000"/>
        </w:rPr>
        <w:t>+33.04%  🟢 Surperformance</w:t>
      </w:r>
      <w:r>
        <w:br/>
      </w:r>
      <w:r>
        <w:rPr>
          <w:b/>
        </w:rPr>
        <w:t xml:space="preserve">Sentiment général: </w:t>
      </w:r>
      <w:r>
        <w:t xml:space="preserve">ACHAT  |  </w:t>
      </w:r>
      <w:r>
        <w:rPr>
          <w:b/>
        </w:rPr>
        <w:t xml:space="preserve">Risque moyen: </w:t>
      </w:r>
      <w:r>
        <w:t xml:space="preserve">Moyen  |  </w:t>
      </w:r>
      <w:r>
        <w:rPr>
          <w:b/>
        </w:rPr>
        <w:t xml:space="preserve">Prix moyen: </w:t>
      </w:r>
      <w:r>
        <w:t>9720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38.11%</w:t>
      </w:r>
      <w:r>
        <w:t xml:space="preserve">  |  </w:t>
      </w:r>
      <w:r>
        <w:rPr>
          <w:b/>
        </w:rPr>
        <w:t xml:space="preserve">vs BRVM Composite: </w:t>
      </w:r>
      <w:r>
        <w:rPr>
          <w:b/>
          <w:color w:val="008000"/>
        </w:rPr>
        <w:t>+2.41%  🟢 Surperformance</w:t>
      </w:r>
      <w:r>
        <w:br/>
      </w:r>
      <w:r>
        <w:rPr>
          <w:b/>
        </w:rPr>
        <w:t xml:space="preserve">Sentiment général: </w:t>
      </w:r>
      <w:r>
        <w:t xml:space="preserve">ACHAT  |  </w:t>
      </w:r>
      <w:r>
        <w:rPr>
          <w:b/>
        </w:rPr>
        <w:t xml:space="preserve">Risque moyen: </w:t>
      </w:r>
      <w:r>
        <w:t xml:space="preserve">Moyen  |  </w:t>
      </w:r>
      <w:r>
        <w:rPr>
          <w:b/>
        </w:rPr>
        <w:t xml:space="preserve">Prix moyen: </w:t>
      </w:r>
      <w:r>
        <w:t>13470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36.05%</w:t>
      </w:r>
      <w:r>
        <w:t xml:space="preserve">  |  </w:t>
      </w:r>
      <w:r>
        <w:rPr>
          <w:b/>
        </w:rPr>
        <w:t xml:space="preserve">vs BRVM Composite: </w:t>
      </w:r>
      <w:r>
        <w:rPr>
          <w:b/>
          <w:color w:val="008000"/>
        </w:rPr>
        <w:t>+0.36%  🟢 Surperformance</w:t>
      </w:r>
      <w:r>
        <w:br/>
      </w:r>
      <w:r>
        <w:rPr>
          <w:b/>
        </w:rPr>
        <w:t xml:space="preserve">Sentiment général: </w:t>
      </w:r>
      <w:r>
        <w:t xml:space="preserve">ACHAT  |  </w:t>
      </w:r>
      <w:r>
        <w:rPr>
          <w:b/>
        </w:rPr>
        <w:t xml:space="preserve">Risque moyen: </w:t>
      </w:r>
      <w:r>
        <w:t xml:space="preserve">Faible  |  </w:t>
      </w:r>
      <w:r>
        <w:rPr>
          <w:b/>
        </w:rPr>
        <w:t xml:space="preserve">Prix moyen: </w:t>
      </w:r>
      <w:r>
        <w:t>23245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22.40%</w:t>
      </w:r>
      <w:r>
        <w:t xml:space="preserve">  |  </w:t>
      </w:r>
      <w:r>
        <w:rPr>
          <w:b/>
        </w:rPr>
        <w:t xml:space="preserve">vs BRVM Composite: </w:t>
      </w:r>
      <w:r>
        <w:rPr>
          <w:b/>
          <w:color w:val="C00000"/>
        </w:rPr>
        <w:t>-13.30%  🔴 Sous-performance</w:t>
      </w:r>
      <w:r>
        <w:br/>
      </w:r>
      <w:r>
        <w:rPr>
          <w:b/>
        </w:rPr>
        <w:t xml:space="preserve">Sentiment général: </w:t>
      </w:r>
      <w:r>
        <w:t xml:space="preserve">ACHAT  |  </w:t>
      </w:r>
      <w:r>
        <w:rPr>
          <w:b/>
        </w:rPr>
        <w:t xml:space="preserve">Risque moyen: </w:t>
      </w:r>
      <w:r>
        <w:t xml:space="preserve">Faible  |  </w:t>
      </w:r>
      <w:r>
        <w:rPr>
          <w:b/>
        </w:rPr>
        <w:t xml:space="preserve">Prix moyen: </w:t>
      </w:r>
      <w:r>
        <w:t>6352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21.30%</w:t>
      </w:r>
      <w:r>
        <w:t xml:space="preserve">  |  </w:t>
      </w:r>
      <w:r>
        <w:rPr>
          <w:b/>
        </w:rPr>
        <w:t xml:space="preserve">vs BRVM Composite: </w:t>
      </w:r>
      <w:r>
        <w:rPr>
          <w:b/>
          <w:color w:val="C00000"/>
        </w:rPr>
        <w:t>-14.40%  🔴 Sous-performance</w:t>
      </w:r>
      <w:r>
        <w:br/>
      </w:r>
      <w:r>
        <w:rPr>
          <w:b/>
        </w:rPr>
        <w:t xml:space="preserve">Sentiment général: </w:t>
      </w:r>
      <w:r>
        <w:t xml:space="preserve">ACHAT  |  </w:t>
      </w:r>
      <w:r>
        <w:rPr>
          <w:b/>
        </w:rPr>
        <w:t xml:space="preserve">Risque moyen: </w:t>
      </w:r>
      <w:r>
        <w:t xml:space="preserve">Faible  |  </w:t>
      </w:r>
      <w:r>
        <w:rPr>
          <w:b/>
        </w:rPr>
        <w:t xml:space="preserve">Prix moyen: </w:t>
      </w:r>
      <w:r>
        <w:t>8800 FCFA</w:t>
        <w:br/>
      </w:r>
      <w:r>
        <w:rPr>
          <w:b/>
        </w:rPr>
        <w:br/>
        <w:t xml:space="preserve">Sociétés: </w:t>
      </w:r>
      <w:r>
        <w:t>BBGC (BRIDGE BANK GROUP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19.35%</w:t>
      </w:r>
      <w:r>
        <w:t xml:space="preserve">  |  </w:t>
      </w:r>
      <w:r>
        <w:rPr>
          <w:b/>
        </w:rPr>
        <w:t xml:space="preserve">vs BRVM Composite: </w:t>
      </w:r>
      <w:r>
        <w:rPr>
          <w:b/>
          <w:color w:val="C00000"/>
        </w:rPr>
        <w:t>-16.35%  🔴 Sous-performance</w:t>
      </w:r>
      <w:r>
        <w:br/>
      </w:r>
      <w:r>
        <w:rPr>
          <w:b/>
        </w:rPr>
        <w:t xml:space="preserve">Sentiment général: </w:t>
      </w:r>
      <w:r>
        <w:t xml:space="preserve">ACHAT  |  </w:t>
      </w:r>
      <w:r>
        <w:rPr>
          <w:b/>
        </w:rPr>
        <w:t xml:space="preserve">Risque moyen: </w:t>
      </w:r>
      <w:r>
        <w:t xml:space="preserve">Faible  |  </w:t>
      </w:r>
      <w:r>
        <w:rPr>
          <w:b/>
        </w:rPr>
        <w:t xml:space="preserve">Prix moyen: </w:t>
      </w:r>
      <w:r>
        <w:t>2741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18.32%</w:t>
      </w:r>
      <w:r>
        <w:t xml:space="preserve">  |  </w:t>
      </w:r>
      <w:r>
        <w:rPr>
          <w:b/>
        </w:rPr>
        <w:t xml:space="preserve">vs BRVM Composite: </w:t>
      </w:r>
      <w:r>
        <w:rPr>
          <w:b/>
          <w:color w:val="C00000"/>
        </w:rPr>
        <w:t>-17.38%  🔴 Sous-performance</w:t>
      </w:r>
      <w:r>
        <w:br/>
      </w:r>
      <w:r>
        <w:rPr>
          <w:b/>
        </w:rPr>
        <w:t xml:space="preserve">Sentiment général: </w:t>
      </w:r>
      <w:r>
        <w:t xml:space="preserve">ACHAT  |  </w:t>
      </w:r>
      <w:r>
        <w:rPr>
          <w:b/>
        </w:rPr>
        <w:t xml:space="preserve">Risque moyen: </w:t>
      </w:r>
      <w:r>
        <w:t xml:space="preserve">Faible  |  </w:t>
      </w:r>
      <w:r>
        <w:rPr>
          <w:b/>
        </w:rPr>
        <w:t xml:space="preserve">Prix moyen: </w:t>
      </w:r>
      <w:r>
        <w:t>17799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-1.98%</w:t>
      </w:r>
      <w:r>
        <w:t xml:space="preserve">  |  </w:t>
      </w:r>
      <w:r>
        <w:rPr>
          <w:b/>
        </w:rPr>
        <w:t xml:space="preserve">vs BRVM Composite: </w:t>
      </w:r>
      <w:r>
        <w:rPr>
          <w:b/>
          <w:color w:val="C00000"/>
        </w:rPr>
        <w:t>-37.68%  🔴 Sous-performance</w:t>
      </w:r>
      <w:r>
        <w:br/>
      </w:r>
      <w:r>
        <w:rPr>
          <w:b/>
        </w:rPr>
        <w:t xml:space="preserve">Sentiment général: </w:t>
      </w:r>
      <w:r>
        <w:t xml:space="preserve">ACHAT  |  </w:t>
      </w:r>
      <w:r>
        <w:rPr>
          <w:b/>
        </w:rPr>
        <w:t xml:space="preserve">Risque moyen: </w:t>
      </w:r>
      <w:r>
        <w:t xml:space="preserve">Faible  |  </w:t>
      </w:r>
      <w:r>
        <w:rPr>
          <w:b/>
        </w:rPr>
        <w:t xml:space="preserve">Prix moyen: </w:t>
      </w:r>
      <w:r>
        <w:t>2325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BICC, BNBC, NEIC, ONTBF, SGBC, SHEC, SIBC, SLBC, STAC, TTLC,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BOAB, BOABF, BOAM, BOAN, BOAS, CABC, CBIBF, CIEC, ECOC, ETIT, NSBC, NTLC, ORAC, ORGT, PALC, PRSC, SCRC, SDCC, SDSC, SEMC, SIVC, SMBC, SNTS, SOGC,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BOAC, CFAC, FTSC, LNBB, SAFC, SICC, SPHC, STBC</w:t>
            </w:r>
          </w:p>
        </w:tc>
        <w:tc>
          <w:tcPr>
            <w:tcW w:type="dxa" w:w="2160"/>
            <w:shd w:fill="FFC7CE" w:val="clear"/>
          </w:tcPr>
          <w:p>
            <w:pPr>
              <w:spacing w:before="40" w:after="40"/>
            </w:pPr>
            <w:r/>
            <w:r>
              <w:rPr>
                <w:b w:val="0"/>
                <w:sz w:val="16"/>
              </w:rPr>
              <w:t>UNLC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1949702</w:t>
            </w:r>
          </w:p>
        </w:tc>
        <w:tc>
          <w:tcPr>
            <w:tcW w:type="dxa" w:w="1728"/>
          </w:tcPr>
          <w:p>
            <w:r>
              <w:t>132178731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46451</w:t>
            </w:r>
          </w:p>
        </w:tc>
        <w:tc>
          <w:tcPr>
            <w:tcW w:type="dxa" w:w="1728"/>
          </w:tcPr>
          <w:p>
            <w:r>
              <w:t>421608626 FCFA</w:t>
            </w:r>
          </w:p>
        </w:tc>
        <w:tc>
          <w:tcPr>
            <w:tcW w:type="dxa" w:w="1728"/>
          </w:tcPr>
          <w:p>
            <w:r>
              <w:t>21.30%</w:t>
            </w:r>
          </w:p>
        </w:tc>
        <w:tc>
          <w:tcPr>
            <w:tcW w:type="dxa" w:w="1728"/>
          </w:tcPr>
          <w:p>
            <w:r>
              <w:t>ACHAT</w:t>
            </w:r>
          </w:p>
        </w:tc>
      </w:tr>
      <w:tr>
        <w:tc>
          <w:tcPr>
            <w:tcW w:type="dxa" w:w="1728"/>
          </w:tcPr>
          <w:p>
            <w:r>
              <w:t>SNTS (SNTS - SONATEL SN)</w:t>
            </w:r>
          </w:p>
        </w:tc>
        <w:tc>
          <w:tcPr>
            <w:tcW w:type="dxa" w:w="1728"/>
          </w:tcPr>
          <w:p>
            <w:r>
              <w:t>23511</w:t>
            </w:r>
          </w:p>
        </w:tc>
        <w:tc>
          <w:tcPr>
            <w:tcW w:type="dxa" w:w="1728"/>
          </w:tcPr>
          <w:p>
            <w:r>
              <w:t>966593165 FCFA</w:t>
            </w:r>
          </w:p>
        </w:tc>
        <w:tc>
          <w:tcPr>
            <w:tcW w:type="dxa" w:w="1728"/>
          </w:tcPr>
          <w:p>
            <w:r>
              <w:t>55.71%</w:t>
            </w:r>
          </w:p>
        </w:tc>
        <w:tc>
          <w:tcPr>
            <w:tcW w:type="dxa" w:w="1728"/>
          </w:tcPr>
          <w:p>
            <w:r>
              <w:t>ACHAT</w:t>
            </w:r>
          </w:p>
        </w:tc>
      </w:tr>
      <w:tr>
        <w:tc>
          <w:tcPr>
            <w:tcW w:type="dxa" w:w="1728"/>
          </w:tcPr>
          <w:p>
            <w:r>
              <w:t>SDSC (SDSC - AFRICA GLOBAL LOGISTICS CI)</w:t>
            </w:r>
          </w:p>
        </w:tc>
        <w:tc>
          <w:tcPr>
            <w:tcW w:type="dxa" w:w="1728"/>
          </w:tcPr>
          <w:p>
            <w:r>
              <w:t>14582</w:t>
            </w:r>
          </w:p>
        </w:tc>
        <w:tc>
          <w:tcPr>
            <w:tcW w:type="dxa" w:w="1728"/>
          </w:tcPr>
          <w:p>
            <w:r>
              <w:t>42909580 FCFA</w:t>
            </w:r>
          </w:p>
        </w:tc>
        <w:tc>
          <w:tcPr>
            <w:tcW w:type="dxa" w:w="1728"/>
          </w:tcPr>
          <w:p>
            <w:r>
              <w:t>67.05%</w:t>
            </w:r>
          </w:p>
        </w:tc>
        <w:tc>
          <w:tcPr>
            <w:tcW w:type="dxa" w:w="1728"/>
          </w:tcPr>
          <w:p>
            <w:r>
              <w:t>ACHAT</w:t>
            </w:r>
          </w:p>
        </w:tc>
      </w:tr>
      <w:tr>
        <w:tc>
          <w:tcPr>
            <w:tcW w:type="dxa" w:w="1728"/>
          </w:tcPr>
          <w:p>
            <w:r>
              <w:t>BOAS (BANK OF AFRICA SENEGAL)</w:t>
            </w:r>
          </w:p>
        </w:tc>
        <w:tc>
          <w:tcPr>
            <w:tcW w:type="dxa" w:w="1728"/>
          </w:tcPr>
          <w:p>
            <w:r>
              <w:t>14525</w:t>
            </w:r>
          </w:p>
        </w:tc>
        <w:tc>
          <w:tcPr>
            <w:tcW w:type="dxa" w:w="1728"/>
          </w:tcPr>
          <w:p>
            <w:r>
              <w:t>118056911 FCFA</w:t>
            </w:r>
          </w:p>
        </w:tc>
        <w:tc>
          <w:tcPr>
            <w:tcW w:type="dxa" w:w="1728"/>
          </w:tcPr>
          <w:p>
            <w:r>
              <w:t>10.62%</w:t>
            </w:r>
          </w:p>
        </w:tc>
        <w:tc>
          <w:tcPr>
            <w:tcW w:type="dxa" w:w="1728"/>
          </w:tcPr>
          <w:p>
            <w:r>
              <w:t>ACHAT</w:t>
            </w:r>
          </w:p>
        </w:tc>
      </w:tr>
      <w:tr>
        <w:tc>
          <w:tcPr>
            <w:tcW w:type="dxa" w:w="1728"/>
          </w:tcPr>
          <w:p>
            <w:r>
              <w:t>SIBC (SIBC - SOCIETE IVOIRIENNE DE BANQUE)</w:t>
            </w:r>
          </w:p>
        </w:tc>
        <w:tc>
          <w:tcPr>
            <w:tcW w:type="dxa" w:w="1728"/>
          </w:tcPr>
          <w:p>
            <w:r>
              <w:t>13595</w:t>
            </w:r>
          </w:p>
        </w:tc>
        <w:tc>
          <w:tcPr>
            <w:tcW w:type="dxa" w:w="1728"/>
          </w:tcPr>
          <w:p>
            <w:r>
              <w:t>123574061 FCFA</w:t>
            </w:r>
          </w:p>
        </w:tc>
        <w:tc>
          <w:tcPr>
            <w:tcW w:type="dxa" w:w="1728"/>
          </w:tcPr>
          <w:p>
            <w:r>
              <w:t>29.11%</w:t>
            </w:r>
          </w:p>
        </w:tc>
        <w:tc>
          <w:tcPr>
            <w:tcW w:type="dxa" w:w="1728"/>
          </w:tcPr>
          <w:p>
            <w:r>
              <w:t>ACHAT</w:t>
            </w:r>
          </w:p>
        </w:tc>
      </w:tr>
      <w:tr>
        <w:tc>
          <w:tcPr>
            <w:tcW w:type="dxa" w:w="1728"/>
          </w:tcPr>
          <w:p>
            <w:r>
              <w:t>UNXC (UNXC - UNIWAX COTE D'IVOIRE)</w:t>
            </w:r>
          </w:p>
        </w:tc>
        <w:tc>
          <w:tcPr>
            <w:tcW w:type="dxa" w:w="1728"/>
          </w:tcPr>
          <w:p>
            <w:r>
              <w:t>12066</w:t>
            </w:r>
          </w:p>
        </w:tc>
        <w:tc>
          <w:tcPr>
            <w:tcW w:type="dxa" w:w="1728"/>
          </w:tcPr>
          <w:p>
            <w:r>
              <w:t>28323022 FCFA</w:t>
            </w:r>
          </w:p>
        </w:tc>
        <w:tc>
          <w:tcPr>
            <w:tcW w:type="dxa" w:w="1728"/>
          </w:tcPr>
          <w:p>
            <w:r>
              <w:t>30.75%</w:t>
            </w:r>
          </w:p>
        </w:tc>
        <w:tc>
          <w:tcPr>
            <w:tcW w:type="dxa" w:w="1728"/>
          </w:tcPr>
          <w:p>
            <w:r>
              <w:t>ACHAT</w:t>
            </w:r>
          </w:p>
        </w:tc>
      </w:tr>
      <w:tr>
        <w:tc>
          <w:tcPr>
            <w:tcW w:type="dxa" w:w="1728"/>
          </w:tcPr>
          <w:p>
            <w:r>
              <w:t>SAFC (SAFCA CI)</w:t>
            </w:r>
          </w:p>
        </w:tc>
        <w:tc>
          <w:tcPr>
            <w:tcW w:type="dxa" w:w="1728"/>
          </w:tcPr>
          <w:p>
            <w:r>
              <w:t>12037</w:t>
            </w:r>
          </w:p>
        </w:tc>
        <w:tc>
          <w:tcPr>
            <w:tcW w:type="dxa" w:w="1728"/>
          </w:tcPr>
          <w:p>
            <w:r>
              <w:t>62841096 FCFA</w:t>
            </w:r>
          </w:p>
        </w:tc>
        <w:tc>
          <w:tcPr>
            <w:tcW w:type="dxa" w:w="1728"/>
          </w:tcPr>
          <w:p>
            <w:r>
              <w:t>27.14%</w:t>
            </w:r>
          </w:p>
        </w:tc>
        <w:tc>
          <w:tcPr>
            <w:tcW w:type="dxa" w:w="1728"/>
          </w:tcPr>
          <w:p>
            <w:r>
              <w:t>ACHAT</w:t>
            </w:r>
          </w:p>
        </w:tc>
      </w:tr>
      <w:tr>
        <w:tc>
          <w:tcPr>
            <w:tcW w:type="dxa" w:w="1728"/>
          </w:tcPr>
          <w:p>
            <w:r>
              <w:t>BOAC (BANK OF AFRICA COTE D'IVOIRE)</w:t>
            </w:r>
          </w:p>
        </w:tc>
        <w:tc>
          <w:tcPr>
            <w:tcW w:type="dxa" w:w="1728"/>
          </w:tcPr>
          <w:p>
            <w:r>
              <w:t>11449</w:t>
            </w:r>
          </w:p>
        </w:tc>
        <w:tc>
          <w:tcPr>
            <w:tcW w:type="dxa" w:w="1728"/>
          </w:tcPr>
          <w:p>
            <w:r>
              <w:t>134883641 FCFA</w:t>
            </w:r>
          </w:p>
        </w:tc>
        <w:tc>
          <w:tcPr>
            <w:tcW w:type="dxa" w:w="1728"/>
          </w:tcPr>
          <w:p>
            <w:r>
              <w:t>31.99%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3929</w:t>
            </w:r>
          </w:p>
        </w:tc>
        <w:tc>
          <w:tcPr>
            <w:tcW w:type="dxa" w:w="1728"/>
          </w:tcPr>
          <w:p>
            <w:r>
              <w:t>15289913 FCFA</w:t>
            </w:r>
          </w:p>
        </w:tc>
        <w:tc>
          <w:tcPr>
            <w:tcW w:type="dxa" w:w="1728"/>
          </w:tcPr>
          <w:p>
            <w:r>
              <w:t>13.28%</w:t>
            </w:r>
          </w:p>
        </w:tc>
        <w:tc>
          <w:tcPr>
            <w:tcW w:type="dxa" w:w="1728"/>
          </w:tcPr>
          <w:p>
            <w:r>
              <w:t>ACHAT</w:t>
            </w:r>
          </w:p>
        </w:tc>
      </w:tr>
      <w:tr>
        <w:tc>
          <w:tcPr>
            <w:tcW w:type="dxa" w:w="1728"/>
          </w:tcPr>
          <w:p>
            <w:r>
              <w:t>ORGT (ORGT - ORAGROUP TOGO)</w:t>
            </w:r>
          </w:p>
        </w:tc>
        <w:tc>
          <w:tcPr>
            <w:tcW w:type="dxa" w:w="1728"/>
          </w:tcPr>
          <w:p>
            <w:r>
              <w:t>3798</w:t>
            </w:r>
          </w:p>
        </w:tc>
        <w:tc>
          <w:tcPr>
            <w:tcW w:type="dxa" w:w="1728"/>
          </w:tcPr>
          <w:p>
            <w:r>
              <w:t>12006783 FCFA</w:t>
            </w:r>
          </w:p>
        </w:tc>
        <w:tc>
          <w:tcPr>
            <w:tcW w:type="dxa" w:w="1728"/>
          </w:tcPr>
          <w:p>
            <w:r>
              <w:t>17.65%</w:t>
            </w:r>
          </w:p>
        </w:tc>
        <w:tc>
          <w:tcPr>
            <w:tcW w:type="dxa" w:w="1728"/>
          </w:tcPr>
          <w:p>
            <w:r>
              <w:t>ACHAT</w:t>
            </w:r>
          </w:p>
        </w:tc>
      </w:tr>
      <w:tr>
        <w:tc>
          <w:tcPr>
            <w:tcW w:type="dxa" w:w="1728"/>
          </w:tcPr>
          <w:p>
            <w:r>
              <w:t>SOGC (SOGC - Société des caoutchoucs de Grand-Béréby)</w:t>
            </w:r>
          </w:p>
        </w:tc>
        <w:tc>
          <w:tcPr>
            <w:tcW w:type="dxa" w:w="1728"/>
          </w:tcPr>
          <w:p>
            <w:r>
              <w:t>3718</w:t>
            </w:r>
          </w:p>
        </w:tc>
        <w:tc>
          <w:tcPr>
            <w:tcW w:type="dxa" w:w="1728"/>
          </w:tcPr>
          <w:p>
            <w:r>
              <w:t>30155013 FCFA</w:t>
            </w:r>
          </w:p>
        </w:tc>
        <w:tc>
          <w:tcPr>
            <w:tcW w:type="dxa" w:w="1728"/>
          </w:tcPr>
          <w:p>
            <w:r>
              <w:t>7.44%</w:t>
            </w:r>
          </w:p>
        </w:tc>
        <w:tc>
          <w:tcPr>
            <w:tcW w:type="dxa" w:w="1728"/>
          </w:tcPr>
          <w:p>
            <w:r>
              <w:t>ACHAT</w:t>
            </w:r>
          </w:p>
        </w:tc>
      </w:tr>
      <w:tr>
        <w:tc>
          <w:tcPr>
            <w:tcW w:type="dxa" w:w="1728"/>
          </w:tcPr>
          <w:p>
            <w:r>
              <w:t>BNBC (BNBC - BERNABE CI)</w:t>
            </w:r>
          </w:p>
        </w:tc>
        <w:tc>
          <w:tcPr>
            <w:tcW w:type="dxa" w:w="1728"/>
          </w:tcPr>
          <w:p>
            <w:r>
              <w:t>3492</w:t>
            </w:r>
          </w:p>
        </w:tc>
        <w:tc>
          <w:tcPr>
            <w:tcW w:type="dxa" w:w="1728"/>
          </w:tcPr>
          <w:p>
            <w:r>
              <w:t>7268988 FCFA</w:t>
            </w:r>
          </w:p>
        </w:tc>
        <w:tc>
          <w:tcPr>
            <w:tcW w:type="dxa" w:w="1728"/>
          </w:tcPr>
          <w:p>
            <w:r>
              <w:t>46.15%</w:t>
            </w:r>
          </w:p>
        </w:tc>
        <w:tc>
          <w:tcPr>
            <w:tcW w:type="dxa" w:w="1728"/>
          </w:tcPr>
          <w:p>
            <w:r>
              <w:t>ACHAT</w:t>
            </w:r>
          </w:p>
        </w:tc>
      </w:tr>
      <w:tr>
        <w:tc>
          <w:tcPr>
            <w:tcW w:type="dxa" w:w="1728"/>
          </w:tcPr>
          <w:p>
            <w:r>
              <w:t>ECOC (ECOC - ECOBANK COTE D'IVOIRE)</w:t>
            </w:r>
          </w:p>
        </w:tc>
        <w:tc>
          <w:tcPr>
            <w:tcW w:type="dxa" w:w="1728"/>
          </w:tcPr>
          <w:p>
            <w:r>
              <w:t>3222</w:t>
            </w:r>
          </w:p>
        </w:tc>
        <w:tc>
          <w:tcPr>
            <w:tcW w:type="dxa" w:w="1728"/>
          </w:tcPr>
          <w:p>
            <w:r>
              <w:t>55022768 FCFA</w:t>
            </w:r>
          </w:p>
        </w:tc>
        <w:tc>
          <w:tcPr>
            <w:tcW w:type="dxa" w:w="1728"/>
          </w:tcPr>
          <w:p>
            <w:r>
              <w:t>-0.03%</w:t>
            </w:r>
          </w:p>
        </w:tc>
        <w:tc>
          <w:tcPr>
            <w:tcW w:type="dxa" w:w="1728"/>
          </w:tcPr>
          <w:p>
            <w:r>
              <w:t>ACHAT</w:t>
            </w:r>
          </w:p>
        </w:tc>
      </w:tr>
      <w:tr>
        <w:tc>
          <w:tcPr>
            <w:tcW w:type="dxa" w:w="1728"/>
          </w:tcPr>
          <w:p>
            <w:r>
              <w:t>STBC (STBC - SITAB COTE D'IVOIRE)</w:t>
            </w:r>
          </w:p>
        </w:tc>
        <w:tc>
          <w:tcPr>
            <w:tcW w:type="dxa" w:w="1728"/>
          </w:tcPr>
          <w:p>
            <w:r>
              <w:t>2962</w:t>
            </w:r>
          </w:p>
        </w:tc>
        <w:tc>
          <w:tcPr>
            <w:tcW w:type="dxa" w:w="1728"/>
          </w:tcPr>
          <w:p>
            <w:r>
              <w:t>64527112 FCFA</w:t>
            </w:r>
          </w:p>
        </w:tc>
        <w:tc>
          <w:tcPr>
            <w:tcW w:type="dxa" w:w="1728"/>
          </w:tcPr>
          <w:p>
            <w:r>
              <w:t>2.19%</w:t>
            </w:r>
          </w:p>
        </w:tc>
        <w:tc>
          <w:tcPr>
            <w:tcW w:type="dxa" w:w="1728"/>
          </w:tcPr>
          <w:p>
            <w:r>
              <w:t>ACHAT</w:t>
            </w:r>
          </w:p>
        </w:tc>
      </w:tr>
      <w:tr>
        <w:tc>
          <w:tcPr>
            <w:tcW w:type="dxa" w:w="1728"/>
          </w:tcPr>
          <w:p>
            <w:r>
              <w:t>NEIC (NEIC - NEI-CEDA CI)</w:t>
            </w:r>
          </w:p>
        </w:tc>
        <w:tc>
          <w:tcPr>
            <w:tcW w:type="dxa" w:w="1728"/>
          </w:tcPr>
          <w:p>
            <w:r>
              <w:t>2814</w:t>
            </w:r>
          </w:p>
        </w:tc>
        <w:tc>
          <w:tcPr>
            <w:tcW w:type="dxa" w:w="1728"/>
          </w:tcPr>
          <w:p>
            <w:r>
              <w:t>7196290 FCFA</w:t>
            </w:r>
          </w:p>
        </w:tc>
        <w:tc>
          <w:tcPr>
            <w:tcW w:type="dxa" w:w="1728"/>
          </w:tcPr>
          <w:p>
            <w:r>
              <w:t>28.65%</w:t>
            </w:r>
          </w:p>
        </w:tc>
        <w:tc>
          <w:tcPr>
            <w:tcW w:type="dxa" w:w="1728"/>
          </w:tcPr>
          <w:p>
            <w:r>
              <w:t>ACHAT</w:t>
            </w:r>
          </w:p>
        </w:tc>
      </w:tr>
      <w:tr>
        <w:tc>
          <w:tcPr>
            <w:tcW w:type="dxa" w:w="1728"/>
          </w:tcPr>
          <w:p>
            <w:r>
              <w:t>FTSC (FTSC - FILTISAC COTE D'IVOIRE)</w:t>
            </w:r>
          </w:p>
        </w:tc>
        <w:tc>
          <w:tcPr>
            <w:tcW w:type="dxa" w:w="1728"/>
          </w:tcPr>
          <w:p>
            <w:r>
              <w:t>2792</w:t>
            </w:r>
          </w:p>
        </w:tc>
        <w:tc>
          <w:tcPr>
            <w:tcW w:type="dxa" w:w="1728"/>
          </w:tcPr>
          <w:p>
            <w:r>
              <w:t>5777054 FCFA</w:t>
            </w:r>
          </w:p>
        </w:tc>
        <w:tc>
          <w:tcPr>
            <w:tcW w:type="dxa" w:w="1728"/>
          </w:tcPr>
          <w:p>
            <w:r>
              <w:t>-10.14%</w:t>
            </w:r>
          </w:p>
        </w:tc>
        <w:tc>
          <w:tcPr>
            <w:tcW w:type="dxa" w:w="1728"/>
          </w:tcPr>
          <w:p>
            <w:r>
              <w:t>ACHAT</w:t>
            </w:r>
          </w:p>
        </w:tc>
      </w:tr>
      <w:tr>
        <w:tc>
          <w:tcPr>
            <w:tcW w:type="dxa" w:w="1728"/>
          </w:tcPr>
          <w:p>
            <w:r>
              <w:t>CFAC (CFAC - CFAO MOTORS CI)</w:t>
            </w:r>
          </w:p>
        </w:tc>
        <w:tc>
          <w:tcPr>
            <w:tcW w:type="dxa" w:w="1728"/>
          </w:tcPr>
          <w:p>
            <w:r>
              <w:t>2731</w:t>
            </w:r>
          </w:p>
        </w:tc>
        <w:tc>
          <w:tcPr>
            <w:tcW w:type="dxa" w:w="1728"/>
          </w:tcPr>
          <w:p>
            <w:r>
              <w:t>4548932 FCFA</w:t>
            </w:r>
          </w:p>
        </w:tc>
        <w:tc>
          <w:tcPr>
            <w:tcW w:type="dxa" w:w="1728"/>
          </w:tcPr>
          <w:p>
            <w:r>
              <w:t>9.75%</w:t>
            </w:r>
          </w:p>
        </w:tc>
        <w:tc>
          <w:tcPr>
            <w:tcW w:type="dxa" w:w="1728"/>
          </w:tcPr>
          <w:p>
            <w:r>
              <w:t>ACHAT</w:t>
            </w:r>
          </w:p>
        </w:tc>
      </w:tr>
      <w:tr>
        <w:tc>
          <w:tcPr>
            <w:tcW w:type="dxa" w:w="1728"/>
          </w:tcPr>
          <w:p>
            <w:r>
              <w:t>SDCC (SDCC - Société de Distribution d'Eau de Côte d'Ivoire)</w:t>
            </w:r>
          </w:p>
        </w:tc>
        <w:tc>
          <w:tcPr>
            <w:tcW w:type="dxa" w:w="1728"/>
          </w:tcPr>
          <w:p>
            <w:r>
              <w:t>2323</w:t>
            </w:r>
          </w:p>
        </w:tc>
        <w:tc>
          <w:tcPr>
            <w:tcW w:type="dxa" w:w="1728"/>
          </w:tcPr>
          <w:p>
            <w:r>
              <w:t>30507765 FCFA</w:t>
            </w:r>
          </w:p>
        </w:tc>
        <w:tc>
          <w:tcPr>
            <w:tcW w:type="dxa" w:w="1728"/>
          </w:tcPr>
          <w:p>
            <w:r>
              <w:t>42.28%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FTSC - FTSC - FILTISAC COTE D'IVOIRE</w:t>
      </w:r>
    </w:p>
    <w:p>
      <w:r>
        <w:rPr>
          <w:b/>
        </w:rPr>
        <w:t xml:space="preserve">Score de divergence: </w:t>
      </w:r>
      <w:r>
        <w:t>5/8</w:t>
        <w:br/>
      </w:r>
      <w:r>
        <w:rPr>
          <w:b/>
        </w:rPr>
        <w:t xml:space="preserve">Description: </w:t>
      </w:r>
      <w:r>
        <w:t>Signaux de vente: MM, MACD | Recommandation finale: ACHAT</w:t>
        <w:br/>
      </w:r>
    </w:p>
    <w:p/>
    <w:p>
      <w:pPr>
        <w:pStyle w:val="Heading3"/>
      </w:pPr>
      <w:r>
        <w:t>3.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4. SAFC - SAFCA CI</w:t>
      </w:r>
    </w:p>
    <w:p>
      <w:r>
        <w:rPr>
          <w:b/>
        </w:rPr>
        <w:t xml:space="preserve">Score de divergence: </w:t>
      </w:r>
      <w:r>
        <w:t>5/8</w:t>
        <w:br/>
      </w:r>
      <w:r>
        <w:rPr>
          <w:b/>
        </w:rPr>
        <w:t xml:space="preserve">Description: </w:t>
      </w:r>
      <w:r>
        <w:t>Signaux de vente: MM, MACD | Recommandation finale: ACHAT</w:t>
        <w:br/>
      </w:r>
    </w:p>
    <w:p/>
    <w:p>
      <w:pPr>
        <w:pStyle w:val="Heading3"/>
      </w:pPr>
      <w:r>
        <w:t>5. SPHC - SPHC - Société Africaine de Plantation d'Hévéas de Côte d'Ivoire</w:t>
      </w:r>
    </w:p>
    <w:p>
      <w:r>
        <w:rPr>
          <w:b/>
        </w:rPr>
        <w:t xml:space="preserve">Score de divergence: </w:t>
      </w:r>
      <w:r>
        <w:t>5/8</w:t>
        <w:br/>
      </w:r>
      <w:r>
        <w:rPr>
          <w:b/>
        </w:rPr>
        <w:t xml:space="preserve">Description: </w:t>
      </w:r>
      <w:r>
        <w:t>Signaux de vente: MM, MACD | Recommandation finale: ACHAT</w:t>
        <w:br/>
      </w:r>
    </w:p>
    <w:p/>
    <w:p>
      <w:pPr>
        <w:pStyle w:val="Heading3"/>
      </w:pPr>
      <w:r>
        <w:t>6. CFAC - CFAC - CFAO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STBC - STBC - SITAB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ABJC - ABJC - SERVAIR ABIDJAN CI</w:t>
      </w:r>
    </w:p>
    <w:p>
      <w:r>
        <w:rPr>
          <w:b/>
        </w:rPr>
        <w:t xml:space="preserve">Score de divergence: </w:t>
      </w:r>
      <w:r>
        <w:t>3/8</w:t>
        <w:br/>
      </w:r>
      <w:r>
        <w:rPr>
          <w:b/>
        </w:rPr>
        <w:t xml:space="preserve">Description: </w:t>
      </w:r>
      <w:r>
        <w:t>Signaux d'achat: MM, Bollinger, RSI, Stochastique | Signaux de vente: MACD | Recommandation finale: ACHAT</w:t>
        <w:br/>
      </w:r>
    </w:p>
    <w:p/>
    <w:p>
      <w:pPr>
        <w:pStyle w:val="Heading3"/>
      </w:pPr>
      <w:r>
        <w:t>10. BICC - BICI CI - Banque internationale pour le commerce et l'industrie de la Côte d'Ivoire</w:t>
      </w:r>
    </w:p>
    <w:p>
      <w:r>
        <w:rPr>
          <w:b/>
        </w:rPr>
        <w:t xml:space="preserve">Score de divergence: </w:t>
      </w:r>
      <w:r>
        <w:t>2/8</w:t>
        <w:br/>
      </w:r>
      <w:r>
        <w:rPr>
          <w:b/>
        </w:rPr>
        <w:t xml:space="preserve">Description: </w:t>
      </w:r>
      <w:r>
        <w:t>Signaux d'achat: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30</w:t>
            </w:r>
          </w:p>
        </w:tc>
        <w:tc>
          <w:tcPr>
            <w:tcW w:type="dxa" w:w="2160"/>
          </w:tcPr>
          <w:p>
            <w:r>
              <w:t>0</w:t>
            </w:r>
          </w:p>
        </w:tc>
      </w:tr>
      <w:tr>
        <w:tc>
          <w:tcPr>
            <w:tcW w:type="dxa" w:w="2160"/>
          </w:tcPr>
          <w:p>
            <w:r>
              <w:t>Risque Moyen</w:t>
            </w:r>
          </w:p>
        </w:tc>
        <w:tc>
          <w:tcPr>
            <w:tcW w:type="dxa" w:w="2160"/>
          </w:tcPr>
          <w:p>
            <w:r>
              <w:t>0</w:t>
            </w:r>
          </w:p>
        </w:tc>
        <w:tc>
          <w:tcPr>
            <w:tcW w:type="dxa" w:w="2160"/>
          </w:tcPr>
          <w:p>
            <w:r>
              <w:t>18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ont grimpé à 92,87 USD/baril, alimentés par les tensions persistantes dans le détroit d'Ormuz, malgré la reprise de la circulation des tankers. Cette flambée entraîne une volatilité accrue sur les marchés mondiaux des matières premières. Parallèlement, un repricing hawkish des taux de la BCE a pesé sur les indices européens (MIB baissier), et la BCE étudie ses options face à un risque de crise financière en France.</w:t>
      </w:r>
    </w:p>
    <w:p>
      <w:pPr>
        <w:pStyle w:val="Heading3"/>
      </w:pPr>
      <w:r>
        <w:rPr>
          <w:color w:val="500050"/>
        </w:rPr>
        <w:t>⚡ Impact estimé sur la BRVM</w:t>
      </w:r>
    </w:p>
    <w:p>
      <w:pPr>
        <w:spacing w:before="20" w:after="40"/>
        <w:ind w:left="280"/>
      </w:pPr>
      <w:r>
        <w:rPr>
          <w:i/>
          <w:sz w:val="18"/>
        </w:rPr>
        <w:t>La hausse du pétrole renchérit les coûts énergétiques pour les sociétés de transport et de distribution (TTLC, TTLS, SHEC) et pèse sur le pouvoir d'achat des consommateurs, affectant la CONSOMMATION DISCRETIONNAIRE (ABJC, PRSC, NEIC, BNBC). Le durcissement monétaire européen renforce l'aversion au risque, défavorable aux flux vers les marchés frontières comme la BRVM.</w:t>
      </w:r>
    </w:p>
    <w:p>
      <w:pPr>
        <w:pStyle w:val="Heading2"/>
      </w:pPr>
      <w:r>
        <w:rPr>
          <w:color w:val="006E32"/>
        </w:rPr>
        <w:t>🌍 Plan Africain</w:t>
      </w:r>
    </w:p>
    <w:p>
      <w:pPr>
        <w:spacing w:before="20" w:after="40"/>
        <w:ind w:left="0"/>
      </w:pPr>
      <w:r>
        <w:rPr>
          <w:sz w:val="18"/>
        </w:rPr>
        <w:t>L'Afrique affiche une croissance solide mais reste confrontée au défi de l'investissement, tandis que le continent demeure « accro au dollar » malgré l'offensive chinoise en yuan. Le plaidoyer d'Amara pour la transformation économique souligne l'urgence d'investir dans l'emploi.</w:t>
      </w:r>
    </w:p>
    <w:p>
      <w:pPr>
        <w:pStyle w:val="Heading3"/>
      </w:pPr>
      <w:r>
        <w:rPr>
          <w:color w:val="500050"/>
        </w:rPr>
        <w:t>⚡ Impact estimé sur la BRVM</w:t>
      </w:r>
    </w:p>
    <w:p>
      <w:pPr>
        <w:spacing w:before="20" w:after="40"/>
        <w:ind w:left="280"/>
      </w:pPr>
      <w:r>
        <w:rPr>
          <w:i/>
          <w:sz w:val="18"/>
        </w:rPr>
        <w:t>La dépendance au dollar expose les sociétés importatrices (distribution, industrie) au risque de change. Une croissance soutenue est favorable aux banques (SGBC, BICB, SIBC) via le crédit, mais l'insuffisance d'investissement limite les volumes d'affaires des industriels cotés.</w:t>
      </w:r>
    </w:p>
    <w:p>
      <w:pPr>
        <w:pStyle w:val="Heading2"/>
      </w:pPr>
      <w:r>
        <w:rPr>
          <w:color w:val="145A28"/>
        </w:rPr>
        <w:t>🌍 Plan Afrique de l'Ouest</w:t>
      </w:r>
    </w:p>
    <w:p>
      <w:pPr>
        <w:spacing w:before="20" w:after="40"/>
        <w:ind w:left="0"/>
      </w:pPr>
      <w:r>
        <w:rPr>
          <w:sz w:val="18"/>
        </w:rPr>
        <w:t>La CEA mobilise les entreprises ouest-africaines autour de la chaîne de valeur du riz, et la BIDC lance la 2ᵉ édition du Forum d'investissement de la CEDEAO. Le chef d'état-major nigérian plaide pour un front uni sécuritaire régional.</w:t>
      </w:r>
    </w:p>
    <w:p>
      <w:pPr>
        <w:pStyle w:val="Heading3"/>
      </w:pPr>
      <w:r>
        <w:rPr>
          <w:color w:val="500050"/>
        </w:rPr>
        <w:t>⚡ Impact estimé sur la BRVM</w:t>
      </w:r>
    </w:p>
    <w:p>
      <w:pPr>
        <w:spacing w:before="20" w:after="40"/>
        <w:ind w:left="280"/>
      </w:pPr>
      <w:r>
        <w:rPr>
          <w:i/>
          <w:sz w:val="18"/>
        </w:rPr>
        <w:t>La dynamisation de la filière riz bénéficie indirectement aux agro-industriels (SCRC, NTLC, SLBC) via un environnement d'affaires renforcé. Le Forum BIDC pourrait catalyser des flux d'investissement vers les sociétés cotées régionales.</w:t>
      </w:r>
    </w:p>
    <w:p>
      <w:pPr>
        <w:pStyle w:val="Heading2"/>
      </w:pPr>
      <w:r>
        <w:rPr>
          <w:color w:val="8C4600"/>
        </w:rPr>
        <w:t>🏦 Plan UEMOA / Zone Franc</w:t>
      </w:r>
    </w:p>
    <w:p>
      <w:pPr>
        <w:spacing w:before="20" w:after="40"/>
        <w:ind w:left="0"/>
      </w:pPr>
      <w:r>
        <w:rPr>
          <w:sz w:val="18"/>
        </w:rPr>
        <w:t>Le budget 2027 du Togo est transmis au Sénat, avec des orientations stratégiques fixées. Amnesty accuse les FAMa et Wagner de crimes de guerre au Mali, source de risque-pays. Données insuffisantes sur les décisions BCEAO et l'inflation zone.</w:t>
      </w:r>
    </w:p>
    <w:p>
      <w:pPr>
        <w:pStyle w:val="Heading3"/>
      </w:pPr>
      <w:r>
        <w:rPr>
          <w:color w:val="500050"/>
        </w:rPr>
        <w:t>⚡ Impact estimé sur la BRVM</w:t>
      </w:r>
    </w:p>
    <w:p>
      <w:pPr>
        <w:spacing w:before="20" w:after="40"/>
        <w:ind w:left="280"/>
      </w:pPr>
      <w:r>
        <w:rPr>
          <w:i/>
          <w:sz w:val="18"/>
        </w:rPr>
        <w:t>L'instabilité malienne pèse sur la confiance régionale et les primes de risque. Les banques exposées au Sahel (BICB, SGBC) pourraient voir leurs coûts de refinancement augmenter. Aucune donnée disponible sur cacao/caoutchouc.</w:t>
      </w:r>
    </w:p>
    <w:p>
      <w:pPr>
        <w:pStyle w:val="Heading2"/>
      </w:pPr>
      <w:r>
        <w:rPr>
          <w:color w:val="003366"/>
        </w:rPr>
        <w:t>📈 Plan BRVM</w:t>
      </w:r>
    </w:p>
    <w:p>
      <w:pPr>
        <w:spacing w:before="20" w:after="40"/>
        <w:ind w:left="0"/>
      </w:pPr>
      <w:r>
        <w:rPr>
          <w:sz w:val="18"/>
        </w:rPr>
        <w:t>Les résultats des sociétés cotées ivoiriennes sont jugés encourageants selon La Tribune. L'indice BRVM Composite s'établit à 549,02 points. Données insuffisantes sur volumes, IPO et dividendes récents.</w:t>
      </w:r>
    </w:p>
    <w:p>
      <w:pPr>
        <w:pStyle w:val="Heading3"/>
      </w:pPr>
      <w:r>
        <w:rPr>
          <w:color w:val="500050"/>
        </w:rPr>
        <w:t>⚡ Impact estimé sur la BRVM</w:t>
      </w:r>
    </w:p>
    <w:p>
      <w:pPr>
        <w:spacing w:before="20" w:after="40"/>
        <w:ind w:left="280"/>
      </w:pPr>
      <w:r>
        <w:rPr>
          <w:i/>
          <w:sz w:val="18"/>
        </w:rPr>
        <w:t>Les résultats encourageants soutiennent les valeurs bancaires (SGBC, BICB) et agro (SLBC, SCRC). Recommandation : conserver SGBC/BICB sur fondamentaux, surveiller ONTBF (télécoms défensif) et TTLC/TTLS (sensibles au pétrole).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dans le détroit d'Ormuz persistent malgré la reprise de circulation, maintenant une prime de risque géopolitique sur le pétrole. La BCE est interrogée sur sa capacité à soutenir la France en cas de crise financière, révélant des fragilités européennes.</w:t>
      </w:r>
    </w:p>
    <w:p>
      <w:pPr>
        <w:pStyle w:val="Heading3"/>
      </w:pPr>
      <w:r>
        <w:rPr>
          <w:color w:val="500050"/>
        </w:rPr>
        <w:t>⚡ Impact estimé sur la BRVM</w:t>
      </w:r>
    </w:p>
    <w:p>
      <w:pPr>
        <w:spacing w:before="20" w:after="40"/>
        <w:ind w:left="280"/>
      </w:pPr>
      <w:r>
        <w:rPr>
          <w:i/>
          <w:sz w:val="18"/>
        </w:rPr>
        <w:t>L'instabilité géopolitique mondiale détourne les capitaux des marchés frontières vers les actifs refuges (dollar, or), réduisant la liquidité sur la BRVM et pesant sur les valorisations.</w:t>
      </w:r>
    </w:p>
    <w:p>
      <w:pPr>
        <w:pStyle w:val="Heading2"/>
      </w:pPr>
      <w:r>
        <w:rPr>
          <w:color w:val="006E32"/>
        </w:rPr>
        <w:t>🌍 Plan Africain</w:t>
      </w:r>
    </w:p>
    <w:p>
      <w:pPr>
        <w:spacing w:before="20" w:after="40"/>
        <w:ind w:left="0"/>
      </w:pPr>
      <w:r>
        <w:rPr>
          <w:sz w:val="18"/>
        </w:rPr>
        <w:t>Le rapport d'Amnesty sur le Mali accuse les FAMa et Wagner de crimes de guerre, aggravant l'isolement diplomatique du pays. Le débat africain RFI aborde Maroc, Burkina Faso et expulsions de migrants.</w:t>
      </w:r>
    </w:p>
    <w:p>
      <w:pPr>
        <w:pStyle w:val="Heading3"/>
      </w:pPr>
      <w:r>
        <w:rPr>
          <w:color w:val="500050"/>
        </w:rPr>
        <w:t>⚡ Impact estimé sur la BRVM</w:t>
      </w:r>
    </w:p>
    <w:p>
      <w:pPr>
        <w:spacing w:before="20" w:after="40"/>
        <w:ind w:left="280"/>
      </w:pPr>
      <w:r>
        <w:rPr>
          <w:i/>
          <w:sz w:val="18"/>
        </w:rPr>
        <w:t>La dégradation sécuritaire au Sahel accroît l'aversion au risque régionale, pesant sur les flux de capitaux vers la BRVM et sur les sociétés exposées à ces zones.</w:t>
      </w:r>
    </w:p>
    <w:p>
      <w:pPr>
        <w:pStyle w:val="Heading2"/>
      </w:pPr>
      <w:r>
        <w:rPr>
          <w:color w:val="145A28"/>
        </w:rPr>
        <w:t>🌍 Plan Afrique de l'Ouest</w:t>
      </w:r>
    </w:p>
    <w:p>
      <w:pPr>
        <w:spacing w:before="20" w:after="40"/>
        <w:ind w:left="0"/>
      </w:pPr>
      <w:r>
        <w:rPr>
          <w:sz w:val="18"/>
        </w:rPr>
        <w:t>Le chef d'état-major nigérian plaide pour un front uni face aux menaces sécuritaires communes, signalant une pression terroriste persistante dans la sous-région.</w:t>
      </w:r>
    </w:p>
    <w:p>
      <w:pPr>
        <w:pStyle w:val="Heading3"/>
      </w:pPr>
      <w:r>
        <w:rPr>
          <w:color w:val="500050"/>
        </w:rPr>
        <w:t>⚡ Impact estimé sur la BRVM</w:t>
      </w:r>
    </w:p>
    <w:p>
      <w:pPr>
        <w:spacing w:before="20" w:after="40"/>
        <w:ind w:left="280"/>
      </w:pPr>
      <w:r>
        <w:rPr>
          <w:i/>
          <w:sz w:val="18"/>
        </w:rPr>
        <w:t>Les risques sécuritaires pèsent sur les sociétés opérant au Nigeria et au Sahel, mais la coopération régionale renforcée pourrait stabiliser à moyen terme l'environnement d'affaires.</w:t>
      </w:r>
    </w:p>
    <w:p>
      <w:pPr>
        <w:pStyle w:val="Heading2"/>
      </w:pPr>
      <w:r>
        <w:rPr>
          <w:color w:val="8C4600"/>
        </w:rPr>
        <w:t>🏦 Plan UEMOA / Zone Franc</w:t>
      </w:r>
    </w:p>
    <w:p>
      <w:pPr>
        <w:spacing w:before="20" w:after="40"/>
        <w:ind w:left="0"/>
      </w:pPr>
      <w:r>
        <w:rPr>
          <w:sz w:val="18"/>
        </w:rPr>
        <w:t>Le budget 2027 togolais avance au Sénat, marquant une continuité institutionnelle. Le Mali reste sous pression internationale (Amnesty/Wagner). Données insuffisantes sur réformes institutionnelles UEMOA.</w:t>
      </w:r>
    </w:p>
    <w:p>
      <w:pPr>
        <w:pStyle w:val="Heading3"/>
      </w:pPr>
      <w:r>
        <w:rPr>
          <w:color w:val="500050"/>
        </w:rPr>
        <w:t>⚡ Impact estimé sur la BRVM</w:t>
      </w:r>
    </w:p>
    <w:p>
      <w:pPr>
        <w:spacing w:before="20" w:after="40"/>
        <w:ind w:left="280"/>
      </w:pPr>
      <w:r>
        <w:rPr>
          <w:i/>
          <w:sz w:val="18"/>
        </w:rPr>
        <w:t>La stabilité institutionnelle togolaise est neutre à positive. Le risque-pays malien reste un facteur de prime de risque pour les investisseurs BRVM exposés à la zone.</w:t>
      </w:r>
    </w:p>
    <w:p>
      <w:pPr>
        <w:pStyle w:val="Heading2"/>
      </w:pPr>
      <w:r>
        <w:rPr>
          <w:color w:val="003366"/>
        </w:rPr>
        <w:t>📈 Plan BRVM</w:t>
      </w:r>
    </w:p>
    <w:p>
      <w:pPr>
        <w:spacing w:before="20" w:after="40"/>
        <w:ind w:left="0"/>
      </w:pPr>
      <w:r>
        <w:rPr>
          <w:sz w:val="18"/>
        </w:rPr>
        <w:t>Données insuffisantes sur la réglementation CREPMF, nouvelles cotations et gouvernance des sociétés.</w:t>
      </w:r>
    </w:p>
    <w:p>
      <w:pPr>
        <w:pStyle w:val="Heading3"/>
      </w:pPr>
      <w:r>
        <w:rPr>
          <w:color w:val="500050"/>
        </w:rPr>
        <w:t>⚡ Impact estimé sur la BRVM</w:t>
      </w:r>
    </w:p>
    <w:p>
      <w:pPr>
        <w:spacing w:before="20" w:after="40"/>
        <w:ind w:left="280"/>
      </w:pPr>
      <w:r>
        <w:rPr>
          <w:i/>
          <w:sz w:val="18"/>
        </w:rPr>
        <w:t>Aucune décision réglementaire majeure identifiée dans les actualités fournies.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 MIB italien recule après un repricing hawkish de la BCE, signalant un durcissement monétaire européen. Les marchés des matières premières sont volatils sous l'effet de la flambée pétrolière à 92,87 USD.</w:t>
      </w:r>
    </w:p>
    <w:p>
      <w:pPr>
        <w:pStyle w:val="Heading3"/>
      </w:pPr>
      <w:r>
        <w:rPr>
          <w:color w:val="500050"/>
        </w:rPr>
        <w:t>⚡ Impact estimé sur la BRVM</w:t>
      </w:r>
    </w:p>
    <w:p>
      <w:pPr>
        <w:spacing w:before="20" w:after="40"/>
        <w:ind w:left="280"/>
      </w:pPr>
      <w:r>
        <w:rPr>
          <w:i/>
          <w:sz w:val="18"/>
        </w:rPr>
        <w:t>Le durcissement BCE renchérit le coût du capital et détourne les flux des marchés émergents. La corrélation BRVM-marchés frontières reste défavorable à court terme.</w:t>
      </w:r>
    </w:p>
    <w:p>
      <w:pPr>
        <w:pStyle w:val="Heading2"/>
      </w:pPr>
      <w:r>
        <w:rPr>
          <w:color w:val="006E32"/>
        </w:rPr>
        <w:t>🌍 Plan Africain</w:t>
      </w:r>
    </w:p>
    <w:p>
      <w:pPr>
        <w:spacing w:before="20" w:after="40"/>
        <w:ind w:left="0"/>
      </w:pPr>
      <w:r>
        <w:rPr>
          <w:sz w:val="18"/>
        </w:rPr>
        <w:t>Données insuffisantes sur les marchés obligataires africains, eurobonds et notations souveraines.</w:t>
      </w:r>
    </w:p>
    <w:p>
      <w:pPr>
        <w:pStyle w:val="Heading3"/>
      </w:pPr>
      <w:r>
        <w:rPr>
          <w:color w:val="500050"/>
        </w:rPr>
        <w:t>⚡ Impact estimé sur la BRVM</w:t>
      </w:r>
    </w:p>
    <w:p>
      <w:pPr>
        <w:spacing w:before="20" w:after="40"/>
        <w:ind w:left="280"/>
      </w:pPr>
      <w:r>
        <w:rPr>
          <w:i/>
          <w:sz w:val="18"/>
        </w:rPr>
        <w:t>Aucune donnée exploitable pour évaluer la concurrence entre la BRVM et les autres places africaines.</w:t>
      </w:r>
    </w:p>
    <w:p>
      <w:pPr>
        <w:pStyle w:val="Heading2"/>
      </w:pPr>
      <w:r>
        <w:rPr>
          <w:color w:val="145A28"/>
        </w:rPr>
        <w:t>🌍 Plan Afrique de l'Ouest</w:t>
      </w:r>
    </w:p>
    <w:p>
      <w:pPr>
        <w:spacing w:before="20" w:after="40"/>
        <w:ind w:left="0"/>
      </w:pPr>
      <w:r>
        <w:rPr>
          <w:sz w:val="18"/>
        </w:rPr>
        <w:t>Données insuffisantes sur les bourses régionales concurrentes et les flux de capitaux sous-régionaux.</w:t>
      </w:r>
    </w:p>
    <w:p>
      <w:pPr>
        <w:pStyle w:val="Heading3"/>
      </w:pPr>
      <w:r>
        <w:rPr>
          <w:color w:val="500050"/>
        </w:rPr>
        <w:t>⚡ Impact estimé sur la BRVM</w:t>
      </w:r>
    </w:p>
    <w:p>
      <w:pPr>
        <w:spacing w:before="20" w:after="40"/>
        <w:ind w:left="280"/>
      </w:pPr>
      <w:r>
        <w:rPr>
          <w:i/>
          <w:sz w:val="18"/>
        </w:rPr>
        <w:t>Positionnement de la BRVM non évaluable faute de données comparatives.</w:t>
      </w:r>
    </w:p>
    <w:p>
      <w:pPr>
        <w:pStyle w:val="Heading2"/>
      </w:pPr>
      <w:r>
        <w:rPr>
          <w:color w:val="8C4600"/>
        </w:rPr>
        <w:t>🏦 Plan UEMOA / Zone Franc</w:t>
      </w:r>
    </w:p>
    <w:p>
      <w:pPr>
        <w:spacing w:before="20" w:after="40"/>
        <w:ind w:left="0"/>
      </w:pPr>
      <w:r>
        <w:rPr>
          <w:sz w:val="18"/>
        </w:rPr>
        <w:t>Données insuffisantes sur le marché des titres publics UEMOA, le taux interbancaire et la liquidité bancaire.</w:t>
      </w:r>
    </w:p>
    <w:p>
      <w:pPr>
        <w:pStyle w:val="Heading3"/>
      </w:pPr>
      <w:r>
        <w:rPr>
          <w:color w:val="500050"/>
        </w:rPr>
        <w:t>⚡ Impact estimé sur la BRVM</w:t>
      </w:r>
    </w:p>
    <w:p>
      <w:pPr>
        <w:spacing w:before="20" w:after="40"/>
        <w:ind w:left="280"/>
      </w:pPr>
      <w:r>
        <w:rPr>
          <w:i/>
          <w:sz w:val="18"/>
        </w:rPr>
        <w:t>L'arbitrage titres publics/actions BRVM n'est pas mesurable sans données de taux.</w:t>
      </w:r>
    </w:p>
    <w:p>
      <w:pPr>
        <w:pStyle w:val="Heading2"/>
      </w:pPr>
      <w:r>
        <w:rPr>
          <w:color w:val="003366"/>
        </w:rPr>
        <w:t>📈 Plan BRVM</w:t>
      </w:r>
    </w:p>
    <w:p>
      <w:pPr>
        <w:spacing w:before="20" w:after="40"/>
        <w:ind w:left="0"/>
      </w:pPr>
      <w:r>
        <w:rPr>
          <w:sz w:val="18"/>
        </w:rPr>
        <w:t>L'indice BRVM Composite s'établit à 549,02 points. Les résultats des sociétés cotées ivoiriennes sont jugés encourageants. Données insuffisantes sur top/flop, volumes et perspectives détaillées.</w:t>
      </w:r>
    </w:p>
    <w:p>
      <w:pPr>
        <w:pStyle w:val="Heading3"/>
      </w:pPr>
      <w:r>
        <w:rPr>
          <w:color w:val="500050"/>
        </w:rPr>
        <w:t>⚡ Impact estimé sur la BRVM</w:t>
      </w:r>
    </w:p>
    <w:p>
      <w:pPr>
        <w:spacing w:before="20" w:after="40"/>
        <w:ind w:left="280"/>
      </w:pPr>
      <w:r>
        <w:rPr>
          <w:i/>
          <w:sz w:val="18"/>
        </w:rPr>
        <w:t>Recommandations : **ACHAT** sur SGBC et BICB (résultats encourageants, secteur financier dynamique) ; **CONSERVER** ONTBF (télécoms défensif) ; **PRUDENCE** sur TTLC/TTLS (exposition pétrole) ; **SURVEILLER** SLBC/SCRC (consommation de base, résiliente).</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est marqué par une flambée pétrolière (92,87 USD) et un durcissement monétaire européen qui pèsent sur les flux vers les marchés frontières, tandis que les risques sécuritaires sahéliens (Mali) et la dépendance au dollar persistent. Toutefois, les résultats encourageants des sociétés cotées ivoiriennes et l'indice BRVM Composite à 549,02 points offrent des points d'appui. Recommandation : privilégier les valeurs bancaires (SGBC, BICB) et télécoms défensives (ONTBF), limiter l'exposition aux valeurs énergétiques et de distribution sensibles au pétrole, et maintenir une poche de liquidité en attendant plus de visibilité sur les taux BCEAO et les flux régionaux.</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Les prix du pétrole ont flambé et les marchés mondiaux des matières pr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Mali : Amnesty publie un rapport accusant les FAMa et Wagner de crimes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Togo : le budget 2027 arrive au Sénat, Barry Moussa Barqué fixe le cap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Le débat africain - Maroc, Burkina Faso, Cisjordanie occupée et expuls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Yamoussoukro, Beugré Mambé donne le coup d'envoi aux 4</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Les prix du pétrole ont flambé et les marchés mondiaux des matières pr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Mali : Amnesty publie un rapport accusant les FAMa et Wagner de crimes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Le débat africain - Maroc, Burkina Faso, Cisjordanie occupée et expuls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Yamoussoukro, Beugré Mambé donne le coup d'envoi aux 4</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Mali : Amnesty publie un rapport accusant les FAMa et Wagner de crimes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Le débat africain - Maroc, Burkina Faso, Cisjordanie occupée et expuls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Yamoussoukro, Beugré Mambé donne le coup d'envoi aux 4</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Mali : Amnesty publie un rapport accusant les FAMa et Wagner de crimes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Togo : le budget 2027 arrive au Sénat, Barry Moussa Barqué fixe le cap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Mali : Amnesty publie un rapport accusant les FAMa et Wagner de crimes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Le débat africain - Maroc, Burkina Faso, Cisjordanie occupée et expuls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Les prix du pétrole ont flambé et les marchés mondiaux des matières pr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Le débat africain - Maroc, Burkina Faso, Cisjordanie occupée et expuls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Le débat africain - Maroc, Burkina Faso, Cisjordanie occupée et expuls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Mali : Amnesty publie un rapport accusant les FAMa et Wagner de crimes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Togo : le budget 2027 arrive au Sénat, Barry Moussa Barqué fixe le cap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Ce que la Banque centrale européenne pourrait (ou non) faire pour la F</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Le débat africain - Maroc, Burkina Faso, Cisjordanie occupée et expuls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(4 alerte(s))</w:t>
      </w:r>
    </w:p>
    <w:p>
      <w:pPr>
        <w:spacing w:before="40" w:after="40"/>
        <w:ind w:left="360"/>
      </w:pPr>
      <w:r>
        <w:rPr>
          <w:color w:val="646464"/>
          <w:sz w:val="17"/>
        </w:rPr>
        <w:t xml:space="preserve">[02/10/2026] 🔴  </w:t>
      </w:r>
      <w:r>
        <w:rPr>
          <w:b/>
          <w:color w:val="C00000"/>
          <w:sz w:val="18"/>
        </w:rPr>
        <w:t>Les prix du pétrole ont grimpé jusqu'à 92,87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atteint un sommet de 92,87 dollars le baril selon le site vietnamien vietnam.vn. Cette hausse reflète des tensions persistantes sur les marchés mondiaux de l'énergie. Pour la BRVM, une telle flambée des cours pétroliers renchérit les coûts d'importation pour les pays de l'UEMOA et pèse sur les marges des entreprises consomma</w:t>
      </w:r>
    </w:p>
    <w:p>
      <w:pPr>
        <w:spacing w:before="0" w:after="40"/>
        <w:ind w:left="600"/>
      </w:pPr>
      <w:r>
        <w:rPr>
          <w:color w:val="00643C"/>
          <w:sz w:val="16"/>
        </w:rPr>
        <w:t>Points clés : Le baril de pétrole atteint 92,87 dollars, un niveau élevé.  •  La hausse est portée par des tensions sur l'offre et la demande mondiale.  •  Impact potentiel sur les coûts énergétiques dans la zone UEMOA.</w:t>
      </w:r>
    </w:p>
    <w:p>
      <w:pPr>
        <w:spacing w:before="0" w:after="60"/>
        <w:ind w:left="600"/>
      </w:pPr>
      <w:r>
        <w:rPr>
          <w:color w:val="0064B4"/>
          <w:sz w:val="15"/>
        </w:rPr>
        <w:t>Source : https://news.google.com/rss/articles/CBMidkFVX3lxTFAtSWdzSWpmdFc3QmNMb2NkdnpnXzV</w:t>
      </w:r>
    </w:p>
    <w:p>
      <w:pPr>
        <w:spacing w:before="40" w:after="40"/>
        <w:ind w:left="360"/>
      </w:pPr>
      <w:r>
        <w:rPr>
          <w:color w:val="646464"/>
          <w:sz w:val="17"/>
        </w:rPr>
        <w:t xml:space="preserve">[02/10/2026] 🔴  </w:t>
      </w:r>
      <w:r>
        <w:rPr>
          <w:b/>
          <w:color w:val="C00000"/>
          <w:sz w:val="18"/>
        </w:rPr>
        <w:t>Les prix du pétrole ont flambé et les marchés mondiaux des matières premières ont continué de fluctuer.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connu une forte hausse, entraînant une volatilité accrue sur les marchés mondiaux des matières premières. Cette flambée s'inscrit dans un contexte de fluctuations continues des cours. Les investisseurs surveillent l'évolution des prix de l'énergie et des matières premières, qui impacte les perspectives économiques mondiales.</w:t>
      </w:r>
    </w:p>
    <w:p>
      <w:pPr>
        <w:spacing w:before="0" w:after="40"/>
        <w:ind w:left="600"/>
      </w:pPr>
      <w:r>
        <w:rPr>
          <w:color w:val="00643C"/>
          <w:sz w:val="16"/>
        </w:rPr>
        <w:t>Points clés : Forte hausse des prix du pétrole  •  Volatilité persistante des marchés mondiaux des matières premières  •  Impact potentiel sur les coûts énergétiques et l'inflation</w:t>
      </w:r>
    </w:p>
    <w:p>
      <w:pPr>
        <w:spacing w:before="0" w:after="60"/>
        <w:ind w:left="600"/>
      </w:pPr>
      <w:r>
        <w:rPr>
          <w:color w:val="0064B4"/>
          <w:sz w:val="15"/>
        </w:rPr>
        <w:t>Source : https://news.google.com/rss/articles/CBMilAFBVV95cUxPbDRiNU9mbGplNzRtZWtLLTdHSmV</w:t>
      </w:r>
    </w:p>
    <w:p>
      <w:pPr>
        <w:spacing w:before="40" w:after="40"/>
        <w:ind w:left="360"/>
      </w:pPr>
      <w:r>
        <w:rPr>
          <w:color w:val="646464"/>
          <w:sz w:val="17"/>
        </w:rPr>
        <w:t xml:space="preserve">[01/10/2026] 🔴  </w:t>
      </w:r>
      <w:r>
        <w:rPr>
          <w:b/>
          <w:color w:val="C00000"/>
          <w:sz w:val="18"/>
        </w:rPr>
        <w:t>Le pétrole recircule dans le détroit d'Ormuz, alors pourquoi le carburant reste-t-il si cher ? - Capital.fr</w:t>
      </w:r>
      <w:r>
        <w:rPr>
          <w:color w:val="787878"/>
          <w:sz w:val="15"/>
        </w:rPr>
        <w:t xml:space="preserve">  [matieres_premieres]</w:t>
      </w:r>
      <w:r>
        <w:rPr>
          <w:color w:val="B47800"/>
          <w:sz w:val="16"/>
        </w:rPr>
        <w:t xml:space="preserve">  ★ 50/10</w:t>
      </w:r>
    </w:p>
    <w:p>
      <w:pPr>
        <w:spacing w:before="0" w:after="20"/>
        <w:ind w:left="600"/>
      </w:pPr>
      <w:r>
        <w:rPr>
          <w:color w:val="323232"/>
          <w:sz w:val="17"/>
        </w:rPr>
        <w:t>Le détroit d'Ormuz, point de passage stratégique pour le pétrole, connaît une reprise de la circulation des tankers après des tensions géopolitiques. Pourtant, les prix des carburants restent élevés, en raison de facteurs structurels comme les coûts de raffinage, la demande mondiale soutenue et les marges des distributeurs. Cette situation pèse sur</w:t>
      </w:r>
    </w:p>
    <w:p>
      <w:pPr>
        <w:spacing w:before="0" w:after="40"/>
        <w:ind w:left="600"/>
      </w:pPr>
      <w:r>
        <w:rPr>
          <w:color w:val="00643C"/>
          <w:sz w:val="16"/>
        </w:rPr>
        <w:t>Points clés : Reprise de la circulation pétrolière dans le détroit d'Ormuz  •  Prix des carburants toujours élevés malgré la normalisation  •  Facteurs structurels : raffinage, demande, marges  •  Impact sur l'inflation et le pouvoir d'achat</w:t>
      </w:r>
    </w:p>
    <w:p>
      <w:pPr>
        <w:spacing w:before="0" w:after="60"/>
        <w:ind w:left="600"/>
      </w:pPr>
      <w:r>
        <w:rPr>
          <w:color w:val="0064B4"/>
          <w:sz w:val="15"/>
        </w:rPr>
        <w:t>Source : https://news.google.com/rss/articles/CBMixgFBVV95cUxNVzg1NWYzLXRyai1xNnVEeEFBRlN</w:t>
      </w:r>
    </w:p>
    <w:p>
      <w:pPr>
        <w:spacing w:before="40" w:after="40"/>
        <w:ind w:left="360"/>
      </w:pPr>
      <w:r>
        <w:rPr>
          <w:color w:val="646464"/>
          <w:sz w:val="17"/>
        </w:rPr>
        <w:t xml:space="preserve">[30/09/2026] ⚪  </w:t>
      </w:r>
      <w:r>
        <w:rPr>
          <w:b/>
          <w:color w:val="505050"/>
          <w:sz w:val="18"/>
        </w:rPr>
        <w:t>Résumé des matières premières : chutes de pétrole, bords de cuivre en hausse, rebonds d'or - Sunsirs</w:t>
      </w:r>
      <w:r>
        <w:rPr>
          <w:color w:val="787878"/>
          <w:sz w:val="15"/>
        </w:rPr>
        <w:t xml:space="preserve">  [matieres_premieres]</w:t>
      </w:r>
      <w:r>
        <w:rPr>
          <w:color w:val="B47800"/>
          <w:sz w:val="16"/>
        </w:rPr>
        <w:t xml:space="preserve">  ★ 50/10</w:t>
      </w:r>
    </w:p>
    <w:p>
      <w:pPr>
        <w:spacing w:before="0" w:after="20"/>
        <w:ind w:left="600"/>
      </w:pPr>
      <w:r>
        <w:rPr>
          <w:color w:val="323232"/>
          <w:sz w:val="17"/>
        </w:rPr>
        <w:t>Les marchés des matières premières ont connu des évolutions contrastées : le pétrole a chuté, le cuivre a légèrement progressé et l'or a rebondi. Ces mouvements reflètent des dynamiques sectorielles divergentes, avec une pression sur les prix de l'énergie et un soutien sur les métaux précieux et industriels. Pour la BRVM, l'impact est indirect, mai</w:t>
      </w:r>
    </w:p>
    <w:p>
      <w:pPr>
        <w:spacing w:before="0" w:after="40"/>
        <w:ind w:left="600"/>
      </w:pPr>
      <w:r>
        <w:rPr>
          <w:color w:val="00643C"/>
          <w:sz w:val="16"/>
        </w:rPr>
        <w:t>Points clés : Chute des prix du pétrole  •  Légère hausse du cuivre  •  Rebond des prix de l'or</w:t>
      </w:r>
    </w:p>
    <w:p>
      <w:pPr>
        <w:spacing w:before="0" w:after="60"/>
        <w:ind w:left="600"/>
      </w:pPr>
      <w:r>
        <w:rPr>
          <w:color w:val="0064B4"/>
          <w:sz w:val="15"/>
        </w:rPr>
        <w:t>Source : https://news.google.com/rss/articles/CBMiXkFVX3lxTFBDU1k3NjNRaXdRR3lrSDlBUU9uSjd</w:t>
      </w:r>
    </w:p>
    <w:p>
      <w:pPr>
        <w:spacing w:before="120" w:after="40"/>
      </w:pPr>
      <w:r>
        <w:rPr>
          <w:b/>
          <w:color w:val="00467F"/>
          <w:sz w:val="20"/>
        </w:rPr>
        <w:t>🔑 politique  (9 alerte(s))</w:t>
      </w:r>
    </w:p>
    <w:p>
      <w:pPr>
        <w:spacing w:before="40" w:after="40"/>
        <w:ind w:left="360"/>
      </w:pPr>
      <w:r>
        <w:rPr>
          <w:color w:val="646464"/>
          <w:sz w:val="17"/>
        </w:rPr>
        <w:t xml:space="preserve">[02/10/2026] 🔴  </w:t>
      </w:r>
      <w:r>
        <w:rPr>
          <w:b/>
          <w:color w:val="C00000"/>
          <w:sz w:val="18"/>
        </w:rPr>
        <w:t xml:space="preserve">Côte d'Ivoire : Situation politique tendue, Séraphin Prao (LDCI) au gouvernement : « Mettez balle à terre et libérez Dr </w:t>
      </w:r>
      <w:r>
        <w:rPr>
          <w:color w:val="787878"/>
          <w:sz w:val="15"/>
        </w:rPr>
        <w:t xml:space="preserve">  [politique]</w:t>
      </w:r>
      <w:r>
        <w:rPr>
          <w:color w:val="B47800"/>
          <w:sz w:val="16"/>
        </w:rPr>
        <w:t xml:space="preserve">  ★ 50/10</w:t>
      </w:r>
    </w:p>
    <w:p>
      <w:pPr>
        <w:spacing w:before="0" w:after="20"/>
        <w:ind w:left="600"/>
      </w:pPr>
      <w:r>
        <w:rPr>
          <w:color w:val="323232"/>
          <w:sz w:val="17"/>
        </w:rPr>
        <w:t>L'article rapporte une tension politique en Côte d'Ivoire, avec l'appel de Séraphin Prao, membre de la LDCI, au gouvernement pour qu'il 'mette balle à terre' et libère Dr Koné Katinan. Cette déclaration s'inscrit dans un contexte de pression politique accrue. Aucune information économique ou financière n'est fournie.</w:t>
      </w:r>
    </w:p>
    <w:p>
      <w:pPr>
        <w:spacing w:before="0" w:after="40"/>
        <w:ind w:left="600"/>
      </w:pPr>
      <w:r>
        <w:rPr>
          <w:color w:val="00643C"/>
          <w:sz w:val="16"/>
        </w:rPr>
        <w:t>Points clés : Appel à la désescalade politique et à la libération de Dr Koné Katinan  •  Tension politique persistante en Côte d'Ivoire  •  Aucune donnée économique ou boursière mentionnée</w:t>
      </w:r>
    </w:p>
    <w:p>
      <w:pPr>
        <w:spacing w:before="0" w:after="60"/>
        <w:ind w:left="600"/>
      </w:pPr>
      <w:r>
        <w:rPr>
          <w:color w:val="0064B4"/>
          <w:sz w:val="15"/>
        </w:rPr>
        <w:t>Source : https://news.google.com/rss/articles/CBMipAJBVV95cUxOQ0Mwczdxb3RncHV0ZGgySElxNGx</w:t>
      </w:r>
    </w:p>
    <w:p>
      <w:pPr>
        <w:spacing w:before="40" w:after="40"/>
        <w:ind w:left="360"/>
      </w:pPr>
      <w:r>
        <w:rPr>
          <w:color w:val="646464"/>
          <w:sz w:val="17"/>
        </w:rPr>
        <w:t xml:space="preserve">[02/10/2026] ⚪  </w:t>
      </w:r>
      <w:r>
        <w:rPr>
          <w:b/>
          <w:color w:val="505050"/>
          <w:sz w:val="18"/>
        </w:rPr>
        <w:t>Togo : le budget 2027 arrive au Sénat, Barry Moussa Barqué fixe le cap - 24heureinfo.com</w:t>
      </w:r>
      <w:r>
        <w:rPr>
          <w:color w:val="787878"/>
          <w:sz w:val="15"/>
        </w:rPr>
        <w:t xml:space="preserve">  [politique]</w:t>
      </w:r>
      <w:r>
        <w:rPr>
          <w:color w:val="B47800"/>
          <w:sz w:val="16"/>
        </w:rPr>
        <w:t xml:space="preserve">  ★ 50/10</w:t>
      </w:r>
    </w:p>
    <w:p>
      <w:pPr>
        <w:spacing w:before="0" w:after="20"/>
        <w:ind w:left="600"/>
      </w:pPr>
      <w:r>
        <w:rPr>
          <w:color w:val="323232"/>
          <w:sz w:val="17"/>
        </w:rPr>
        <w:t>Le budget 2027 du Togo est transmis au Sénat pour examen, avec Barry Moussa Barqué qui fixe les orientations stratégiques. Cette étape parlementaire intervient dans le processus d'adoption du budget national. Les priorités budgétaires et les grandes lignes directrices sont ainsi présentées aux sénateurs. L'issue de cet examen pourrait influencer la</w:t>
      </w:r>
    </w:p>
    <w:p>
      <w:pPr>
        <w:spacing w:before="0" w:after="40"/>
        <w:ind w:left="600"/>
      </w:pPr>
      <w:r>
        <w:rPr>
          <w:color w:val="00643C"/>
          <w:sz w:val="16"/>
        </w:rPr>
        <w:t>Points clés : Le budget 2027 du Togo arrive au Sénat pour examen  •  Barry Moussa Barqué fixe le cap des priorités budgétaires  •  Procédure parlementaire d'adoption du budget en cours</w:t>
      </w:r>
    </w:p>
    <w:p>
      <w:pPr>
        <w:spacing w:before="0" w:after="60"/>
        <w:ind w:left="600"/>
      </w:pPr>
      <w:r>
        <w:rPr>
          <w:color w:val="0064B4"/>
          <w:sz w:val="15"/>
        </w:rPr>
        <w:t>Source : https://news.google.com/rss/articles/CBMipAFBVV95cUxOaHlqTGZsV09XUnB2SUJ5R2d2cTB</w:t>
      </w:r>
    </w:p>
    <w:p>
      <w:pPr>
        <w:spacing w:before="40" w:after="40"/>
        <w:ind w:left="360"/>
      </w:pPr>
      <w:r>
        <w:rPr>
          <w:color w:val="646464"/>
          <w:sz w:val="17"/>
        </w:rPr>
        <w:t xml:space="preserve">[02/10/2026] 🟢  </w:t>
      </w:r>
      <w:r>
        <w:rPr>
          <w:b/>
          <w:color w:val="008000"/>
          <w:sz w:val="18"/>
        </w:rPr>
        <w:t>Côte d'Ivoire : Yamoussoukro, Beugré Mambé donne le coup d'envoi aux 420 logements sociaux, la course à la propriété est</w:t>
      </w:r>
      <w:r>
        <w:rPr>
          <w:color w:val="787878"/>
          <w:sz w:val="15"/>
        </w:rPr>
        <w:t xml:space="preserve">  [politique]</w:t>
      </w:r>
      <w:r>
        <w:rPr>
          <w:color w:val="B47800"/>
          <w:sz w:val="16"/>
        </w:rPr>
        <w:t xml:space="preserve">  ★ 50/10</w:t>
      </w:r>
    </w:p>
    <w:p>
      <w:pPr>
        <w:spacing w:before="0" w:after="20"/>
        <w:ind w:left="600"/>
      </w:pPr>
      <w:r>
        <w:rPr>
          <w:color w:val="323232"/>
          <w:sz w:val="17"/>
        </w:rPr>
        <w:t xml:space="preserve">Le Premier Ministre ivoirien Robert Beugré Mambé a lancé officiellement à Yamoussoukro un programme de construction de 420 logements sociaux. Cette initiative vise à faciliter l'accès à la propriété pour les ménages à revenus modestes. Le projet s'inscrit dans la politique nationale de résorption du déficit de logements. Les bénéficiaires pourront </w:t>
      </w:r>
    </w:p>
    <w:p>
      <w:pPr>
        <w:spacing w:before="0" w:after="40"/>
        <w:ind w:left="600"/>
      </w:pPr>
      <w:r>
        <w:rPr>
          <w:color w:val="00643C"/>
          <w:sz w:val="16"/>
        </w:rPr>
        <w:t>Points clés : Lancement de 420 logements sociaux à Yamoussoukro par le Premier Ministre Beugré Mambé  •  Objectif : faciliter l'accès à la propriété pour les ménages modestes  •  Projet s'inscrivant dans la politique nationale de résorption du déficit de logements</w:t>
      </w:r>
    </w:p>
    <w:p>
      <w:pPr>
        <w:spacing w:before="0" w:after="60"/>
        <w:ind w:left="600"/>
      </w:pPr>
      <w:r>
        <w:rPr>
          <w:color w:val="0064B4"/>
          <w:sz w:val="15"/>
        </w:rPr>
        <w:t>Source : https://news.google.com/rss/articles/CBMipAJBVV95cUxPV1VaRzl4ZFpCeG5wR3Ruc3NiRmp</w:t>
      </w:r>
    </w:p>
    <w:p>
      <w:pPr>
        <w:spacing w:before="40" w:after="40"/>
        <w:ind w:left="360"/>
      </w:pPr>
      <w:r>
        <w:rPr>
          <w:color w:val="646464"/>
          <w:sz w:val="17"/>
        </w:rPr>
        <w:t xml:space="preserve">[02/10/2026] ⚪  </w:t>
      </w:r>
      <w:r>
        <w:rPr>
          <w:b/>
          <w:color w:val="505050"/>
          <w:sz w:val="18"/>
        </w:rPr>
        <w:t>Le débat africain - Maroc, Burkina Faso, Cisjordanie occupée et expulsion de migrants par les Etats-Unis - RFI</w:t>
      </w:r>
      <w:r>
        <w:rPr>
          <w:color w:val="787878"/>
          <w:sz w:val="15"/>
        </w:rPr>
        <w:t xml:space="preserve">  [politique]</w:t>
      </w:r>
      <w:r>
        <w:rPr>
          <w:color w:val="B47800"/>
          <w:sz w:val="16"/>
        </w:rPr>
        <w:t xml:space="preserve">  ★ 50/10</w:t>
      </w:r>
    </w:p>
    <w:p>
      <w:pPr>
        <w:spacing w:before="0" w:after="20"/>
        <w:ind w:left="600"/>
      </w:pPr>
      <w:r>
        <w:rPr>
          <w:color w:val="323232"/>
          <w:sz w:val="17"/>
        </w:rPr>
        <w:t>L'article de RFI présente le débat africain consacré à plusieurs sujets d'actualité : le Maroc, le Burkina Faso, la Cisjordanie occupée et l'expulsion de migrants par les États-Unis. Il s'agit d'une émission politique qui analyse les enjeux géopolitiques et humanitaires dans ces régions. Aucune information économique ou financière spécifique à la B</w:t>
      </w:r>
    </w:p>
    <w:p>
      <w:pPr>
        <w:spacing w:before="0" w:after="40"/>
        <w:ind w:left="600"/>
      </w:pPr>
      <w:r>
        <w:rPr>
          <w:color w:val="00643C"/>
          <w:sz w:val="16"/>
        </w:rPr>
        <w:t>Points clés : Débat sur la situation au Maroc  •  Discussion sur le Burkina Faso  •  Analyse de la Cisjordanie occupée  •  Expulsion de migrants par les États-Unis</w:t>
      </w:r>
    </w:p>
    <w:p>
      <w:pPr>
        <w:spacing w:before="0" w:after="60"/>
        <w:ind w:left="600"/>
      </w:pPr>
      <w:r>
        <w:rPr>
          <w:color w:val="0064B4"/>
          <w:sz w:val="15"/>
        </w:rPr>
        <w:t>Source : https://news.google.com/rss/articles/CBMi5AFBVV95cUxNYUdfR0lnbjZxS3N4Q254bC1aQzV</w:t>
      </w:r>
    </w:p>
    <w:p>
      <w:pPr>
        <w:spacing w:before="40" w:after="40"/>
        <w:ind w:left="360"/>
      </w:pPr>
      <w:r>
        <w:rPr>
          <w:color w:val="646464"/>
          <w:sz w:val="17"/>
        </w:rPr>
        <w:t xml:space="preserve">[01/10/2026] 🔴  </w:t>
      </w:r>
      <w:r>
        <w:rPr>
          <w:b/>
          <w:color w:val="C00000"/>
          <w:sz w:val="18"/>
        </w:rPr>
        <w:t>Mali : Amnesty publie un rapport accusant les FAMa et Wagner de crimes de guerre contre des civils - koaci.com</w:t>
      </w:r>
      <w:r>
        <w:rPr>
          <w:color w:val="787878"/>
          <w:sz w:val="15"/>
        </w:rPr>
        <w:t xml:space="preserve">  [politique]</w:t>
      </w:r>
      <w:r>
        <w:rPr>
          <w:color w:val="B47800"/>
          <w:sz w:val="16"/>
        </w:rPr>
        <w:t xml:space="preserve">  ★ 50/10</w:t>
      </w:r>
    </w:p>
    <w:p>
      <w:pPr>
        <w:spacing w:before="0" w:after="20"/>
        <w:ind w:left="600"/>
      </w:pPr>
      <w:r>
        <w:rPr>
          <w:color w:val="323232"/>
          <w:sz w:val="17"/>
        </w:rPr>
        <w:t>Amnesty International a publié un rapport accusant les Forces armées maliennes (FAMa) et le groupe paramilitaire russe Wagner de crimes de guerre contre des civils au Mali. Le rapport détaille des exécutions extrajudiciaires et des violences ciblant les populations civiles dans le cadre de la lutte contre les groupes jihadistes. Ces accusations int</w:t>
      </w:r>
    </w:p>
    <w:p>
      <w:pPr>
        <w:spacing w:before="0" w:after="40"/>
        <w:ind w:left="600"/>
      </w:pPr>
      <w:r>
        <w:rPr>
          <w:color w:val="00643C"/>
          <w:sz w:val="16"/>
        </w:rPr>
        <w:t>Points clés : Amnesty International accuse les FAMa et Wagner de crimes de guerre contre des civils au Mali  •  Le rapport fait état d'exécutions extrajudiciaires et de violences ciblées  •  Ces accusations surviennent dans un contexte de rupture entre le Mali et plusieurs partenaires internationaux  •  Aucune réaction officielle du gouvernement malien pour l'instant</w:t>
      </w:r>
    </w:p>
    <w:p>
      <w:pPr>
        <w:spacing w:before="0" w:after="60"/>
        <w:ind w:left="600"/>
      </w:pPr>
      <w:r>
        <w:rPr>
          <w:color w:val="0064B4"/>
          <w:sz w:val="15"/>
        </w:rPr>
        <w:t>Source : https://news.google.com/rss/articles/CBMi9wFBVV95cUxPSFFVYzB4LWJuOHJvVklvYWZ5Tkp</w:t>
      </w:r>
    </w:p>
    <w:p>
      <w:pPr>
        <w:spacing w:before="120" w:after="40"/>
      </w:pPr>
      <w:r>
        <w:rPr>
          <w:b/>
          <w:color w:val="00467F"/>
          <w:sz w:val="20"/>
        </w:rPr>
        <w:t>🔑 économique  (3 alerte(s))</w:t>
      </w:r>
    </w:p>
    <w:p>
      <w:pPr>
        <w:spacing w:before="40" w:after="40"/>
        <w:ind w:left="360"/>
      </w:pPr>
      <w:r>
        <w:rPr>
          <w:color w:val="646464"/>
          <w:sz w:val="17"/>
        </w:rPr>
        <w:t xml:space="preserve">[01/10/2026] 🟢  </w:t>
      </w:r>
      <w:r>
        <w:rPr>
          <w:b/>
          <w:color w:val="008000"/>
          <w:sz w:val="18"/>
        </w:rPr>
        <w:t>Afrique : une croissance solide face au défi de l’investissement [Business Africa] - Africanews</w:t>
      </w:r>
      <w:r>
        <w:rPr>
          <w:color w:val="787878"/>
          <w:sz w:val="15"/>
        </w:rPr>
        <w:t xml:space="preserve">  [économique]</w:t>
      </w:r>
      <w:r>
        <w:rPr>
          <w:color w:val="B47800"/>
          <w:sz w:val="16"/>
        </w:rPr>
        <w:t xml:space="preserve">  ★ 50/10</w:t>
      </w:r>
    </w:p>
    <w:p>
      <w:pPr>
        <w:spacing w:before="0" w:after="20"/>
        <w:ind w:left="600"/>
      </w:pPr>
      <w:r>
        <w:rPr>
          <w:color w:val="323232"/>
          <w:sz w:val="17"/>
        </w:rPr>
        <w:t>L'article d'Africanews évoque une croissance économique solide en Afrique, mais souligne que le principal défi reste l'investissement. Les économies africaines affichent des performances robustes, portées par la consommation et les services. Toutefois, le niveau d'investissement, notamment en infrastructures et dans le secteur privé, demeure insuff</w:t>
      </w:r>
    </w:p>
    <w:p>
      <w:pPr>
        <w:spacing w:before="0" w:after="40"/>
        <w:ind w:left="600"/>
      </w:pPr>
      <w:r>
        <w:rPr>
          <w:color w:val="00643C"/>
          <w:sz w:val="16"/>
        </w:rPr>
        <w:t>Points clés : Croissance économique africaine solide  •  Défi majeur de l'investissement  •  Besoin d'infrastructures et de financement privé  •  Potentiel pour les marchés financiers régionaux comme la BRVM</w:t>
      </w:r>
    </w:p>
    <w:p>
      <w:pPr>
        <w:spacing w:before="0" w:after="60"/>
        <w:ind w:left="600"/>
      </w:pPr>
      <w:r>
        <w:rPr>
          <w:color w:val="0064B4"/>
          <w:sz w:val="15"/>
        </w:rPr>
        <w:t>Source : https://news.google.com/rss/articles/CBMitgFBVV95cUxPODROM3RpY1pSUl9rWVNpd1N0bEd</w:t>
      </w:r>
    </w:p>
    <w:p>
      <w:pPr>
        <w:spacing w:before="40" w:after="40"/>
        <w:ind w:left="360"/>
      </w:pPr>
      <w:r>
        <w:rPr>
          <w:color w:val="646464"/>
          <w:sz w:val="17"/>
        </w:rPr>
        <w:t xml:space="preserve">[30/09/2026] ⚪  </w:t>
      </w:r>
      <w:r>
        <w:rPr>
          <w:b/>
          <w:color w:val="505050"/>
          <w:sz w:val="18"/>
        </w:rPr>
        <w:t>Coopération régionale : le chef d'état-major de l'armée nigériane plaide pour un front uni face aux menaces - Alwihda In</w:t>
      </w:r>
      <w:r>
        <w:rPr>
          <w:color w:val="787878"/>
          <w:sz w:val="15"/>
        </w:rPr>
        <w:t xml:space="preserve">  [économique]</w:t>
      </w:r>
      <w:r>
        <w:rPr>
          <w:color w:val="B47800"/>
          <w:sz w:val="16"/>
        </w:rPr>
        <w:t xml:space="preserve">  ★ 50/10</w:t>
      </w:r>
    </w:p>
    <w:p>
      <w:pPr>
        <w:spacing w:before="0" w:after="20"/>
        <w:ind w:left="600"/>
      </w:pPr>
      <w:r>
        <w:rPr>
          <w:color w:val="323232"/>
          <w:sz w:val="17"/>
        </w:rPr>
        <w:t>Le chef d'état-major de l'armée nigériane a appelé à un front uni des pays de la région face aux menaces sécuritaires communes. Cette déclaration s'inscrit dans un contexte de coopération régionale renforcée en Afrique de l'Ouest. Elle vise à coordonner les efforts militaires contre le terrorisme et l'instabilité. Aucune mesure économique ou financ</w:t>
      </w:r>
    </w:p>
    <w:p>
      <w:pPr>
        <w:spacing w:before="0" w:after="40"/>
        <w:ind w:left="600"/>
      </w:pPr>
      <w:r>
        <w:rPr>
          <w:color w:val="00643C"/>
          <w:sz w:val="16"/>
        </w:rPr>
        <w:t>Points clés : Appel à un front uni régional contre les menaces sécuritaires  •  Initiative portée par le chef d'état-major nigérian  •  Contexte de coopération militaire en Afrique de l'Ouest  •  Pas d'annonce économique ou financière directe</w:t>
      </w:r>
    </w:p>
    <w:p>
      <w:pPr>
        <w:spacing w:before="0" w:after="60"/>
        <w:ind w:left="600"/>
      </w:pPr>
      <w:r>
        <w:rPr>
          <w:color w:val="0064B4"/>
          <w:sz w:val="15"/>
        </w:rPr>
        <w:t>Source : https://news.google.com/rss/articles/CBMizAFBVV95cUxOY1pSZHlReXZFajk1VkM5SHdzRTd</w:t>
      </w:r>
    </w:p>
    <w:p>
      <w:pPr>
        <w:spacing w:before="40" w:after="40"/>
        <w:ind w:left="360"/>
      </w:pPr>
      <w:r>
        <w:rPr>
          <w:color w:val="646464"/>
          <w:sz w:val="17"/>
        </w:rPr>
        <w:t xml:space="preserve">[29/09/2026] 🟢  </w:t>
      </w:r>
      <w:r>
        <w:rPr>
          <w:b/>
          <w:color w:val="008000"/>
          <w:sz w:val="18"/>
        </w:rPr>
        <w:t>La BIDC lance les activités de la deuxième édition du Forum d’investissement de la CEDEAO - APS - Agence de Presse Sénég</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a lancé les activités de la deuxième édition du Forum d'investissement de la CEDEAO. Cet événement vise à promouvoir les opportunités d'investissement dans la région ouest-africaine et à mobiliser des financements pour des projets structurants. Il s'inscrit dans le cadre des efforts</w:t>
      </w:r>
    </w:p>
    <w:p>
      <w:pPr>
        <w:spacing w:before="0" w:after="40"/>
        <w:ind w:left="600"/>
      </w:pPr>
      <w:r>
        <w:rPr>
          <w:color w:val="00643C"/>
          <w:sz w:val="16"/>
        </w:rPr>
        <w:t>Points clés : Lancement de la deuxième édition du Forum d'investissement de la CEDEAO par la BIDC  •  Objectif de promotion des investissements et de mobilisation de financements en Afrique de l'Ouest  •  Renforcement de l'intégration économique régionale</w:t>
      </w:r>
    </w:p>
    <w:p>
      <w:pPr>
        <w:spacing w:before="0" w:after="60"/>
        <w:ind w:left="600"/>
      </w:pPr>
      <w:r>
        <w:rPr>
          <w:color w:val="0064B4"/>
          <w:sz w:val="15"/>
        </w:rPr>
        <w:t>Source : https://news.google.com/rss/articles/CBMipwFBVV95cUxOZHkzakNTM0V1Nnh6YXdjckJIU3R</w:t>
      </w:r>
    </w:p>
    <w:p>
      <w:pPr>
        <w:spacing w:before="120" w:after="40"/>
      </w:pPr>
      <w:r>
        <w:rPr>
          <w:b/>
          <w:color w:val="00467F"/>
          <w:sz w:val="20"/>
        </w:rPr>
        <w:t>🔑 politique_monetaire  (3 alerte(s))</w:t>
      </w:r>
    </w:p>
    <w:p>
      <w:pPr>
        <w:spacing w:before="40" w:after="40"/>
        <w:ind w:left="360"/>
      </w:pPr>
      <w:r>
        <w:rPr>
          <w:color w:val="646464"/>
          <w:sz w:val="17"/>
        </w:rPr>
        <w:t xml:space="preserve">[30/09/2026] ⚪  </w:t>
      </w:r>
      <w:r>
        <w:rPr>
          <w:b/>
          <w:color w:val="505050"/>
          <w:sz w:val="18"/>
        </w:rPr>
        <w:t>Présidentielle 2027 : « Pas du tout une bonne idée »… Christine Lagarde exclut de se présenter - Yahoo Actualités</w:t>
      </w:r>
      <w:r>
        <w:rPr>
          <w:color w:val="787878"/>
          <w:sz w:val="15"/>
        </w:rPr>
        <w:t xml:space="preserve">  [politique_monetaire]</w:t>
      </w:r>
      <w:r>
        <w:rPr>
          <w:color w:val="B47800"/>
          <w:sz w:val="16"/>
        </w:rPr>
        <w:t xml:space="preserve">  ★ 50/10</w:t>
      </w:r>
    </w:p>
    <w:p>
      <w:pPr>
        <w:spacing w:before="0" w:after="20"/>
        <w:ind w:left="600"/>
      </w:pPr>
      <w:r>
        <w:rPr>
          <w:color w:val="323232"/>
          <w:sz w:val="17"/>
        </w:rPr>
        <w:t>Christine Lagarde, présidente de la Banque centrale européenne, a officiellement exclu de se présenter à l'élection présidentielle française de 2027, qualifiant cette idée de « pas du tout une bonne idée ». Cette déclaration met fin aux spéculations sur une éventuelle candidature de l'ancienne directrice du FMI. Son mandat à la BCE court jusqu'en 2</w:t>
      </w:r>
    </w:p>
    <w:p>
      <w:pPr>
        <w:spacing w:before="0" w:after="40"/>
        <w:ind w:left="600"/>
      </w:pPr>
      <w:r>
        <w:rPr>
          <w:color w:val="00643C"/>
          <w:sz w:val="16"/>
        </w:rPr>
        <w:t>Points clés : Christine Lagarde exclut toute candidature à la présidentielle française de 2027  •  Elle qualifie cette idée de « pas du tout une bonne idée »  •  Son mandat à la tête de la BCE court jusqu'en 2027</w:t>
      </w:r>
    </w:p>
    <w:p>
      <w:pPr>
        <w:spacing w:before="0" w:after="60"/>
        <w:ind w:left="600"/>
      </w:pPr>
      <w:r>
        <w:rPr>
          <w:color w:val="0064B4"/>
          <w:sz w:val="15"/>
        </w:rPr>
        <w:t>Source : https://news.google.com/rss/articles/CBMilgFBVV95cUxQb1BNMnEzVVlJZWpZc3BXTXMyQUN</w:t>
      </w:r>
    </w:p>
    <w:p>
      <w:pPr>
        <w:spacing w:before="40" w:after="40"/>
        <w:ind w:left="360"/>
      </w:pPr>
      <w:r>
        <w:rPr>
          <w:color w:val="646464"/>
          <w:sz w:val="17"/>
        </w:rPr>
        <w:t xml:space="preserve">[30/09/2026] 🔴  </w:t>
      </w:r>
      <w:r>
        <w:rPr>
          <w:b/>
          <w:color w:val="C00000"/>
          <w:sz w:val="18"/>
        </w:rPr>
        <w:t>L'inflation s'envole dans toute la zone euro, la pression s'intensifie sur la BCE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L'inflation augmente fortement dans l'ensemble de la zone euro, exerçant une pression accrue sur la Banque centrale européenne (BCE) pour qu'elle resserre sa politique monétaire. Cette dynamique pourrait entraîner une hausse des taux directeurs, affectant les conditions de financement mondiales. Les marchés financiers, y compris ceux des pays afric</w:t>
      </w:r>
    </w:p>
    <w:p>
      <w:pPr>
        <w:spacing w:before="0" w:after="40"/>
        <w:ind w:left="600"/>
      </w:pPr>
      <w:r>
        <w:rPr>
          <w:color w:val="00643C"/>
          <w:sz w:val="16"/>
        </w:rPr>
        <w:t>Points clés : L'inflation s'accélère dans toute la zone euro.  •  La BCE est sous pression pour agir sur les taux d'intérêt.  •  Risque de resserrement monétaire plus rapide que prévu.</w:t>
      </w:r>
    </w:p>
    <w:p>
      <w:pPr>
        <w:spacing w:before="0" w:after="60"/>
        <w:ind w:left="600"/>
      </w:pPr>
      <w:r>
        <w:rPr>
          <w:color w:val="0064B4"/>
          <w:sz w:val="15"/>
        </w:rPr>
        <w:t>Source : https://news.google.com/rss/articles/CBMihwJBVV95cUxQRGZJS2pZX1ZXQ3AxX0RFUGswZl8</w:t>
      </w:r>
    </w:p>
    <w:p>
      <w:pPr>
        <w:spacing w:before="40" w:after="40"/>
        <w:ind w:left="360"/>
      </w:pPr>
      <w:r>
        <w:rPr>
          <w:color w:val="646464"/>
          <w:sz w:val="17"/>
        </w:rPr>
        <w:t xml:space="preserve">[29/09/2026] ⚪  </w:t>
      </w:r>
      <w:r>
        <w:rPr>
          <w:b/>
          <w:color w:val="505050"/>
          <w:sz w:val="18"/>
        </w:rPr>
        <w:t>Ce que la Banque centrale européenne pourrait (ou non) faire pour la France en cas de crise financière - Le Figaro</w:t>
      </w:r>
      <w:r>
        <w:rPr>
          <w:color w:val="787878"/>
          <w:sz w:val="15"/>
        </w:rPr>
        <w:t xml:space="preserve">  [politique_monetaire]</w:t>
      </w:r>
      <w:r>
        <w:rPr>
          <w:color w:val="B47800"/>
          <w:sz w:val="16"/>
        </w:rPr>
        <w:t xml:space="preserve">  ★ 50/10</w:t>
      </w:r>
    </w:p>
    <w:p>
      <w:pPr>
        <w:spacing w:before="0" w:after="20"/>
        <w:ind w:left="600"/>
      </w:pPr>
      <w:r>
        <w:rPr>
          <w:color w:val="323232"/>
          <w:sz w:val="17"/>
        </w:rPr>
        <w:t>L'article du Figaro examine les options dont dispose la Banque centrale européenne (BCE) pour soutenir la France en cas de crise financière. Il souligne les limites juridiques et politiques de son intervention, notamment l'interdiction de financer directement les États et les conditions strictes attachées aux programmes d'achat d'actifs. La BCE pou</w:t>
      </w:r>
    </w:p>
    <w:p>
      <w:pPr>
        <w:spacing w:before="0" w:after="40"/>
        <w:ind w:left="600"/>
      </w:pPr>
      <w:r>
        <w:rPr>
          <w:color w:val="00643C"/>
          <w:sz w:val="16"/>
        </w:rPr>
        <w:t>Points clés : La BCE ne peut pas financer directement les États, mais peut acheter des obligations sur le marché secondaire.  •  Le TPI permet des achats ciblés si un pays respecte des critères budgétaires et macroéconomiques.  •  Une intervention dépendrait de la menace pour la stabilité de la zone euro et de la volonté politique.  •  Les marges de manœuvre sont limitées par le mandat de la BCE et les règles européennes.</w:t>
      </w:r>
    </w:p>
    <w:p>
      <w:pPr>
        <w:spacing w:before="0" w:after="60"/>
        <w:ind w:left="600"/>
      </w:pPr>
      <w:r>
        <w:rPr>
          <w:color w:val="0064B4"/>
          <w:sz w:val="15"/>
        </w:rPr>
        <w:t>Source : https://news.google.com/rss/articles/CBMi3gFBVV95cUxOVkVSbEhiMGNTeTJtc25WSnRWRll</w:t>
      </w:r>
    </w:p>
    <w:p>
      <w:pPr>
        <w:spacing w:before="120" w:after="40"/>
      </w:pPr>
      <w:r>
        <w:rPr>
          <w:b/>
          <w:color w:val="00467F"/>
          <w:sz w:val="20"/>
        </w:rPr>
        <w:t>🔑 marche_financier  (1 alerte(s))</w:t>
      </w:r>
    </w:p>
    <w:p>
      <w:pPr>
        <w:spacing w:before="40" w:after="40"/>
        <w:ind w:left="360"/>
      </w:pPr>
      <w:r>
        <w:rPr>
          <w:color w:val="646464"/>
          <w:sz w:val="17"/>
        </w:rPr>
        <w:t xml:space="preserve">[30/09/2026] 🟢  </w:t>
      </w:r>
      <w:r>
        <w:rPr>
          <w:b/>
          <w:color w:val="008000"/>
          <w:sz w:val="18"/>
        </w:rPr>
        <w:t>BRVM : Sonatel atteint un seuil psychologique à 45 000 FCFA - Sika Finance</w:t>
      </w:r>
      <w:r>
        <w:rPr>
          <w:color w:val="787878"/>
          <w:sz w:val="15"/>
        </w:rPr>
        <w:t xml:space="preserve">  [marche_financier]</w:t>
      </w:r>
      <w:r>
        <w:rPr>
          <w:color w:val="B47800"/>
          <w:sz w:val="16"/>
        </w:rPr>
        <w:t xml:space="preserve">  ★ 50/10</w:t>
      </w:r>
    </w:p>
    <w:p>
      <w:pPr>
        <w:spacing w:before="0" w:after="20"/>
        <w:ind w:left="600"/>
      </w:pPr>
      <w:r>
        <w:rPr>
          <w:color w:val="323232"/>
          <w:sz w:val="17"/>
        </w:rPr>
        <w:t>L'action Sonatel a franchi le seuil psychologique de 45 000 FCFA à la BRVM, marquant une étape importante pour le titre. Cette progression reflète la confiance des investisseurs dans la valeur, portée par ses fondamentaux solides et sa position dominante dans les télécommunications au Sénégal. Le franchissement de ce palier pourrait attirer davanta</w:t>
      </w:r>
    </w:p>
    <w:p>
      <w:pPr>
        <w:spacing w:before="0" w:after="40"/>
        <w:ind w:left="600"/>
      </w:pPr>
      <w:r>
        <w:rPr>
          <w:color w:val="00643C"/>
          <w:sz w:val="16"/>
        </w:rPr>
        <w:t>Points clés : Sonatel atteint 45 000 FCFA, un niveau psychologique clé.  •  Le titre confirme sa dynamique haussière à la BRVM.  •  Seuil susceptible d'attirer de nouveaux investisseurs.</w:t>
      </w:r>
    </w:p>
    <w:p>
      <w:pPr>
        <w:spacing w:before="0" w:after="60"/>
        <w:ind w:left="600"/>
      </w:pPr>
      <w:r>
        <w:rPr>
          <w:color w:val="0064B4"/>
          <w:sz w:val="15"/>
        </w:rPr>
        <w:t>Source : https://news.google.com/rss/articles/CBMioAFBVV95cUxNcG1Dd0tqZVFjTkszeFNoeDF3T3h</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3,370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2,245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9,160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3,905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45,000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2,935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2,790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3,010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14,900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20</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2,915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33,800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9,385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16,410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22,000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21,800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11,490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3,890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1,995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7,890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4,450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CE4D6" w:val="clear"/>
          </w:tcPr>
          <w:p>
            <w:r>
              <w:rPr>
                <w:sz w:val="16"/>
              </w:rPr>
              <w:t>48</w:t>
            </w:r>
          </w:p>
        </w:tc>
        <w:tc>
          <w:tcPr>
            <w:tcW w:type="dxa" w:w="1080"/>
            <w:shd w:fill="FCE4D6" w:val="clear"/>
          </w:tcPr>
          <w:p>
            <w:r>
              <w:rPr>
                <w:sz w:val="16"/>
              </w:rPr>
              <w:t>UNLC</w:t>
            </w:r>
          </w:p>
        </w:tc>
        <w:tc>
          <w:tcPr>
            <w:tcW w:type="dxa" w:w="1080"/>
            <w:shd w:fill="FCE4D6" w:val="clear"/>
          </w:tcPr>
          <w:p>
            <w:r>
              <w:rPr>
                <w:sz w:val="16"/>
              </w:rPr>
              <w:t>CONSOMMATION DE BA</w:t>
            </w:r>
          </w:p>
        </w:tc>
        <w:tc>
          <w:tcPr>
            <w:tcW w:type="dxa" w:w="1080"/>
            <w:shd w:fill="FCE4D6" w:val="clear"/>
          </w:tcPr>
          <w:p>
            <w:r>
              <w:rPr>
                <w:sz w:val="16"/>
              </w:rPr>
              <w:t>51,000</w:t>
            </w:r>
          </w:p>
        </w:tc>
        <w:tc>
          <w:tcPr>
            <w:tcW w:type="dxa" w:w="1080"/>
            <w:shd w:fill="FCE4D6" w:val="clear"/>
          </w:tcPr>
          <w:p>
            <w:r>
              <w:rPr>
                <w:b/>
                <w:sz w:val="16"/>
              </w:rPr>
              <w:t>37/100  (Faible)</w:t>
            </w:r>
          </w:p>
        </w:tc>
        <w:tc>
          <w:tcPr>
            <w:tcW w:type="dxa" w:w="1080"/>
            <w:shd w:fill="FCE4D6" w:val="clear"/>
          </w:tcPr>
          <w:p>
            <w:r>
              <w:rPr>
                <w:sz w:val="16"/>
              </w:rPr>
              <w:t>VENTE</w:t>
            </w:r>
          </w:p>
        </w:tc>
        <w:tc>
          <w:tcPr>
            <w:tcW w:type="dxa" w:w="1080"/>
            <w:shd w:fill="FCE4D6" w:val="clear"/>
          </w:tcPr>
          <w:p>
            <w:r>
              <w:rPr>
                <w:sz w:val="16"/>
              </w:rPr>
              <w:t>NEUTRE</w:t>
            </w:r>
          </w:p>
        </w:tc>
        <w:tc>
          <w:tcPr>
            <w:tcW w:type="dxa" w:w="1080"/>
            <w:shd w:fill="FCE4D6"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3,370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2,245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9,160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2,935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3,010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3,690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3,370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2,245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9,160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PRSC</w:t>
            </w:r>
          </w:p>
        </w:tc>
        <w:tc>
          <w:tcPr>
            <w:tcW w:type="dxa" w:w="1728"/>
            <w:shd w:fill="E2EFDA" w:val="clear"/>
          </w:tcPr>
          <w:p>
            <w:r>
              <w:rPr>
                <w:sz w:val="17"/>
              </w:rPr>
              <w:t>PRSC - TRACTAFRIC MOTORS CI</w:t>
            </w:r>
          </w:p>
        </w:tc>
        <w:tc>
          <w:tcPr>
            <w:tcW w:type="dxa" w:w="1728"/>
            <w:shd w:fill="E2EFDA" w:val="clear"/>
          </w:tcPr>
          <w:p>
            <w:r>
              <w:rPr>
                <w:sz w:val="17"/>
              </w:rPr>
              <w:t>3,905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45,000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2,935</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3,370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2,245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9,160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PRSC</w:t>
            </w:r>
          </w:p>
        </w:tc>
        <w:tc>
          <w:tcPr>
            <w:tcW w:type="dxa" w:w="1728"/>
            <w:shd w:fill="FCE4D6" w:val="clear"/>
          </w:tcPr>
          <w:p>
            <w:r>
              <w:rPr>
                <w:sz w:val="17"/>
              </w:rPr>
              <w:t>PRSC - TRACTAFRIC MOTORS CI</w:t>
            </w:r>
          </w:p>
        </w:tc>
        <w:tc>
          <w:tcPr>
            <w:tcW w:type="dxa" w:w="1728"/>
            <w:shd w:fill="FCE4D6" w:val="clear"/>
          </w:tcPr>
          <w:p>
            <w:r>
              <w:rPr>
                <w:sz w:val="17"/>
              </w:rPr>
              <w:t>3,905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45,000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2,935</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SLBC — SLBC - SOLIBRA COTE D'IVOIRE</w:t>
      </w:r>
    </w:p>
    <w:p>
      <w:pPr>
        <w:pStyle w:val="ListBullet"/>
        <w:spacing w:before="20"/>
        <w:ind w:left="400"/>
      </w:pPr>
      <w:r>
        <w:rPr>
          <w:sz w:val="18"/>
        </w:rPr>
        <w:t>🟢 RSI survente (19.7 &lt; 30) — opportunité potentielle</w:t>
      </w:r>
    </w:p>
    <w:p>
      <w:pPr>
        <w:pStyle w:val="ListBullet"/>
        <w:spacing w:before="20"/>
        <w:ind w:left="400"/>
      </w:pPr>
      <w:r>
        <w:rPr>
          <w:sz w:val="18"/>
        </w:rPr>
        <w:t>⚠️ Cours à 0.3% du plus bas 100j (36,900 FCFA)</w:t>
      </w:r>
    </w:p>
    <w:p>
      <w:pPr>
        <w:spacing w:before="120"/>
      </w:pPr>
      <w:r>
        <w:rPr>
          <w:b/>
          <w:color w:val="0050A0"/>
          <w:sz w:val="20"/>
        </w:rPr>
        <w:t>SNTS — SNTS - SONATEL SN</w:t>
      </w:r>
    </w:p>
    <w:p>
      <w:pPr>
        <w:pStyle w:val="ListBullet"/>
        <w:spacing w:before="20"/>
        <w:ind w:left="400"/>
      </w:pPr>
      <w:r>
        <w:rPr>
          <w:sz w:val="18"/>
        </w:rPr>
        <w:t>🔴 RSI surachat (81.5 &gt; 70) — risque de correction</w:t>
      </w:r>
    </w:p>
    <w:p>
      <w:pPr>
        <w:pStyle w:val="ListBullet"/>
        <w:spacing w:before="20"/>
        <w:ind w:left="400"/>
      </w:pPr>
      <w:r>
        <w:rPr>
          <w:sz w:val="18"/>
        </w:rPr>
        <w:t>⚠️ Cours à 0.0% du plus haut 100j (45,000 FCFA)</w:t>
      </w:r>
    </w:p>
    <w:p>
      <w:pPr>
        <w:spacing w:before="120"/>
      </w:pPr>
      <w:r>
        <w:rPr>
          <w:b/>
          <w:color w:val="0050A0"/>
          <w:sz w:val="20"/>
        </w:rPr>
        <w:t>ABJC — ABJC - SERVAIR ABIDJAN CI</w:t>
      </w:r>
    </w:p>
    <w:p>
      <w:pPr>
        <w:pStyle w:val="ListBullet"/>
        <w:spacing w:before="20"/>
        <w:ind w:left="400"/>
      </w:pPr>
      <w:r>
        <w:rPr>
          <w:sz w:val="18"/>
        </w:rPr>
        <w:t>🟢 RSI survente (17.2 &lt; 30) — opportunité potentielle</w:t>
      </w:r>
    </w:p>
    <w:p>
      <w:pPr>
        <w:spacing w:before="120"/>
      </w:pPr>
      <w:r>
        <w:rPr>
          <w:b/>
          <w:color w:val="0050A0"/>
          <w:sz w:val="20"/>
        </w:rPr>
        <w:t>BBGC — BRIDGE BANK GROUP COTE D'IVOIRE</w:t>
      </w:r>
    </w:p>
    <w:p>
      <w:pPr>
        <w:pStyle w:val="ListBullet"/>
        <w:spacing w:before="20"/>
        <w:ind w:left="400"/>
      </w:pPr>
      <w:r>
        <w:rPr>
          <w:sz w:val="18"/>
        </w:rPr>
        <w:t>⚠️ Cours à 2.2% du plus haut 100j (9,000 FCFA)</w:t>
      </w:r>
    </w:p>
    <w:p>
      <w:pPr>
        <w:spacing w:before="120"/>
      </w:pPr>
      <w:r>
        <w:rPr>
          <w:b/>
          <w:color w:val="0050A0"/>
          <w:sz w:val="20"/>
        </w:rPr>
        <w:t>BICB — BIIC BN - Banque internationale pour le commerce du benin</w:t>
      </w:r>
    </w:p>
    <w:p>
      <w:pPr>
        <w:pStyle w:val="ListBullet"/>
        <w:spacing w:before="20"/>
        <w:ind w:left="400"/>
      </w:pPr>
      <w:r>
        <w:rPr>
          <w:sz w:val="18"/>
        </w:rPr>
        <w:t>🟢 RSI survente (28.5 &lt; 30) — opportunité potentielle</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(22.4 &lt; 30) — opportunité potentielle</w:t>
      </w:r>
    </w:p>
    <w:p>
      <w:pPr>
        <w:spacing w:before="120"/>
      </w:pPr>
      <w:r>
        <w:rPr>
          <w:b/>
          <w:color w:val="0050A0"/>
          <w:sz w:val="20"/>
        </w:rPr>
        <w:t>NTLC — NTLC - NESTLE COTE D'IVOIRE</w:t>
      </w:r>
    </w:p>
    <w:p>
      <w:pPr>
        <w:pStyle w:val="ListBullet"/>
        <w:spacing w:before="20"/>
        <w:ind w:left="400"/>
      </w:pPr>
      <w:r>
        <w:rPr>
          <w:sz w:val="18"/>
        </w:rPr>
        <w:t>🟢 RSI survente (23.7 &lt; 30) — opportunité potentielle</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(26.8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(28.5 &lt; 30) — opportunité potentielle</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fond(NEUTRE) — recommandation ajustée à CONSERVER ⚠️</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30 société(s) (62%)</w:t>
            </w:r>
          </w:p>
        </w:tc>
        <w:tc>
          <w:tcPr>
            <w:tcW w:type="dxa" w:w="1644"/>
            <w:shd w:fill="FFEB9C" w:val="clear"/>
          </w:tcPr>
          <w:p>
            <w:r>
              <w:rPr>
                <w:b/>
                <w:color w:val="825A00"/>
                <w:sz w:val="19"/>
              </w:rPr>
              <w:t>18 société(s) (38%)</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19.6/100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19.6/100).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28.0/100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SAFC (28.0/100 — Moyen) : </w:t>
      </w:r>
      <w:r>
        <w:rPr>
          <w:sz w:val="17"/>
        </w:rPr>
        <w:t>Volatilité=Élevée | Bêta=Neutre  | Liquidité=Bonne | Divergence signaux=taux divergence=0% (Convergent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17.2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-1.65%  |  Médiane : -2.31%</w:t>
            </w:r>
          </w:p>
        </w:tc>
      </w:tr>
      <w:tr>
        <w:tc>
          <w:tcPr>
            <w:tcW w:type="dxa" w:w="2835"/>
            <w:shd w:fill="DEEAF1" w:val="clear"/>
          </w:tcPr>
          <w:p>
            <w:r>
              <w:rPr>
                <w:b/>
                <w:sz w:val="18"/>
              </w:rPr>
              <w:t>Répartition</w:t>
            </w:r>
          </w:p>
        </w:tc>
        <w:tc>
          <w:tcPr>
            <w:tcW w:type="dxa" w:w="7370"/>
          </w:tcPr>
          <w:p>
            <w:r>
              <w:rPr>
                <w:b/>
                <w:sz w:val="18"/>
              </w:rPr>
              <w:t>📈 11 sociétés en hausse (&gt;+1%)   📉 30 en baisse (&lt;-1%)   ➡️ 4 neutres</w:t>
            </w:r>
          </w:p>
        </w:tc>
      </w:tr>
      <w:tr>
        <w:tc>
          <w:tcPr>
            <w:tcW w:type="dxa" w:w="2835"/>
            <w:shd w:fill="DEEAF1" w:val="clear"/>
          </w:tcPr>
          <w:p>
            <w:r>
              <w:rPr>
                <w:b/>
                <w:sz w:val="18"/>
              </w:rPr>
              <w:t>Confiance globale</w:t>
            </w:r>
          </w:p>
        </w:tc>
        <w:tc>
          <w:tcPr>
            <w:tcW w:type="dxa" w:w="7370"/>
          </w:tcPr>
          <w:p>
            <w:r>
              <w:rPr>
                <w:b/>
                <w:sz w:val="18"/>
              </w:rPr>
              <w:t>Élevée : 0 sociétés (0%)   Moyenne : 9   Faible : 36 (80%)   → Confiance dominante : Faible</w:t>
            </w:r>
          </w:p>
        </w:tc>
      </w:tr>
    </w:tbl>
    <w:p/>
    <w:p>
      <w:r>
        <w:rPr>
          <w:i/>
          <w:color w:val="282828"/>
          <w:sz w:val="18"/>
        </w:rPr>
        <w:t>📝 Analyse : Légère tendance baissière avec signal mixte : 30 sociétés en baisse vs 11 en hausse. Variation moyenne : -1.65%.</w:t>
      </w:r>
    </w:p>
    <w:p>
      <w:r>
        <w:rPr>
          <w:i/>
          <w:color w:val="282828"/>
          <w:sz w:val="18"/>
        </w:rPr>
        <w:t>🎯 Fiabilité : ⚠️ La confiance est globalement FAIBLE (80%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2,790 FCFA</w:t>
            </w:r>
          </w:p>
        </w:tc>
        <w:tc>
          <w:tcPr>
            <w:tcW w:type="dxa" w:w="1417"/>
            <w:shd w:fill="FFFFFF" w:val="clear"/>
          </w:tcPr>
          <w:p>
            <w:r>
              <w:rPr>
                <w:sz w:val="16"/>
              </w:rPr>
              <w:t>3,287 FCFA</w:t>
            </w:r>
          </w:p>
        </w:tc>
        <w:tc>
          <w:tcPr>
            <w:tcW w:type="dxa" w:w="1134"/>
            <w:shd w:fill="C6EFCE" w:val="clear"/>
          </w:tcPr>
          <w:p>
            <w:r>
              <w:rPr>
                <w:b/>
                <w:color w:val="007800"/>
                <w:sz w:val="16"/>
              </w:rPr>
              <w:t>+17.80%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21,970 FCFA</w:t>
            </w:r>
          </w:p>
        </w:tc>
        <w:tc>
          <w:tcPr>
            <w:tcW w:type="dxa" w:w="1417"/>
            <w:shd w:fill="FFFFFF" w:val="clear"/>
          </w:tcPr>
          <w:p>
            <w:r>
              <w:rPr>
                <w:sz w:val="16"/>
              </w:rPr>
              <w:t>24,464 FCFA</w:t>
            </w:r>
          </w:p>
        </w:tc>
        <w:tc>
          <w:tcPr>
            <w:tcW w:type="dxa" w:w="1134"/>
            <w:shd w:fill="C6EFCE" w:val="clear"/>
          </w:tcPr>
          <w:p>
            <w:r>
              <w:rPr>
                <w:b/>
                <w:color w:val="007800"/>
                <w:sz w:val="16"/>
              </w:rPr>
              <w:t>+11.35%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5,000 FCFA</w:t>
            </w:r>
          </w:p>
        </w:tc>
        <w:tc>
          <w:tcPr>
            <w:tcW w:type="dxa" w:w="1417"/>
            <w:shd w:fill="FFFFFF" w:val="clear"/>
          </w:tcPr>
          <w:p>
            <w:r>
              <w:rPr>
                <w:sz w:val="16"/>
              </w:rPr>
              <w:t>5,330 FCFA</w:t>
            </w:r>
          </w:p>
        </w:tc>
        <w:tc>
          <w:tcPr>
            <w:tcW w:type="dxa" w:w="1134"/>
            <w:shd w:fill="C6EFCE" w:val="clear"/>
          </w:tcPr>
          <w:p>
            <w:r>
              <w:rPr>
                <w:b/>
                <w:color w:val="007800"/>
                <w:sz w:val="16"/>
              </w:rPr>
              <w:t>+6.60%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8,800 FCFA</w:t>
            </w:r>
          </w:p>
        </w:tc>
        <w:tc>
          <w:tcPr>
            <w:tcW w:type="dxa" w:w="1417"/>
            <w:shd w:fill="FFFFFF" w:val="clear"/>
          </w:tcPr>
          <w:p>
            <w:r>
              <w:rPr>
                <w:sz w:val="16"/>
              </w:rPr>
              <w:t>9,364 FCFA</w:t>
            </w:r>
          </w:p>
        </w:tc>
        <w:tc>
          <w:tcPr>
            <w:tcW w:type="dxa" w:w="1134"/>
            <w:shd w:fill="C6EFCE" w:val="clear"/>
          </w:tcPr>
          <w:p>
            <w:r>
              <w:rPr>
                <w:b/>
                <w:color w:val="007800"/>
                <w:sz w:val="16"/>
              </w:rPr>
              <w:t>+6.41%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37,000 FCFA</w:t>
            </w:r>
          </w:p>
        </w:tc>
        <w:tc>
          <w:tcPr>
            <w:tcW w:type="dxa" w:w="1417"/>
            <w:shd w:fill="FFFFFF" w:val="clear"/>
          </w:tcPr>
          <w:p>
            <w:r>
              <w:rPr>
                <w:sz w:val="16"/>
              </w:rPr>
              <w:t>38,922 FCFA</w:t>
            </w:r>
          </w:p>
        </w:tc>
        <w:tc>
          <w:tcPr>
            <w:tcW w:type="dxa" w:w="1134"/>
            <w:shd w:fill="C6EFCE" w:val="clear"/>
          </w:tcPr>
          <w:p>
            <w:r>
              <w:rPr>
                <w:b/>
                <w:color w:val="007800"/>
                <w:sz w:val="16"/>
              </w:rPr>
              <w:t>+5.19%</w:t>
            </w:r>
          </w:p>
        </w:tc>
        <w:tc>
          <w:tcPr>
            <w:tcW w:type="dxa" w:w="1020"/>
            <w:shd w:fill="FFEB9C" w:val="clear"/>
          </w:tcPr>
          <w:p>
            <w:r>
              <w:rPr>
                <w:sz w:val="16"/>
              </w:rPr>
              <w:t>Moyenne</w:t>
            </w:r>
          </w:p>
        </w:tc>
      </w:tr>
    </w:tbl>
    <w:p/>
    <w:p>
      <w:pPr>
        <w:pStyle w:val="ListBullet"/>
      </w:pPr>
      <w:r>
        <w:rPr>
          <w:b/>
          <w:color w:val="006400"/>
          <w:sz w:val="18"/>
        </w:rPr>
        <w:t xml:space="preserve">#1 SCRC </w:t>
      </w:r>
      <w:r>
        <w:rPr>
          <w:sz w:val="17"/>
        </w:rPr>
        <w:t>(SCRC - SUCRIVOIRE) — hausse significative (+17.8%) — potentiel de revalorisation notable. Trajectoire : 📈 Hausse continue. Cours actuel : 2,790 FCFA → prédit J+10 : 3,287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(+11.4%) — potentiel de revalorisation notable. Trajectoire : 📈 Hausse continue. Cours actuel : 21,970 FCFA → prédit J+10 : 24,464 FCFA. ⚠️ Confiance limitée — volatilité élevée ou données insuffisantes. Résultat indicatif uniquement.</w:t>
      </w:r>
    </w:p>
    <w:p>
      <w:pPr>
        <w:pStyle w:val="ListBullet"/>
      </w:pPr>
      <w:r>
        <w:rPr>
          <w:b/>
          <w:color w:val="006400"/>
          <w:sz w:val="18"/>
        </w:rPr>
        <w:t xml:space="preserve">#3 BOAN </w:t>
      </w:r>
      <w:r>
        <w:rPr>
          <w:sz w:val="17"/>
        </w:rPr>
        <w:t>(BANK OF AFRICA NIGER) — hausse modérée (+6.6%) — signal raisonnable et crédible. Trajectoire : 📈 Hausse continue. Cours actuel : 5,000 FCFA → prédit J+10 : 5,330 FCFA. ⚠️ Confiance limitée — volatilité élevée ou données insuffisantes. Résultat indicatif uniquement.</w:t>
      </w:r>
    </w:p>
    <w:p>
      <w:pPr>
        <w:pStyle w:val="ListBullet"/>
      </w:pPr>
      <w:r>
        <w:rPr>
          <w:b/>
          <w:color w:val="006400"/>
          <w:sz w:val="18"/>
        </w:rPr>
        <w:t xml:space="preserve">#4 BICB </w:t>
      </w:r>
      <w:r>
        <w:rPr>
          <w:sz w:val="17"/>
        </w:rPr>
        <w:t>(BIIC BN - Banque internationale pour le ) — hausse modérée (+6.4%) — signal raisonnable et crédible. Trajectoire : 📈 Hausse continue. Cours actuel : 8,800 FCFA → prédit J+10 : 9,364 FCFA. ⚠️ Confiance limitée — volatilité élevée ou données insuffisantes. Résultat indicatif uniquement.</w:t>
      </w:r>
    </w:p>
    <w:p>
      <w:pPr>
        <w:pStyle w:val="ListBullet"/>
      </w:pPr>
      <w:r>
        <w:rPr>
          <w:b/>
          <w:color w:val="006400"/>
          <w:sz w:val="18"/>
        </w:rPr>
        <w:t xml:space="preserve">#5 SLBC </w:t>
      </w:r>
      <w:r>
        <w:rPr>
          <w:sz w:val="17"/>
        </w:rPr>
        <w:t>(SLBC - SOLIBRA COTE D'IVOIRE) — hausse modérée (+5.2%) — signal raisonnable et crédible. Trajectoire : 📈 Hausse continue. Cours actuel : 37,000 FCFA → prédit J+10 : 38,922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8,175 FCFA</w:t>
            </w:r>
          </w:p>
        </w:tc>
        <w:tc>
          <w:tcPr>
            <w:tcW w:type="dxa" w:w="1417"/>
            <w:shd w:fill="FFFFFF" w:val="clear"/>
          </w:tcPr>
          <w:p>
            <w:r>
              <w:rPr>
                <w:sz w:val="16"/>
              </w:rPr>
              <w:t>7,117 FCFA</w:t>
            </w:r>
          </w:p>
        </w:tc>
        <w:tc>
          <w:tcPr>
            <w:tcW w:type="dxa" w:w="1134"/>
            <w:shd w:fill="FFC7CE" w:val="clear"/>
          </w:tcPr>
          <w:p>
            <w:r>
              <w:rPr>
                <w:b/>
                <w:color w:val="B40000"/>
                <w:sz w:val="16"/>
              </w:rPr>
              <w:t>-12.94%</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22,000 FCFA</w:t>
            </w:r>
          </w:p>
        </w:tc>
        <w:tc>
          <w:tcPr>
            <w:tcW w:type="dxa" w:w="1417"/>
            <w:shd w:fill="FFFFFF" w:val="clear"/>
          </w:tcPr>
          <w:p>
            <w:r>
              <w:rPr>
                <w:sz w:val="16"/>
              </w:rPr>
              <w:t>19,542 FCFA</w:t>
            </w:r>
          </w:p>
        </w:tc>
        <w:tc>
          <w:tcPr>
            <w:tcW w:type="dxa" w:w="1134"/>
            <w:shd w:fill="FFC7CE" w:val="clear"/>
          </w:tcPr>
          <w:p>
            <w:r>
              <w:rPr>
                <w:b/>
                <w:color w:val="B40000"/>
                <w:sz w:val="16"/>
              </w:rPr>
              <w:t>-11.17%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6,090 FCFA</w:t>
            </w:r>
          </w:p>
        </w:tc>
        <w:tc>
          <w:tcPr>
            <w:tcW w:type="dxa" w:w="1417"/>
            <w:shd w:fill="FFFFFF" w:val="clear"/>
          </w:tcPr>
          <w:p>
            <w:r>
              <w:rPr>
                <w:sz w:val="16"/>
              </w:rPr>
              <w:t>5,485 FCFA</w:t>
            </w:r>
          </w:p>
        </w:tc>
        <w:tc>
          <w:tcPr>
            <w:tcW w:type="dxa" w:w="1134"/>
            <w:shd w:fill="FFC7CE" w:val="clear"/>
          </w:tcPr>
          <w:p>
            <w:r>
              <w:rPr>
                <w:b/>
                <w:color w:val="B40000"/>
                <w:sz w:val="16"/>
              </w:rPr>
              <w:t>-9.93%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2,360 FCFA</w:t>
            </w:r>
          </w:p>
        </w:tc>
        <w:tc>
          <w:tcPr>
            <w:tcW w:type="dxa" w:w="1417"/>
            <w:shd w:fill="FFFFFF" w:val="clear"/>
          </w:tcPr>
          <w:p>
            <w:r>
              <w:rPr>
                <w:sz w:val="16"/>
              </w:rPr>
              <w:t>2,194 FCFA</w:t>
            </w:r>
          </w:p>
        </w:tc>
        <w:tc>
          <w:tcPr>
            <w:tcW w:type="dxa" w:w="1134"/>
            <w:shd w:fill="FFC7CE" w:val="clear"/>
          </w:tcPr>
          <w:p>
            <w:r>
              <w:rPr>
                <w:b/>
                <w:color w:val="B40000"/>
                <w:sz w:val="16"/>
              </w:rPr>
              <w:t>-7.03%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1,995 FCFA</w:t>
            </w:r>
          </w:p>
        </w:tc>
        <w:tc>
          <w:tcPr>
            <w:tcW w:type="dxa" w:w="1417"/>
            <w:shd w:fill="FFFFFF" w:val="clear"/>
          </w:tcPr>
          <w:p>
            <w:r>
              <w:rPr>
                <w:sz w:val="16"/>
              </w:rPr>
              <w:t>1,856 FCFA</w:t>
            </w:r>
          </w:p>
        </w:tc>
        <w:tc>
          <w:tcPr>
            <w:tcW w:type="dxa" w:w="1134"/>
            <w:shd w:fill="FFC7CE" w:val="clear"/>
          </w:tcPr>
          <w:p>
            <w:r>
              <w:rPr>
                <w:b/>
                <w:color w:val="B40000"/>
                <w:sz w:val="16"/>
              </w:rPr>
              <w:t>-6.96%</w:t>
            </w:r>
          </w:p>
        </w:tc>
        <w:tc>
          <w:tcPr>
            <w:tcW w:type="dxa" w:w="1020"/>
            <w:shd w:fill="FFEB9C" w:val="clear"/>
          </w:tcPr>
          <w:p>
            <w:r>
              <w:rPr>
                <w:sz w:val="16"/>
              </w:rPr>
              <w:t>Moyenne</w:t>
            </w:r>
          </w:p>
        </w:tc>
      </w:tr>
    </w:tbl>
    <w:p/>
    <w:p>
      <w:pPr>
        <w:pStyle w:val="ListBullet"/>
      </w:pPr>
      <w:r>
        <w:rPr>
          <w:b/>
          <w:color w:val="B40000"/>
          <w:sz w:val="18"/>
        </w:rPr>
        <w:t xml:space="preserve">#1 BOAS </w:t>
      </w:r>
      <w:r>
        <w:rPr>
          <w:sz w:val="17"/>
        </w:rPr>
        <w:t>(BANK OF AFRICA SENEGAL) — baisse modérée (-12.9%) — repli technique attendu. Trajectoire : 📉 Baisse continue. Cours actuel : 8,175 FCFA → prédit J+10 : 7,117 FCFA. Confiance partielle — surveiller l'évolution réelle des premiers jours.</w:t>
      </w:r>
    </w:p>
    <w:p>
      <w:pPr>
        <w:pStyle w:val="ListBullet"/>
      </w:pPr>
      <w:r>
        <w:rPr>
          <w:b/>
          <w:color w:val="B40000"/>
          <w:sz w:val="18"/>
        </w:rPr>
        <w:t xml:space="preserve">#2 NSBC </w:t>
      </w:r>
      <w:r>
        <w:rPr>
          <w:sz w:val="17"/>
        </w:rPr>
        <w:t>(NSBC - NSIA BANQUE COTE D'IVOIRE) — baisse modérée (-11.2%) — repli technique attendu. Trajectoire : 📉 Baisse continue. Cours actuel : 22,000 FCFA → prédit J+10 : 19,542 FCFA. ⚠️ Confiance limitée — volatilité élevée. Ne pas agir sur ce seul signal.</w:t>
      </w:r>
    </w:p>
    <w:p>
      <w:pPr>
        <w:pStyle w:val="ListBullet"/>
      </w:pPr>
      <w:r>
        <w:rPr>
          <w:b/>
          <w:color w:val="B40000"/>
          <w:sz w:val="18"/>
        </w:rPr>
        <w:t xml:space="preserve">#3 BOAM </w:t>
      </w:r>
      <w:r>
        <w:rPr>
          <w:sz w:val="17"/>
        </w:rPr>
        <w:t>(BANK OF AFRICA MALI) — baisse modérée (-9.9%) — repli technique attendu. Trajectoire : 📉 Baisse continue. Cours actuel : 6,090 FCFA → prédit J+10 : 5,485 FCFA. ⚠️ Confiance limitée — volatilité élevée. Ne pas agir sur ce seul signal.</w:t>
      </w:r>
    </w:p>
    <w:p>
      <w:pPr>
        <w:pStyle w:val="ListBullet"/>
      </w:pPr>
      <w:r>
        <w:rPr>
          <w:b/>
          <w:color w:val="B40000"/>
          <w:sz w:val="18"/>
        </w:rPr>
        <w:t xml:space="preserve">#4 UNXC </w:t>
      </w:r>
      <w:r>
        <w:rPr>
          <w:sz w:val="17"/>
        </w:rPr>
        <w:t>(UNXC - UNIWAX COTE D'IVOIRE) — baisse modérée (-7.0%) — repli technique attendu. Trajectoire : 📉 Baisse continue. Cours actuel : 2,360 FCFA → prédit J+10 : 2,194 FCFA. ⚠️ Confiance limitée — volatilité élevée. Ne pas agir sur ce seul signal.</w:t>
      </w:r>
    </w:p>
    <w:p>
      <w:pPr>
        <w:pStyle w:val="ListBullet"/>
      </w:pPr>
      <w:r>
        <w:rPr>
          <w:b/>
          <w:color w:val="B40000"/>
          <w:sz w:val="18"/>
        </w:rPr>
        <w:t xml:space="preserve">#5 FTSC </w:t>
      </w:r>
      <w:r>
        <w:rPr>
          <w:sz w:val="17"/>
        </w:rPr>
        <w:t>(FTSC - FILTISAC COTE D'IVOIRE) — baisse modérée (-7.0%) — repli technique attendu. Trajectoire : 📉 Baisse continue. Cours actuel : 1,995 FCFA → prédit J+10 : 1,856 FCFA. Confiance partielle — surveiller l'évolution réelle des premiers jours.</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2,790</w:t>
            </w:r>
          </w:p>
        </w:tc>
        <w:tc>
          <w:tcPr>
            <w:tcW w:type="dxa" w:w="1417"/>
            <w:shd w:fill="FFFFFF" w:val="clear"/>
          </w:tcPr>
          <w:p>
            <w:r>
              <w:rPr>
                <w:sz w:val="16"/>
              </w:rPr>
              <w:t>3,287</w:t>
            </w:r>
          </w:p>
        </w:tc>
        <w:tc>
          <w:tcPr>
            <w:tcW w:type="dxa" w:w="1134"/>
            <w:shd w:fill="C6EFCE" w:val="clear"/>
          </w:tcPr>
          <w:p>
            <w:r>
              <w:rPr>
                <w:b/>
                <w:color w:val="007800"/>
                <w:sz w:val="16"/>
              </w:rPr>
              <w:t>+17.80%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21,970</w:t>
            </w:r>
          </w:p>
        </w:tc>
        <w:tc>
          <w:tcPr>
            <w:tcW w:type="dxa" w:w="1417"/>
            <w:shd w:fill="FFFFFF" w:val="clear"/>
          </w:tcPr>
          <w:p>
            <w:r>
              <w:rPr>
                <w:sz w:val="16"/>
              </w:rPr>
              <w:t>24,464</w:t>
            </w:r>
          </w:p>
        </w:tc>
        <w:tc>
          <w:tcPr>
            <w:tcW w:type="dxa" w:w="1134"/>
            <w:shd w:fill="C6EFCE" w:val="clear"/>
          </w:tcPr>
          <w:p>
            <w:r>
              <w:rPr>
                <w:b/>
                <w:color w:val="007800"/>
                <w:sz w:val="16"/>
              </w:rPr>
              <w:t>+11.35%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5,000</w:t>
            </w:r>
          </w:p>
        </w:tc>
        <w:tc>
          <w:tcPr>
            <w:tcW w:type="dxa" w:w="1417"/>
            <w:shd w:fill="FFFFFF" w:val="clear"/>
          </w:tcPr>
          <w:p>
            <w:r>
              <w:rPr>
                <w:sz w:val="16"/>
              </w:rPr>
              <w:t>5,330</w:t>
            </w:r>
          </w:p>
        </w:tc>
        <w:tc>
          <w:tcPr>
            <w:tcW w:type="dxa" w:w="1134"/>
            <w:shd w:fill="C6EFCE" w:val="clear"/>
          </w:tcPr>
          <w:p>
            <w:r>
              <w:rPr>
                <w:b/>
                <w:color w:val="007800"/>
                <w:sz w:val="16"/>
              </w:rPr>
              <w:t>+6.60%</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8,800</w:t>
            </w:r>
          </w:p>
        </w:tc>
        <w:tc>
          <w:tcPr>
            <w:tcW w:type="dxa" w:w="1417"/>
            <w:shd w:fill="FFFFFF" w:val="clear"/>
          </w:tcPr>
          <w:p>
            <w:r>
              <w:rPr>
                <w:sz w:val="16"/>
              </w:rPr>
              <w:t>9,364</w:t>
            </w:r>
          </w:p>
        </w:tc>
        <w:tc>
          <w:tcPr>
            <w:tcW w:type="dxa" w:w="1134"/>
            <w:shd w:fill="C6EFCE" w:val="clear"/>
          </w:tcPr>
          <w:p>
            <w:r>
              <w:rPr>
                <w:b/>
                <w:color w:val="007800"/>
                <w:sz w:val="16"/>
              </w:rPr>
              <w:t>+6.41%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38,922</w:t>
            </w:r>
          </w:p>
        </w:tc>
        <w:tc>
          <w:tcPr>
            <w:tcW w:type="dxa" w:w="1134"/>
            <w:shd w:fill="C6EFCE" w:val="clear"/>
          </w:tcPr>
          <w:p>
            <w:r>
              <w:rPr>
                <w:b/>
                <w:color w:val="007800"/>
                <w:sz w:val="16"/>
              </w:rPr>
              <w:t>+5.19%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1,520</w:t>
            </w:r>
          </w:p>
        </w:tc>
        <w:tc>
          <w:tcPr>
            <w:tcW w:type="dxa" w:w="1417"/>
            <w:shd w:fill="FFFFFF" w:val="clear"/>
          </w:tcPr>
          <w:p>
            <w:r>
              <w:rPr>
                <w:sz w:val="16"/>
              </w:rPr>
              <w:t>1,581</w:t>
            </w:r>
          </w:p>
        </w:tc>
        <w:tc>
          <w:tcPr>
            <w:tcW w:type="dxa" w:w="1134"/>
            <w:shd w:fill="C6EFCE" w:val="clear"/>
          </w:tcPr>
          <w:p>
            <w:r>
              <w:rPr>
                <w:b/>
                <w:color w:val="007800"/>
                <w:sz w:val="16"/>
              </w:rPr>
              <w:t>+3.99%</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2,067</w:t>
            </w:r>
          </w:p>
        </w:tc>
        <w:tc>
          <w:tcPr>
            <w:tcW w:type="dxa" w:w="1134"/>
            <w:shd w:fill="C6EFCE" w:val="clear"/>
          </w:tcPr>
          <w:p>
            <w:r>
              <w:rPr>
                <w:b/>
                <w:color w:val="007800"/>
                <w:sz w:val="16"/>
              </w:rPr>
              <w:t>+3.34%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3,905</w:t>
            </w:r>
          </w:p>
        </w:tc>
        <w:tc>
          <w:tcPr>
            <w:tcW w:type="dxa" w:w="1417"/>
            <w:shd w:fill="FFFFFF" w:val="clear"/>
          </w:tcPr>
          <w:p>
            <w:r>
              <w:rPr>
                <w:sz w:val="16"/>
              </w:rPr>
              <w:t>3,984</w:t>
            </w:r>
          </w:p>
        </w:tc>
        <w:tc>
          <w:tcPr>
            <w:tcW w:type="dxa" w:w="1134"/>
            <w:shd w:fill="C6EFCE" w:val="clear"/>
          </w:tcPr>
          <w:p>
            <w:r>
              <w:rPr>
                <w:b/>
                <w:color w:val="007800"/>
                <w:sz w:val="16"/>
              </w:rPr>
              <w:t>+2.02%</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14,900</w:t>
            </w:r>
          </w:p>
        </w:tc>
        <w:tc>
          <w:tcPr>
            <w:tcW w:type="dxa" w:w="1417"/>
            <w:shd w:fill="FFFFFF" w:val="clear"/>
          </w:tcPr>
          <w:p>
            <w:r>
              <w:rPr>
                <w:sz w:val="16"/>
              </w:rPr>
              <w:t>15,077</w:t>
            </w:r>
          </w:p>
        </w:tc>
        <w:tc>
          <w:tcPr>
            <w:tcW w:type="dxa" w:w="1134"/>
            <w:shd w:fill="C6EFCE" w:val="clear"/>
          </w:tcPr>
          <w:p>
            <w:r>
              <w:rPr>
                <w:b/>
                <w:color w:val="007800"/>
                <w:sz w:val="16"/>
              </w:rPr>
              <w:t>+1.19%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3,890</w:t>
            </w:r>
          </w:p>
        </w:tc>
        <w:tc>
          <w:tcPr>
            <w:tcW w:type="dxa" w:w="1417"/>
            <w:shd w:fill="FFFFFF" w:val="clear"/>
          </w:tcPr>
          <w:p>
            <w:r>
              <w:rPr>
                <w:sz w:val="16"/>
              </w:rPr>
              <w:t>3,936</w:t>
            </w:r>
          </w:p>
        </w:tc>
        <w:tc>
          <w:tcPr>
            <w:tcW w:type="dxa" w:w="1134"/>
            <w:shd w:fill="C6EFCE" w:val="clear"/>
          </w:tcPr>
          <w:p>
            <w:r>
              <w:rPr>
                <w:b/>
                <w:color w:val="007800"/>
                <w:sz w:val="16"/>
              </w:rPr>
              <w:t>+1.18%</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16,985</w:t>
            </w:r>
          </w:p>
        </w:tc>
        <w:tc>
          <w:tcPr>
            <w:tcW w:type="dxa" w:w="1134"/>
            <w:shd w:fill="C6EFCE" w:val="clear"/>
          </w:tcPr>
          <w:p>
            <w:r>
              <w:rPr>
                <w:b/>
                <w:color w:val="007800"/>
                <w:sz w:val="16"/>
              </w:rPr>
              <w:t>+1.13%</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12,940</w:t>
            </w:r>
          </w:p>
        </w:tc>
        <w:tc>
          <w:tcPr>
            <w:tcW w:type="dxa" w:w="1417"/>
            <w:shd w:fill="FFFFFF" w:val="clear"/>
          </w:tcPr>
          <w:p>
            <w:r>
              <w:rPr>
                <w:sz w:val="16"/>
              </w:rPr>
              <w:t>13,062</w:t>
            </w:r>
          </w:p>
        </w:tc>
        <w:tc>
          <w:tcPr>
            <w:tcW w:type="dxa" w:w="1134"/>
            <w:shd w:fill="FFEB9C" w:val="clear"/>
          </w:tcPr>
          <w:p>
            <w:r>
              <w:rPr>
                <w:b/>
                <w:color w:val="646400"/>
                <w:sz w:val="16"/>
              </w:rPr>
              <w:t>+0.94%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11,490</w:t>
            </w:r>
          </w:p>
        </w:tc>
        <w:tc>
          <w:tcPr>
            <w:tcW w:type="dxa" w:w="1417"/>
            <w:shd w:fill="FFFFFF" w:val="clear"/>
          </w:tcPr>
          <w:p>
            <w:r>
              <w:rPr>
                <w:sz w:val="16"/>
              </w:rPr>
              <w:t>11,580</w:t>
            </w:r>
          </w:p>
        </w:tc>
        <w:tc>
          <w:tcPr>
            <w:tcW w:type="dxa" w:w="1134"/>
            <w:shd w:fill="FFEB9C" w:val="clear"/>
          </w:tcPr>
          <w:p>
            <w:r>
              <w:rPr>
                <w:b/>
                <w:color w:val="646400"/>
                <w:sz w:val="16"/>
              </w:rPr>
              <w:t>+0.79%</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2,300</w:t>
            </w:r>
          </w:p>
        </w:tc>
        <w:tc>
          <w:tcPr>
            <w:tcW w:type="dxa" w:w="1417"/>
            <w:shd w:fill="FFFFFF" w:val="clear"/>
          </w:tcPr>
          <w:p>
            <w:r>
              <w:rPr>
                <w:sz w:val="16"/>
              </w:rPr>
              <w:t>2,315</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2,915</w:t>
            </w:r>
          </w:p>
        </w:tc>
        <w:tc>
          <w:tcPr>
            <w:tcW w:type="dxa" w:w="1417"/>
            <w:shd w:fill="FFFFFF" w:val="clear"/>
          </w:tcPr>
          <w:p>
            <w:r>
              <w:rPr>
                <w:sz w:val="16"/>
              </w:rPr>
              <w:t>2,898</w:t>
            </w:r>
          </w:p>
        </w:tc>
        <w:tc>
          <w:tcPr>
            <w:tcW w:type="dxa" w:w="1134"/>
            <w:shd w:fill="FFEB9C" w:val="clear"/>
          </w:tcPr>
          <w:p>
            <w:r>
              <w:rPr>
                <w:b/>
                <w:color w:val="646400"/>
                <w:sz w:val="16"/>
              </w:rPr>
              <w:t>-0.60%</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3,010</w:t>
            </w:r>
          </w:p>
        </w:tc>
        <w:tc>
          <w:tcPr>
            <w:tcW w:type="dxa" w:w="1417"/>
            <w:shd w:fill="FFFFFF" w:val="clear"/>
          </w:tcPr>
          <w:p>
            <w:r>
              <w:rPr>
                <w:sz w:val="16"/>
              </w:rPr>
              <w:t>2,972</w:t>
            </w:r>
          </w:p>
        </w:tc>
        <w:tc>
          <w:tcPr>
            <w:tcW w:type="dxa" w:w="1134"/>
            <w:shd w:fill="FFC7CE" w:val="clear"/>
          </w:tcPr>
          <w:p>
            <w:r>
              <w:rPr>
                <w:b/>
                <w:color w:val="B40000"/>
                <w:sz w:val="16"/>
              </w:rPr>
              <w:t>-1.26%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1,874</w:t>
            </w:r>
          </w:p>
        </w:tc>
        <w:tc>
          <w:tcPr>
            <w:tcW w:type="dxa" w:w="1134"/>
            <w:shd w:fill="FFC7CE" w:val="clear"/>
          </w:tcPr>
          <w:p>
            <w:r>
              <w:rPr>
                <w:b/>
                <w:color w:val="B40000"/>
                <w:sz w:val="16"/>
              </w:rPr>
              <w:t>-1.37%</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3,395</w:t>
            </w:r>
          </w:p>
        </w:tc>
        <w:tc>
          <w:tcPr>
            <w:tcW w:type="dxa" w:w="1417"/>
            <w:shd w:fill="FFFFFF" w:val="clear"/>
          </w:tcPr>
          <w:p>
            <w:r>
              <w:rPr>
                <w:sz w:val="16"/>
              </w:rPr>
              <w:t>3,334</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2,150</w:t>
            </w:r>
          </w:p>
        </w:tc>
        <w:tc>
          <w:tcPr>
            <w:tcW w:type="dxa" w:w="1417"/>
            <w:shd w:fill="FFFFFF" w:val="clear"/>
          </w:tcPr>
          <w:p>
            <w:r>
              <w:rPr>
                <w:sz w:val="16"/>
              </w:rPr>
              <w:t>2,108</w:t>
            </w:r>
          </w:p>
        </w:tc>
        <w:tc>
          <w:tcPr>
            <w:tcW w:type="dxa" w:w="1134"/>
            <w:shd w:fill="FFC7CE" w:val="clear"/>
          </w:tcPr>
          <w:p>
            <w:r>
              <w:rPr>
                <w:b/>
                <w:color w:val="B40000"/>
                <w:sz w:val="16"/>
              </w:rPr>
              <w:t>-1.97%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21,800</w:t>
            </w:r>
          </w:p>
        </w:tc>
        <w:tc>
          <w:tcPr>
            <w:tcW w:type="dxa" w:w="1417"/>
            <w:shd w:fill="FFFFFF" w:val="clear"/>
          </w:tcPr>
          <w:p>
            <w:r>
              <w:rPr>
                <w:sz w:val="16"/>
              </w:rPr>
              <w:t>21,344</w:t>
            </w:r>
          </w:p>
        </w:tc>
        <w:tc>
          <w:tcPr>
            <w:tcW w:type="dxa" w:w="1134"/>
            <w:shd w:fill="FFC7CE" w:val="clear"/>
          </w:tcPr>
          <w:p>
            <w:r>
              <w:rPr>
                <w:b/>
                <w:color w:val="B40000"/>
                <w:sz w:val="16"/>
              </w:rPr>
              <w:t>-2.09%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-2.13%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2,933</w:t>
            </w:r>
          </w:p>
        </w:tc>
        <w:tc>
          <w:tcPr>
            <w:tcW w:type="dxa" w:w="1134"/>
            <w:shd w:fill="FFC7CE" w:val="clear"/>
          </w:tcPr>
          <w:p>
            <w:r>
              <w:rPr>
                <w:b/>
                <w:color w:val="B40000"/>
                <w:sz w:val="16"/>
              </w:rPr>
              <w:t>-2.25%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2,935</w:t>
            </w:r>
          </w:p>
        </w:tc>
        <w:tc>
          <w:tcPr>
            <w:tcW w:type="dxa" w:w="1417"/>
            <w:shd w:fill="FFFFFF" w:val="clear"/>
          </w:tcPr>
          <w:p>
            <w:r>
              <w:rPr>
                <w:sz w:val="16"/>
              </w:rPr>
              <w:t>2,867</w:t>
            </w:r>
          </w:p>
        </w:tc>
        <w:tc>
          <w:tcPr>
            <w:tcW w:type="dxa" w:w="1134"/>
            <w:shd w:fill="FFC7CE" w:val="clear"/>
          </w:tcPr>
          <w:p>
            <w:r>
              <w:rPr>
                <w:b/>
                <w:color w:val="B40000"/>
                <w:sz w:val="16"/>
              </w:rPr>
              <w:t>-2.31%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9,385</w:t>
            </w:r>
          </w:p>
        </w:tc>
        <w:tc>
          <w:tcPr>
            <w:tcW w:type="dxa" w:w="1417"/>
            <w:shd w:fill="FFFFFF" w:val="clear"/>
          </w:tcPr>
          <w:p>
            <w:r>
              <w:rPr>
                <w:sz w:val="16"/>
              </w:rPr>
              <w:t>9,162</w:t>
            </w:r>
          </w:p>
        </w:tc>
        <w:tc>
          <w:tcPr>
            <w:tcW w:type="dxa" w:w="1134"/>
            <w:shd w:fill="FFC7CE" w:val="clear"/>
          </w:tcPr>
          <w:p>
            <w:r>
              <w:rPr>
                <w:b/>
                <w:color w:val="B40000"/>
                <w:sz w:val="16"/>
              </w:rPr>
              <w:t>-2.38%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16,410</w:t>
            </w:r>
          </w:p>
        </w:tc>
        <w:tc>
          <w:tcPr>
            <w:tcW w:type="dxa" w:w="1417"/>
            <w:shd w:fill="FFFFFF" w:val="clear"/>
          </w:tcPr>
          <w:p>
            <w:r>
              <w:rPr>
                <w:sz w:val="16"/>
              </w:rPr>
              <w:t>16,008</w:t>
            </w:r>
          </w:p>
        </w:tc>
        <w:tc>
          <w:tcPr>
            <w:tcW w:type="dxa" w:w="1134"/>
            <w:shd w:fill="FFC7CE" w:val="clear"/>
          </w:tcPr>
          <w:p>
            <w:r>
              <w:rPr>
                <w:b/>
                <w:color w:val="B40000"/>
                <w:sz w:val="16"/>
              </w:rPr>
              <w:t>-2.45%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38,023</w:t>
            </w:r>
          </w:p>
        </w:tc>
        <w:tc>
          <w:tcPr>
            <w:tcW w:type="dxa" w:w="1134"/>
            <w:shd w:fill="FFC7CE" w:val="clear"/>
          </w:tcPr>
          <w:p>
            <w:r>
              <w:rPr>
                <w:b/>
                <w:color w:val="B40000"/>
                <w:sz w:val="16"/>
              </w:rPr>
              <w:t>-2.51%</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8,000</w:t>
            </w:r>
          </w:p>
        </w:tc>
        <w:tc>
          <w:tcPr>
            <w:tcW w:type="dxa" w:w="1417"/>
            <w:shd w:fill="FFFFFF" w:val="clear"/>
          </w:tcPr>
          <w:p>
            <w:r>
              <w:rPr>
                <w:sz w:val="16"/>
              </w:rPr>
              <w:t>7,795</w:t>
            </w:r>
          </w:p>
        </w:tc>
        <w:tc>
          <w:tcPr>
            <w:tcW w:type="dxa" w:w="1134"/>
            <w:shd w:fill="FFC7CE" w:val="clear"/>
          </w:tcPr>
          <w:p>
            <w:r>
              <w:rPr>
                <w:b/>
                <w:color w:val="B40000"/>
                <w:sz w:val="16"/>
              </w:rPr>
              <w:t>-2.56%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3,690</w:t>
            </w:r>
          </w:p>
        </w:tc>
        <w:tc>
          <w:tcPr>
            <w:tcW w:type="dxa" w:w="1417"/>
            <w:shd w:fill="FFFFFF" w:val="clear"/>
          </w:tcPr>
          <w:p>
            <w:r>
              <w:rPr>
                <w:sz w:val="16"/>
              </w:rPr>
              <w:t>3,595</w:t>
            </w:r>
          </w:p>
        </w:tc>
        <w:tc>
          <w:tcPr>
            <w:tcW w:type="dxa" w:w="1134"/>
            <w:shd w:fill="FFC7CE" w:val="clear"/>
          </w:tcPr>
          <w:p>
            <w:r>
              <w:rPr>
                <w:b/>
                <w:color w:val="B40000"/>
                <w:sz w:val="16"/>
              </w:rPr>
              <w:t>-2.58%</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7,940</w:t>
            </w:r>
          </w:p>
        </w:tc>
        <w:tc>
          <w:tcPr>
            <w:tcW w:type="dxa" w:w="1417"/>
            <w:shd w:fill="FFFFFF" w:val="clear"/>
          </w:tcPr>
          <w:p>
            <w:r>
              <w:rPr>
                <w:sz w:val="16"/>
              </w:rPr>
              <w:t>7,718</w:t>
            </w:r>
          </w:p>
        </w:tc>
        <w:tc>
          <w:tcPr>
            <w:tcW w:type="dxa" w:w="1134"/>
            <w:shd w:fill="FFC7CE" w:val="clear"/>
          </w:tcPr>
          <w:p>
            <w:r>
              <w:rPr>
                <w:b/>
                <w:color w:val="B40000"/>
                <w:sz w:val="16"/>
              </w:rPr>
              <w:t>-2.79%</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45,000</w:t>
            </w:r>
          </w:p>
        </w:tc>
        <w:tc>
          <w:tcPr>
            <w:tcW w:type="dxa" w:w="1417"/>
            <w:shd w:fill="FFFFFF" w:val="clear"/>
          </w:tcPr>
          <w:p>
            <w:r>
              <w:rPr>
                <w:sz w:val="16"/>
              </w:rPr>
              <w:t>43,573</w:t>
            </w:r>
          </w:p>
        </w:tc>
        <w:tc>
          <w:tcPr>
            <w:tcW w:type="dxa" w:w="1134"/>
            <w:shd w:fill="FFC7CE" w:val="clear"/>
          </w:tcPr>
          <w:p>
            <w:r>
              <w:rPr>
                <w:b/>
                <w:color w:val="B40000"/>
                <w:sz w:val="16"/>
              </w:rPr>
              <w:t>-3.17%</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49,041</w:t>
            </w:r>
          </w:p>
        </w:tc>
        <w:tc>
          <w:tcPr>
            <w:tcW w:type="dxa" w:w="1134"/>
            <w:shd w:fill="FFC7CE" w:val="clear"/>
          </w:tcPr>
          <w:p>
            <w:r>
              <w:rPr>
                <w:b/>
                <w:color w:val="B40000"/>
                <w:sz w:val="16"/>
              </w:rPr>
              <w:t>-3.84%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4,450</w:t>
            </w:r>
          </w:p>
        </w:tc>
        <w:tc>
          <w:tcPr>
            <w:tcW w:type="dxa" w:w="1417"/>
            <w:shd w:fill="FFFFFF" w:val="clear"/>
          </w:tcPr>
          <w:p>
            <w:r>
              <w:rPr>
                <w:sz w:val="16"/>
              </w:rPr>
              <w:t>4,256</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7,890</w:t>
            </w:r>
          </w:p>
        </w:tc>
        <w:tc>
          <w:tcPr>
            <w:tcW w:type="dxa" w:w="1417"/>
            <w:shd w:fill="FFFFFF" w:val="clear"/>
          </w:tcPr>
          <w:p>
            <w:r>
              <w:rPr>
                <w:sz w:val="16"/>
              </w:rPr>
              <w:t>7,526</w:t>
            </w:r>
          </w:p>
        </w:tc>
        <w:tc>
          <w:tcPr>
            <w:tcW w:type="dxa" w:w="1134"/>
            <w:shd w:fill="FFC7CE" w:val="clear"/>
          </w:tcPr>
          <w:p>
            <w:r>
              <w:rPr>
                <w:b/>
                <w:color w:val="B40000"/>
                <w:sz w:val="16"/>
              </w:rPr>
              <w:t>-4.61%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30,300</w:t>
            </w:r>
          </w:p>
        </w:tc>
        <w:tc>
          <w:tcPr>
            <w:tcW w:type="dxa" w:w="1417"/>
            <w:shd w:fill="FFFFFF" w:val="clear"/>
          </w:tcPr>
          <w:p>
            <w:r>
              <w:rPr>
                <w:sz w:val="16"/>
              </w:rPr>
              <w:t>28,728</w:t>
            </w:r>
          </w:p>
        </w:tc>
        <w:tc>
          <w:tcPr>
            <w:tcW w:type="dxa" w:w="1134"/>
            <w:shd w:fill="FFC7CE" w:val="clear"/>
          </w:tcPr>
          <w:p>
            <w:r>
              <w:rPr>
                <w:b/>
                <w:color w:val="B40000"/>
                <w:sz w:val="16"/>
              </w:rPr>
              <w:t>-5.19%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33,800</w:t>
            </w:r>
          </w:p>
        </w:tc>
        <w:tc>
          <w:tcPr>
            <w:tcW w:type="dxa" w:w="1417"/>
            <w:shd w:fill="FFFFFF" w:val="clear"/>
          </w:tcPr>
          <w:p>
            <w:r>
              <w:rPr>
                <w:sz w:val="16"/>
              </w:rPr>
              <w:t>31,966</w:t>
            </w:r>
          </w:p>
        </w:tc>
        <w:tc>
          <w:tcPr>
            <w:tcW w:type="dxa" w:w="1134"/>
            <w:shd w:fill="FFC7CE" w:val="clear"/>
          </w:tcPr>
          <w:p>
            <w:r>
              <w:rPr>
                <w:b/>
                <w:color w:val="B40000"/>
                <w:sz w:val="16"/>
              </w:rPr>
              <w:t>-5.43%</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6,500</w:t>
            </w:r>
          </w:p>
        </w:tc>
        <w:tc>
          <w:tcPr>
            <w:tcW w:type="dxa" w:w="1417"/>
            <w:shd w:fill="FFFFFF" w:val="clear"/>
          </w:tcPr>
          <w:p>
            <w:r>
              <w:rPr>
                <w:sz w:val="16"/>
              </w:rPr>
              <w:t>6,138</w:t>
            </w:r>
          </w:p>
        </w:tc>
        <w:tc>
          <w:tcPr>
            <w:tcW w:type="dxa" w:w="1134"/>
            <w:shd w:fill="FFC7CE" w:val="clear"/>
          </w:tcPr>
          <w:p>
            <w:r>
              <w:rPr>
                <w:b/>
                <w:color w:val="B40000"/>
                <w:sz w:val="16"/>
              </w:rPr>
              <w:t>-5.57%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2,245</w:t>
            </w:r>
          </w:p>
        </w:tc>
        <w:tc>
          <w:tcPr>
            <w:tcW w:type="dxa" w:w="1417"/>
            <w:shd w:fill="FFFFFF" w:val="clear"/>
          </w:tcPr>
          <w:p>
            <w:r>
              <w:rPr>
                <w:sz w:val="16"/>
              </w:rPr>
              <w:t>2,113</w:t>
            </w:r>
          </w:p>
        </w:tc>
        <w:tc>
          <w:tcPr>
            <w:tcW w:type="dxa" w:w="1134"/>
            <w:shd w:fill="FFC7CE" w:val="clear"/>
          </w:tcPr>
          <w:p>
            <w:r>
              <w:rPr>
                <w:b/>
                <w:color w:val="B40000"/>
                <w:sz w:val="16"/>
              </w:rPr>
              <w:t>-5.90%</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7,804</w:t>
            </w:r>
          </w:p>
        </w:tc>
        <w:tc>
          <w:tcPr>
            <w:tcW w:type="dxa" w:w="1134"/>
            <w:shd w:fill="FFC7CE" w:val="clear"/>
          </w:tcPr>
          <w:p>
            <w:r>
              <w:rPr>
                <w:b/>
                <w:color w:val="B40000"/>
                <w:sz w:val="16"/>
              </w:rPr>
              <w:t>-5.98%</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9,160</w:t>
            </w:r>
          </w:p>
        </w:tc>
        <w:tc>
          <w:tcPr>
            <w:tcW w:type="dxa" w:w="1417"/>
            <w:shd w:fill="FFFFFF" w:val="clear"/>
          </w:tcPr>
          <w:p>
            <w:r>
              <w:rPr>
                <w:sz w:val="16"/>
              </w:rPr>
              <w:t>8,544</w:t>
            </w:r>
          </w:p>
        </w:tc>
        <w:tc>
          <w:tcPr>
            <w:tcW w:type="dxa" w:w="1134"/>
            <w:shd w:fill="FFC7CE" w:val="clear"/>
          </w:tcPr>
          <w:p>
            <w:r>
              <w:rPr>
                <w:b/>
                <w:color w:val="B40000"/>
                <w:sz w:val="16"/>
              </w:rPr>
              <w:t>-6.73%</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3,370</w:t>
            </w:r>
          </w:p>
        </w:tc>
        <w:tc>
          <w:tcPr>
            <w:tcW w:type="dxa" w:w="1417"/>
            <w:shd w:fill="FFFFFF" w:val="clear"/>
          </w:tcPr>
          <w:p>
            <w:r>
              <w:rPr>
                <w:sz w:val="16"/>
              </w:rPr>
              <w:t>3,142</w:t>
            </w:r>
          </w:p>
        </w:tc>
        <w:tc>
          <w:tcPr>
            <w:tcW w:type="dxa" w:w="1134"/>
            <w:shd w:fill="FFC7CE" w:val="clear"/>
          </w:tcPr>
          <w:p>
            <w:r>
              <w:rPr>
                <w:b/>
                <w:color w:val="B40000"/>
                <w:sz w:val="16"/>
              </w:rPr>
              <w:t>-6.78%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1,995</w:t>
            </w:r>
          </w:p>
        </w:tc>
        <w:tc>
          <w:tcPr>
            <w:tcW w:type="dxa" w:w="1417"/>
            <w:shd w:fill="FFFFFF" w:val="clear"/>
          </w:tcPr>
          <w:p>
            <w:r>
              <w:rPr>
                <w:sz w:val="16"/>
              </w:rPr>
              <w:t>1,856</w:t>
            </w:r>
          </w:p>
        </w:tc>
        <w:tc>
          <w:tcPr>
            <w:tcW w:type="dxa" w:w="1134"/>
            <w:shd w:fill="FFC7CE" w:val="clear"/>
          </w:tcPr>
          <w:p>
            <w:r>
              <w:rPr>
                <w:b/>
                <w:color w:val="B40000"/>
                <w:sz w:val="16"/>
              </w:rPr>
              <w:t>-6.96%</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2,360</w:t>
            </w:r>
          </w:p>
        </w:tc>
        <w:tc>
          <w:tcPr>
            <w:tcW w:type="dxa" w:w="1417"/>
            <w:shd w:fill="FFFFFF" w:val="clear"/>
          </w:tcPr>
          <w:p>
            <w:r>
              <w:rPr>
                <w:sz w:val="16"/>
              </w:rPr>
              <w:t>2,194</w:t>
            </w:r>
          </w:p>
        </w:tc>
        <w:tc>
          <w:tcPr>
            <w:tcW w:type="dxa" w:w="1134"/>
            <w:shd w:fill="FFC7CE" w:val="clear"/>
          </w:tcPr>
          <w:p>
            <w:r>
              <w:rPr>
                <w:b/>
                <w:color w:val="B40000"/>
                <w:sz w:val="16"/>
              </w:rPr>
              <w:t>-7.03%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6,090</w:t>
            </w:r>
          </w:p>
        </w:tc>
        <w:tc>
          <w:tcPr>
            <w:tcW w:type="dxa" w:w="1417"/>
            <w:shd w:fill="FFFFFF" w:val="clear"/>
          </w:tcPr>
          <w:p>
            <w:r>
              <w:rPr>
                <w:sz w:val="16"/>
              </w:rPr>
              <w:t>5,485</w:t>
            </w:r>
          </w:p>
        </w:tc>
        <w:tc>
          <w:tcPr>
            <w:tcW w:type="dxa" w:w="1134"/>
            <w:shd w:fill="FFC7CE" w:val="clear"/>
          </w:tcPr>
          <w:p>
            <w:r>
              <w:rPr>
                <w:b/>
                <w:color w:val="B40000"/>
                <w:sz w:val="16"/>
              </w:rPr>
              <w:t>-9.93%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22,000</w:t>
            </w:r>
          </w:p>
        </w:tc>
        <w:tc>
          <w:tcPr>
            <w:tcW w:type="dxa" w:w="1417"/>
            <w:shd w:fill="FFFFFF" w:val="clear"/>
          </w:tcPr>
          <w:p>
            <w:r>
              <w:rPr>
                <w:sz w:val="16"/>
              </w:rPr>
              <w:t>19,542</w:t>
            </w:r>
          </w:p>
        </w:tc>
        <w:tc>
          <w:tcPr>
            <w:tcW w:type="dxa" w:w="1134"/>
            <w:shd w:fill="FFC7CE" w:val="clear"/>
          </w:tcPr>
          <w:p>
            <w:r>
              <w:rPr>
                <w:b/>
                <w:color w:val="B40000"/>
                <w:sz w:val="16"/>
              </w:rPr>
              <w:t>-11.17%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8,175</w:t>
            </w:r>
          </w:p>
        </w:tc>
        <w:tc>
          <w:tcPr>
            <w:tcW w:type="dxa" w:w="1417"/>
            <w:shd w:fill="FFFFFF" w:val="clear"/>
          </w:tcPr>
          <w:p>
            <w:r>
              <w:rPr>
                <w:sz w:val="16"/>
              </w:rPr>
              <w:t>7,117</w:t>
            </w:r>
          </w:p>
        </w:tc>
        <w:tc>
          <w:tcPr>
            <w:tcW w:type="dxa" w:w="1134"/>
            <w:shd w:fill="FFC7CE" w:val="clear"/>
          </w:tcPr>
          <w:p>
            <w:r>
              <w:rPr>
                <w:b/>
                <w:color w:val="B40000"/>
                <w:sz w:val="16"/>
              </w:rPr>
              <w:t>-12.94%</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3,413 titres</w:t>
            </w:r>
          </w:p>
        </w:tc>
        <w:tc>
          <w:tcPr>
            <w:tcW w:type="dxa" w:w="2268"/>
            <w:shd w:fill="FFF2CC" w:val="clear"/>
          </w:tcPr>
          <w:p>
            <w:r>
              <w:rPr>
                <w:b/>
                <w:color w:val="503200"/>
                <w:sz w:val="16"/>
              </w:rPr>
              <w:t xml:space="preserve">Cours actuel : </w:t>
            </w:r>
            <w:r>
              <w:rPr>
                <w:color w:val="000000"/>
                <w:sz w:val="17"/>
              </w:rPr>
              <w:t>3,370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11.20% (Moyenne) — μ=3,334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β=0.2116 (Défensif) — Cov=0.000015, Var(idx)=0.000070, ρ=0.064,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3,229</w:t>
            </w:r>
          </w:p>
        </w:tc>
        <w:tc>
          <w:tcPr>
            <w:tcW w:type="dxa" w:w="1440"/>
            <w:shd w:fill="FAFAFA" w:val="clear"/>
          </w:tcPr>
          <w:p>
            <w:r>
              <w:rPr>
                <w:b/>
                <w:sz w:val="17"/>
              </w:rPr>
              <w:t>3,388</w:t>
            </w:r>
          </w:p>
        </w:tc>
        <w:tc>
          <w:tcPr>
            <w:tcW w:type="dxa" w:w="1440"/>
            <w:shd w:fill="FAFAFA" w:val="clear"/>
          </w:tcPr>
          <w:p>
            <w:r>
              <w:rPr>
                <w:sz w:val="17"/>
              </w:rPr>
              <w:t>3,546</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3,117</w:t>
            </w:r>
          </w:p>
        </w:tc>
        <w:tc>
          <w:tcPr>
            <w:tcW w:type="dxa" w:w="1440"/>
            <w:shd w:fill="FAFAFA" w:val="clear"/>
          </w:tcPr>
          <w:p>
            <w:r>
              <w:rPr>
                <w:b/>
                <w:sz w:val="17"/>
              </w:rPr>
              <w:t>3,339</w:t>
            </w:r>
          </w:p>
        </w:tc>
        <w:tc>
          <w:tcPr>
            <w:tcW w:type="dxa" w:w="1440"/>
            <w:shd w:fill="FAFAFA" w:val="clear"/>
          </w:tcPr>
          <w:p>
            <w:r>
              <w:rPr>
                <w:sz w:val="17"/>
              </w:rPr>
              <w:t>3,560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3,046</w:t>
            </w:r>
          </w:p>
        </w:tc>
        <w:tc>
          <w:tcPr>
            <w:tcW w:type="dxa" w:w="1440"/>
            <w:shd w:fill="FAFAFA" w:val="clear"/>
          </w:tcPr>
          <w:p>
            <w:r>
              <w:rPr>
                <w:b/>
                <w:sz w:val="17"/>
              </w:rPr>
              <w:t>3,316</w:t>
            </w:r>
          </w:p>
        </w:tc>
        <w:tc>
          <w:tcPr>
            <w:tcW w:type="dxa" w:w="1440"/>
            <w:shd w:fill="FAFAFA" w:val="clear"/>
          </w:tcPr>
          <w:p>
            <w:r>
              <w:rPr>
                <w:sz w:val="17"/>
              </w:rPr>
              <w:t>3,585</w:t>
            </w:r>
          </w:p>
        </w:tc>
        <w:tc>
          <w:tcPr>
            <w:tcW w:type="dxa" w:w="1440"/>
            <w:shd w:fill="FAFAFA" w:val="clear"/>
          </w:tcPr>
          <w:p>
            <w:r>
              <w:rPr>
                <w:b/>
                <w:color w:val="C00000"/>
                <w:sz w:val="17"/>
              </w:rPr>
              <w:t>-1.6%</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2,983</w:t>
            </w:r>
          </w:p>
        </w:tc>
        <w:tc>
          <w:tcPr>
            <w:tcW w:type="dxa" w:w="1440"/>
            <w:shd w:fill="FFDCE0" w:val="clear"/>
          </w:tcPr>
          <w:p>
            <w:r>
              <w:rPr>
                <w:b/>
                <w:sz w:val="17"/>
              </w:rPr>
              <w:t>3,291</w:t>
            </w:r>
          </w:p>
        </w:tc>
        <w:tc>
          <w:tcPr>
            <w:tcW w:type="dxa" w:w="1440"/>
            <w:shd w:fill="FFDCE0" w:val="clear"/>
          </w:tcPr>
          <w:p>
            <w:r>
              <w:rPr>
                <w:sz w:val="17"/>
              </w:rPr>
              <w:t>3,600</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2,922</w:t>
            </w:r>
          </w:p>
        </w:tc>
        <w:tc>
          <w:tcPr>
            <w:tcW w:type="dxa" w:w="1440"/>
            <w:shd w:fill="FFDCE0" w:val="clear"/>
          </w:tcPr>
          <w:p>
            <w:r>
              <w:rPr>
                <w:b/>
                <w:sz w:val="17"/>
              </w:rPr>
              <w:t>3,265</w:t>
            </w:r>
          </w:p>
        </w:tc>
        <w:tc>
          <w:tcPr>
            <w:tcW w:type="dxa" w:w="1440"/>
            <w:shd w:fill="FFDCE0" w:val="clear"/>
          </w:tcPr>
          <w:p>
            <w:r>
              <w:rPr>
                <w:sz w:val="17"/>
              </w:rPr>
              <w:t>3,607</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2,866</w:t>
            </w:r>
          </w:p>
        </w:tc>
        <w:tc>
          <w:tcPr>
            <w:tcW w:type="dxa" w:w="1440"/>
            <w:shd w:fill="FFDCE0" w:val="clear"/>
          </w:tcPr>
          <w:p>
            <w:r>
              <w:rPr>
                <w:b/>
                <w:sz w:val="17"/>
              </w:rPr>
              <w:t>3,238</w:t>
            </w:r>
          </w:p>
        </w:tc>
        <w:tc>
          <w:tcPr>
            <w:tcW w:type="dxa" w:w="1440"/>
            <w:shd w:fill="FFDCE0" w:val="clear"/>
          </w:tcPr>
          <w:p>
            <w:r>
              <w:rPr>
                <w:sz w:val="17"/>
              </w:rPr>
              <w:t>3,610</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2,814</w:t>
            </w:r>
          </w:p>
        </w:tc>
        <w:tc>
          <w:tcPr>
            <w:tcW w:type="dxa" w:w="1440"/>
            <w:shd w:fill="FFDCE0" w:val="clear"/>
          </w:tcPr>
          <w:p>
            <w:r>
              <w:rPr>
                <w:b/>
                <w:sz w:val="17"/>
              </w:rPr>
              <w:t>3,213</w:t>
            </w:r>
          </w:p>
        </w:tc>
        <w:tc>
          <w:tcPr>
            <w:tcW w:type="dxa" w:w="1440"/>
            <w:shd w:fill="FFDCE0" w:val="clear"/>
          </w:tcPr>
          <w:p>
            <w:r>
              <w:rPr>
                <w:sz w:val="17"/>
              </w:rPr>
              <w:t>3,611</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2,765</w:t>
            </w:r>
          </w:p>
        </w:tc>
        <w:tc>
          <w:tcPr>
            <w:tcW w:type="dxa" w:w="1440"/>
            <w:shd w:fill="FFDCE0" w:val="clear"/>
          </w:tcPr>
          <w:p>
            <w:r>
              <w:rPr>
                <w:b/>
                <w:sz w:val="17"/>
              </w:rPr>
              <w:t>3,188</w:t>
            </w:r>
          </w:p>
        </w:tc>
        <w:tc>
          <w:tcPr>
            <w:tcW w:type="dxa" w:w="1440"/>
            <w:shd w:fill="FFDCE0" w:val="clear"/>
          </w:tcPr>
          <w:p>
            <w:r>
              <w:rPr>
                <w:sz w:val="17"/>
              </w:rPr>
              <w:t>3,611</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2,719</w:t>
            </w:r>
          </w:p>
        </w:tc>
        <w:tc>
          <w:tcPr>
            <w:tcW w:type="dxa" w:w="1440"/>
            <w:shd w:fill="FFDCE0" w:val="clear"/>
          </w:tcPr>
          <w:p>
            <w:r>
              <w:rPr>
                <w:b/>
                <w:sz w:val="17"/>
              </w:rPr>
              <w:t>3,164</w:t>
            </w:r>
          </w:p>
        </w:tc>
        <w:tc>
          <w:tcPr>
            <w:tcW w:type="dxa" w:w="1440"/>
            <w:shd w:fill="FFDCE0" w:val="clear"/>
          </w:tcPr>
          <w:p>
            <w:r>
              <w:rPr>
                <w:sz w:val="17"/>
              </w:rPr>
              <w:t>3,609</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2,676</w:t>
            </w:r>
          </w:p>
        </w:tc>
        <w:tc>
          <w:tcPr>
            <w:tcW w:type="dxa" w:w="1440"/>
            <w:shd w:fill="FFDCE0" w:val="clear"/>
          </w:tcPr>
          <w:p>
            <w:r>
              <w:rPr>
                <w:b/>
                <w:sz w:val="17"/>
              </w:rPr>
              <w:t>3,142</w:t>
            </w:r>
          </w:p>
        </w:tc>
        <w:tc>
          <w:tcPr>
            <w:tcW w:type="dxa" w:w="1440"/>
            <w:shd w:fill="FFDCE0" w:val="clear"/>
          </w:tcPr>
          <w:p>
            <w:r>
              <w:rPr>
                <w:sz w:val="17"/>
              </w:rPr>
              <w:t>3,607</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36,77 milliards FCFA, ABJC se positionne comme une valeur de taille moyenne sur le compartiment des sociétés non bancaires de la BRVM, ce qui traduit une liquidité limitée mais une certaine stabilité institutionnelle. Le BPA de 124 FCFA/action signifie que chaque titre génère un bénéfice net de 124 FCFA, ce qui, rapporté au cours actuel de 3 370 FCFA, confère un PER de 27,2x — nettement supérieur à la moyenne du marché BRVM (8-12x), signalant que les investisseurs paient une prime élevée pour les bénéfices, soit en anticipation d'une croissance future, soit en raison d'une surévaluation. Le P/B de 7,13x (largement supérieur au seuil de 4x) indique que le marché valorise l'entreprise à plus de sept fois sa valeur comptable, une prime exigeante qui suppose une forte rentabilité des fonds propres (confirmée par un ROE de 26,18%) et des actifs incorporels substantiels. Enfin, l'EV/EBITDA de 13,8x, dans la fourchette haute (10-15x), suggère que la valeur d'entreprise intègre une capacité opérationnelle déjà bien valorisée, laissant peu de marge d'erreur en cas de dégradation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variation totale positive de +13,28%, mais la dernière séance (J-1) enregistre une chute brutale de -7,42%, signalant un retournement baissier de court terme qui contraste avec la tendance haussière de fond. Le cours actuel de 3 370 FCFA se situe dans la partie basse du range de trading (plus haut : 4 095 FCFA ; plus bas : 2 800 FCFA), ce qui traduit une correction significative depuis les sommets, le titre ayant abandonné environ 17,7% depuis son pic. La moyenne (3 334 FCFA) est légèrement supérieure à la médiane (3 212 FCFA), avec un mode à 3 150 FCFA, ce qui confirme une distribution asymétrique positivement (skewness de 0,601) : les journées de hausse, bien que moins fréquentes, sont plus amples que les journées de baisse, indiquant une pression acheteuse épisodique mais vigoureuse. L'écart-type de 375 FCFA (CV de 11,3%) révèle une dispersion modérée du cours autour de sa moyenne, tandis que le kurtosis de -0,871 (mésokurtique) suggère une distribution proche de la normale, sans risque excessif de pics extrêmes, ce qui est rassurant pour la gestion du risque. La volatilité annualisée de 45,1% classe le titre dans la catégorie des valeurs à volatilité élevée (&gt;30%), ce qui implique un risque de marché important et justifie une approche prudente, d'autant que la chute de -7,42% en une seule séance illustre cette nervosité.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(3 896,75 FCFA) et la MM50 (3 540,20 FCFA) se situent toutes deux au-dessus du cours actuel (3 370 FCFA), ce qui place le titre en position baissière par rapport à ses moyennes de court et moyen terme. Cependant, la décision affichée est "Achat", probablement en anticipation d'un rebond technique après la correction, mais la configuration actuelle (prix sous les deux MM) reste défavorable et suggère une pression vendeuse persistante.</w:t>
      </w:r>
    </w:p>
    <w:p>
      <w:pPr>
        <w:spacing w:after="120" w:line="276" w:lineRule="auto"/>
      </w:pPr>
      <w:r>
        <w:t>**Bandes de Bollinger** : Le cours (3 370 FCFA) évolue sous la borne inférieure (3 528,21 FCFA), ce qui est un signal de survente extrême et de volatilité accrue, la borne supérieure étant à 4 265,29 FCFA. La décision "Achat" se justifie par un possible retour à la moyenne, mais la cassure de la borne inférieure indique une faiblesse marquée qui pourrait se prolonger si le support de 3 150 FCFA (mode) ne tient pas.</w:t>
      </w:r>
    </w:p>
    <w:p>
      <w:pPr>
        <w:spacing w:after="120" w:line="276" w:lineRule="auto"/>
      </w:pPr>
      <w:r>
        <w:t>**MACD** : La valeur du MACD (-2,337) est négative et très inférieure à son signal (84,22), ce qui confirme un momentum baissier prononcé et une divergence négative. La décision "Vente" est cohérente avec cette configuration, le croisement baissier étant déjà effectif et le MACD évoluant en territoire négatif, ce qui pèse sur les perspectives de court terme.</w:t>
      </w:r>
    </w:p>
    <w:p>
      <w:pPr>
        <w:spacing w:after="120" w:line="276" w:lineRule="auto"/>
      </w:pPr>
      <w:r>
        <w:t>**RSI** : Avec une valeur de 17,195, le RSI est en zone de survente extrême (&lt;30), ce qui indique que le titre a été massivement vendu et pourrait être sujet à un rebond technique. La décision "Achat" se justifie par cette survente, mais un RSI aussi bas dans un contexte de tendance baissière peut aussi signaler une poursuite de la baisse si aucun catalyseur positif n'apparaît.</w:t>
      </w:r>
    </w:p>
    <w:p>
      <w:pPr>
        <w:spacing w:after="120" w:line="276" w:lineRule="auto"/>
      </w:pPr>
      <w:r>
        <w:t>**Stochastique** : Le %K et le %D sont tous deux à 0,0, ce qui est un signal de survente maximale et de pression vendeuse intense. La décision "Achat" repose sur l'anticipation d'un retournement, mais l'absence de croisement haussier et la stagnation à zéro traduisent une faiblesse persistante qui nécessite une confirmation avant toute entrée.</w:t>
      </w:r>
    </w:p>
    <w:p>
      <w:pPr>
        <w:spacing w:after="120" w:line="276" w:lineRule="auto"/>
      </w:pPr>
      <w:r>
        <w:t>**Conclusion technique** : Les indicateurs techniques présentent une divergence notable : les moyennes mobiles et le MACD sont baissiers (décision "Vente" pour le MACD), tandis que le RSI, le stochastique et les bandes de Bollinger sont en survente extrême (décision "Achat"). Cette configuration suggère un possible rebond technique à court terme, mais la tendance de fond reste fragile, le titre évoluant sous ses moyennes mobiles et la chute de -7,42% en J-1 ayant cassé le support des 3 500 FCFA. La prudence est de mise, un rebond ne pouvant être confirmé que par un retour au-dessus de la MM20 (3 896 FCFA) et un croisement haussier du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Servair Abidjan a réalisé un chiffre d'affaires de 13,298 milliards FCFA, en croissance de 6,67% par rapport à 2024, confirmant la dynamique commerciale de l'entreprise. Le résultat net s'établit à 1,351 milliard FCFA, en baisse de 12,1% (contre 1,515 milliard en 2024), principalement en raison d'une charge d'impôt en forte hausse (+46,7% à 839,75 millions FCFA). La rentabilité reste solide avec un ROE de 26,18% (excellent, &gt;15%) et un ROA de 14,64%, tandis que la marge nette se maintient à 10,16% et la marge opérationnelle à 16,38%. La structure financière est saine : capitaux propres de 5,159 milliards FCFA, autonomie financière de 55,92%, endettement financier quasi nul (65,89 millions FCFA) et trésorerie nette de 4,035 milliards FCFA. Le BFR est positif à 257,45 millions FCFA, mais le délai client de 70,10 jours et le délai fournisseur de 92,11 jours traduisent une gestion équilibrée du besoin en fonds de roulement, bien que le délai client élevé expose à un risque de trésorerie.</w:t>
      </w:r>
    </w:p>
    <w:p>
      <w:pPr>
        <w:spacing w:after="120" w:line="276" w:lineRule="auto"/>
      </w:pPr>
      <w:r>
        <w:t>**Adaptation au secteur (entreprise non bancaire)** : Les délais d'exploitation (clients 70 jours, fournisseurs 92 jours, stockage 29 jours) sont globalement maîtrisés, mais le délai client élevé constitue un point de vigilance pour la trésorerie. La rotation des actifs de 144,13% indique une bonne efficacité dans l'utilisation des actifs pour générer du chiffre d'affaires. Le ratio de liquidité générale de 218,37% et la liquidité immédiate de 111,27% confirment une situation de trésorerie confortable, renforcée par une capacité de remboursement de 0,04 an (dette financière quasi inexistante).</w:t>
      </w:r>
    </w:p>
    <w:p>
      <w:pPr>
        <w:spacing w:after="120" w:line="276" w:lineRule="auto"/>
      </w:pPr>
      <w:r>
        <w:t>**Estimations basées sur les rapports trimestriels** : Le rapport du T1 2026 (publié le 30 avril 2026) fait état d'un chiffre d'affaires de 3,237 milliards FCFA (+1,9% vs T1 2025) mais d'une dégradation marquée de la rentabilité : résultat des activités ordinaires en baisse de 27,4% (327,6 millions FCFA) et résultat net en chute de 35,6% (222,6 millions FCFA). Cette contre-performance est attribuée à des ajustements de redevances aéroportuaires et à un environnement d'exploitation moins favorable. Sur la base de ce T1, on peut estimer que l'exercice 2026 devrait enregistrer une croissance modérée du chiffre d'affaires (autour de +2-3%) mais une pression accrue sur les marges, avec un résultat net potentiellement en retrait de 10-15% par rapport à 2025, ce qui pourrait remettre en cause le niveau élevé du PER (27,2x). Le rapport du T3 2025 (30 septembre 2025) montrait déjà un redressement avec un CA de 10,218 milliards FCFA (+10,3%) et un résultat net de 1,325 milliard FCFA (+17,1%), mais cette dynamique semble s'être essoufflée au T1 2026.</w:t>
      </w:r>
    </w:p>
    <w:p>
      <w:pPr>
        <w:spacing w:after="120" w:line="276" w:lineRule="auto"/>
      </w:pPr>
      <w:r>
        <w:t>**Évolution pluriannuelle** : Entre 2024 et 2025, le chiffre d'affaires a progressé de 6,67%, mais le résultat net a reculé de 12,1%, illustrant une érosion des marges. Les capitaux propres se sont renforcés de 31,8% à 5,512 milliards FCFA (selon le rapport 2025), et la trésorerie s'est améliorée à 4,035 milliards FCFA. La société a versé des dividendes massifs en 2024 (3,302 milliards FCFA), ce qui a réduit la trésorerie mais n'a pas compromis la solidité financière.</w:t>
      </w:r>
    </w:p>
    <w:p>
      <w:pPr>
        <w:spacing w:after="120" w:line="276" w:lineRule="auto"/>
      </w:pPr>
      <w:r>
        <w:t>**Conclusion fondamentale** : Servair Abidjan présente des fondamentaux solides (ROE élevé, endettement quasi nul, trésorerie confortable) mais fait face à des défis de rentabilité en 2026, comme en témoigne la chute du résultat net au T1 2026 (-35,6%). La croissance du chiffre d'affaires reste positive mais modérée, et la pression fiscale ainsi que les ajustements réglementaires pèsent sur les marges. La recommandation fondamentale est de **conserver** le titre, en surveillant l'évolution des marges et la capacité de l'entreprise à restaurer sa rentabilité dans un contexte de diversification vers les activités non aériennes.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apparaît exigeante : le PER de 27,2x et le P/B de 7,13x intègrent une prime de croissance qui contraste avec la dégradation récente des bénéfices (résultat net -35,6% au T1 2026), suggérant un risque de correction si les marges ne se redressent pas. Le comportement du cours sur 100 jours est mitigé : la hausse de +13,28% masque une chute de -7,42% en J-1 et une volatilité élevée (45,1%), avec une distribution asymétrique positivement (skewness 0,601) et un kurtosis proche de la normale, ce qui indique des mouvements amples mais pas de risque extrême de pics. Les signaux techniques sont divergents : les indicateurs de survente (RSI 17,2, stochastique 0,0, bandes de Bollinger sous la borne inférieure) plaident pour un rebond, mais le MACD baissier et le cours sous les moyennes mobiles (MM20 et MM50) maintiennent une pression vendeuse. Les fondamentaux restent solides (ROE 26,18%, endettement quasi nul, trésorerie de 4,035 milliards FCFA) mais la rentabilité se dégrade, comme l'illustre le T1 2026 (résultat net -35,6%), ce qui pourrait peser sur les perspectives à moyen terme. Les prédictions IA pour les 10 prochains jours (3388 → 3265 FCFA) anticipent une poursuite de la baisse, en ligne avec le momentum baissier du MACD et la cassure des supports techniques, mais en contradiction avec les signaux de survente qui pourraient déclencher un rebond technique. Sur la base de cette synthèse, la recommandation finale est **CONSERVER**, avec un niveau de confiance **Moyen** et un risque global **Élevé** en raison de la volatilité du titre et de la dégradation des marges. L'horizon d'investissement optimal est le **moyen terme (3-12 mois)**, le temps que la société stabilise sa rentabilité et que les ajustements réglementaires soient intégrés, tout en surveillant le support de 3 150 FCFA (mode) qui, s'il est cassé, pourrait entraîner une nouvelle jambe baissière.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46,451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+21.30%</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75.5%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17.2/100 → Faible</w:t>
      </w:r>
    </w:p>
    <w:p>
      <w:pPr>
        <w:spacing w:before="40" w:after="80"/>
      </w:pPr>
      <w:r>
        <w:rPr>
          <w:rFonts w:ascii="Courier New" w:hAnsi="Courier New"/>
          <w:color w:val="006400"/>
          <w:sz w:val="18"/>
        </w:rPr>
        <w:t>███░░░░░░░░░░░░░░░░░  17.2/100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μ=8,371 FCFA, σ=652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β≈0.78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β≈0.78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46,451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σ_j=4.75%/j (Modérée) — Vol. annualisée≈75.5%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spacing w:after="120" w:line="276" w:lineRule="auto"/>
      </w:pPr>
      <w:r>
        <w:t># RAPPORT D'ANALYSE FINANCIÈRE — ACTION BBGC (BRIDGE BANK GROUP COTE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BBGC s'établit à **440,00 milliards FCFA** pour un cours de **8 800 FCFA**, ce qui positionne le titre parmi les plus importantes capitalisations bancaires de la BRVM, reflétant la confiance du marché après une introduction en bourse réussie. Les ratios de valorisation boursière (BPA, PER, P/B, EV/EBITDA) ne sont pas calculables en l'état, les données financières structurées nécessaires (capitaux propres, résultat net annualisé, dette nette) n'étant pas disponibles dans la base. Toutefois, en extrapolant le résultat net du S1 2026 (**15,2 Mds FCFA**, soit ~30,4 Mds FCFA annualisés) sur la base d'environ 50 millions d'actions (20% du capital = 10 millions d'actions), le BPA annualisé estimé ressortirait autour de **600 FCFA**, impliquant un PER implicite d'environ **14,7x** — légèrement supérieur à la moyenne BRVM (8-12x), ce qui suggère une prime de croissance déjà intégrée dans le cours. Le P/B et l'EV/EBITDA ne peuvent être commentés faute de données de bilan structurées, mais l'absence de ces ratios invite à la prudence dans l'évaluation comparative.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BBGC affiche une **variation totale de +21,30%**, confirmant une tendance nettement haussière, bien que la dernière séance (J-1) enregistre un repli de **-2,22%**, signe d'une prise de bénéfices ponctuelle. Le range de trading s'étend de **7 255 FCFA** (plus bas) à **9 000 FCFA** (plus haut), soit une amplitude d'environ 24%, avec un cours actuel de **8 800 FCFA** proche du sommet de la fourchette. Les statistiques descriptives révèlent une **moyenne de 8 371 FCFA** inférieure à la **médiane de 8 588 FCFA**, écart qui traduit une asymétrie négative (skewness = **-0,602**), c'est-à-dire davantage de journées de cotation au-dessus de la moyenne — configuration typique d'un titre en phase d'appréciation. L'écart-type de **715 FCFA** avec un **coefficient de variation de 8,5%** indique une dispersion modérée du cours, tandis que le kurtosis négatif (**-1,151**, distribution platykurtique) signale une faible concentration des rendements et un risque de pics extrêmes limité. La **volatilité annualisée de 75,5%** classe le titre dans la catégorie **élevée (&gt;30%)**, ce qui est cohérent avec une valeur récemment introduite en bourse, dont la liquidité et la profondeur de marché restent en construction.</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disponibles (valeurs non calculées), ce qui empêche toute lecture de tendance par croisement. En l'absence de ces repères, la décision technique reste indéterminée et l'analyse doit s'appuyer sur les autres indicateurs ainsi que sur la tendance haussière observée sur 100 jours.</w:t>
      </w:r>
    </w:p>
    <w:p>
      <w:pPr>
        <w:spacing w:after="120" w:line="276" w:lineRule="auto"/>
      </w:pPr>
      <w:r>
        <w:t>**Bandes de Bollinger :** Les bornes supérieure et inférieure ne sont pas calculées, rendant impossible l'évaluation de la position relative du cours (8 800 FCFA) par rapport à ces bandes. Sans cet indicateur, on ne peut conclure ni à une situation de surachat ni à une compression de volatilité, et la décision reste neutre.</w:t>
      </w:r>
    </w:p>
    <w:p>
      <w:pPr>
        <w:spacing w:after="120" w:line="276" w:lineRule="auto"/>
      </w:pPr>
      <w:r>
        <w:t>**MACD :** Les valeurs MACD et Signal étant indisponibles, aucune divergence ni croisement ne peut être analysé. Le momentum de court terme ne peut donc être confirmé techniquement, ce qui limite la portée de toute décision basée sur cet indicateur.</w:t>
      </w:r>
    </w:p>
    <w:p>
      <w:pPr>
        <w:spacing w:after="120" w:line="276" w:lineRule="auto"/>
      </w:pPr>
      <w:r>
        <w:t>**RSI :** La valeur du RSI n'étant pas fournie, il est impossible de statuer sur une zone de surachat (&gt;70), de survente (&lt;30) ou neutre (30-70). La décision reste donc indéterminée, bien que la récente correction de -2,22% suggère un début de refroidissement après la hausse.</w:t>
      </w:r>
    </w:p>
    <w:p>
      <w:pPr>
        <w:spacing w:after="120" w:line="276" w:lineRule="auto"/>
      </w:pPr>
      <w:r>
        <w:t>**Stochastique :** Les %K et %D ne sont pas disponibles, empêchant l'analyse d'un éventuel croisement et la détection de retournements. La décision technique associée reste neutre.</w:t>
      </w:r>
    </w:p>
    <w:p>
      <w:pPr>
        <w:spacing w:after="120" w:line="276" w:lineRule="auto"/>
      </w:pPr>
      <w:r>
        <w:t>**Conclusion technique :** L'ensemble des indicateurs techniques (MM, Bollinger, MACD, RSI, Stochastique) étant indisponibles, aucune convergence ou divergence ne peut être établie. Seule la lecture du cours sur 100 jours permet de retenir une tendance haussière (+21,30%) avec un repli récent de -2,22%, suggérant une consolidation possible après le rallye. Dans ce contexte, l'analyse technique est **incomplète** et doit être complétée par une lecture fondamentale renforcée.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annuelles n'étant pas disponibles dans la base, l'analyse s'appuie sur les **rapports officiels du premier semestre 2026** (période close le 30 juin 2026), analysés respectivement par GEMINI-VISION et DEEPSEEK le 28 septembre 2026. Sur le **S1 2026**, BBGCI affiche un **Produit Net Bancaire (PNB) de 37,7 milliards FCFA**, en progression de **+25%** par rapport aux 30,2 Mds FCFA du S1 2025, portée par une forte dynamique commerciale : les **crédits à la clientèle** atteignent **823,9 Mds FCFA (+28%)** et les **dépôts clientèle** **1 318,3 Mds FCFA (+46%)**, la croissance des dépôts dépassant celle des crédits, ce qui renforce la liquidité et la base de ressources. Le **résultat net du S1 2026 s'élève à 15,2 milliards FCFA**, contre 10,4 Mds FCFA un an plus tôt, soit une **croissance spectaculaire de +46%**, avec une **marge nette de 40,3%** (contre 34,4% au S1 2025) et un **coefficient d'exploitation de 40,3%** (contre 43,3%), nettement inférieur au seuil de 60% qui caractérise une banque efficace — signe d'un effet ciseau positif (PNB +25% vs frais généraux +16%). Le **résultat brut d'exploitation** ressort à **22,5 Mds FCFA (+31%)** et le **coût du risque** à **4,3 Mds FCFA (+14%)**, progression contenue par rapport à la croissance des crédits (+28%), ce qui témoigne d'un portefeuille de qualité. Sur la base de ces résultats semestriels, **on estime** que l'exercice 2026 devrait afficher un résultat net annualisé proche de **30 Mds FCFA** et un PNB autour de **75 Mds FCFA**, confirmant une trajectoire de forte croissance. Les perspectives sont soutenues par l'**avis favorable de la Commission Bancaire pour une succursale au Burkina Faso (mai 2026)**, le développement du réseau (Riviera Palmeraie, Bassam, Korhogo) et la stratégie 2026-2030. Le principal risque identifié reste la hausse du coût du risque (+14%) dans un contexte de forte expansion des crédits, ainsi que les risques d'exécution liés à l'expansion régionale. **Recommandation fondamentale : solide, avec un profil de croissance attractif mais une valorisation à surveiller.**</w:t>
      </w:r>
    </w:p>
    <w:p>
      <w:pPr>
        <w:spacing w:after="120" w:line="276" w:lineRule="auto"/>
      </w:pPr>
      <w:r>
        <w:t>---</w:t>
      </w:r>
    </w:p>
    <w:p>
      <w:pPr>
        <w:spacing w:after="120" w:line="276" w:lineRule="auto"/>
      </w:pPr>
      <w:r>
        <w:t>## PARTIE 4 : CONCLUSION D'INVESTISSEMENT</w:t>
      </w:r>
    </w:p>
    <w:p>
      <w:pPr>
        <w:spacing w:after="120" w:line="276" w:lineRule="auto"/>
      </w:pPr>
      <w:r>
        <w:t>La **valorisation (Partie 0)** ne peut être formellement établie faute de ratios calculables, mais le PER implicite estimé (~14,7x) suggère une légère surévaluation par rapport à la moyenne BRVM (8-12x), ce qui intègre déjà une prime de croissance. Le **comportement du cours (Partie 1)** est favorable : tendance haussière de +21,30% sur 100 jours, skewness négatif indiquant une prédominance de journées au-dessus de la moyenne, et kurtosis platykurtique limitant le risque de pics extrêmes — mais la volatilité annualisée de 75,5% reste élevée et le repli de -2,22% en J-1 appelle à la prudence. Les **signaux techniques (Partie 2)** sont indisponibles, ce qui empêche toute confirmation ou infirmation de la tendance par les indicateurs classiques et constitue une limite majeure de l'analyse. Les **fondamentaux (Partie 3)** sont en revanche très solides : PNB +25%, résultat net +46%, coefficient d'exploitation de 40,3%, marge nette de 40,3%, et une OPV sursouscrite à 6 750 FCFA/action — autant d'éléments qui plaident pour une poursuite de la dynamique. Les **prédictions IA (J+1 à J+10)** n'étant pas disponibles, la trajectoire de court terme ne peut être confirmée ni contredite. Sur la base de cette synthèse, la recommandation finale est **ACHAT**, avec un **niveau de confiance Moyen** (en raison de l'absence d'indicateurs techniques et de ratios de valorisation complets) et un **niveau de risque Élevé** (volatilité de 75,5%, titre récemment introduit, liquidité en construction). L'**horizon d'investissement optimal** est le **moyen terme (3-12 mois)**, le temps que la société confirme ses fondamentaux au S2 2026 et que la liquidité du titre se renforce sur le marché.</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508.29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13,782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+68.42%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23.86% (Élevée) — μ=7,246 FCFA, σ=1,729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β=0.8165 (Neutre (suit le marché)) — Cov=0.000057, Var(idx)=0.000070, ρ=0.254,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13,782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2026-10-02</w:t>
            </w:r>
          </w:p>
        </w:tc>
        <w:tc>
          <w:tcPr>
            <w:tcW w:type="dxa" w:w="1440"/>
            <w:shd w:fill="C6EFCE" w:val="clear"/>
          </w:tcPr>
          <w:p>
            <w:r>
              <w:rPr>
                <w:sz w:val="17"/>
              </w:rPr>
              <w:t>8,449</w:t>
            </w:r>
          </w:p>
        </w:tc>
        <w:tc>
          <w:tcPr>
            <w:tcW w:type="dxa" w:w="1440"/>
            <w:shd w:fill="C6EFCE" w:val="clear"/>
          </w:tcPr>
          <w:p>
            <w:r>
              <w:rPr>
                <w:b/>
                <w:sz w:val="17"/>
              </w:rPr>
              <w:t>8,994</w:t>
            </w:r>
          </w:p>
        </w:tc>
        <w:tc>
          <w:tcPr>
            <w:tcW w:type="dxa" w:w="1440"/>
            <w:shd w:fill="C6EFCE" w:val="clear"/>
          </w:tcPr>
          <w:p>
            <w:r>
              <w:rPr>
                <w:sz w:val="17"/>
              </w:rPr>
              <w:t>9,538</w:t>
            </w:r>
          </w:p>
        </w:tc>
        <w:tc>
          <w:tcPr>
            <w:tcW w:type="dxa" w:w="1440"/>
            <w:shd w:fill="C6EFCE" w:val="clear"/>
          </w:tcPr>
          <w:p>
            <w:r>
              <w:rPr>
                <w:b/>
                <w:color w:val="008000"/>
                <w:sz w:val="17"/>
              </w:rPr>
              <w:t>+2.2%</w:t>
            </w:r>
          </w:p>
        </w:tc>
      </w:tr>
      <w:tr>
        <w:tc>
          <w:tcPr>
            <w:tcW w:type="dxa" w:w="1440"/>
            <w:shd w:fill="C6EFCE" w:val="clear"/>
          </w:tcPr>
          <w:p>
            <w:r>
              <w:rPr>
                <w:sz w:val="17"/>
              </w:rPr>
              <w:t>J+2  ⭐</w:t>
            </w:r>
          </w:p>
        </w:tc>
        <w:tc>
          <w:tcPr>
            <w:tcW w:type="dxa" w:w="1440"/>
            <w:shd w:fill="C6EFCE" w:val="clear"/>
          </w:tcPr>
          <w:p>
            <w:r>
              <w:rPr>
                <w:sz w:val="17"/>
              </w:rPr>
              <w:t>2026-10-05</w:t>
            </w:r>
          </w:p>
        </w:tc>
        <w:tc>
          <w:tcPr>
            <w:tcW w:type="dxa" w:w="1440"/>
            <w:shd w:fill="C6EFCE" w:val="clear"/>
          </w:tcPr>
          <w:p>
            <w:r>
              <w:rPr>
                <w:sz w:val="17"/>
              </w:rPr>
              <w:t>8,276</w:t>
            </w:r>
          </w:p>
        </w:tc>
        <w:tc>
          <w:tcPr>
            <w:tcW w:type="dxa" w:w="1440"/>
            <w:shd w:fill="C6EFCE" w:val="clear"/>
          </w:tcPr>
          <w:p>
            <w:r>
              <w:rPr>
                <w:b/>
                <w:sz w:val="17"/>
              </w:rPr>
              <w:t>9,051</w:t>
            </w:r>
          </w:p>
        </w:tc>
        <w:tc>
          <w:tcPr>
            <w:tcW w:type="dxa" w:w="1440"/>
            <w:shd w:fill="C6EFCE" w:val="clear"/>
          </w:tcPr>
          <w:p>
            <w:r>
              <w:rPr>
                <w:sz w:val="17"/>
              </w:rPr>
              <w:t>9,826</w:t>
            </w:r>
          </w:p>
        </w:tc>
        <w:tc>
          <w:tcPr>
            <w:tcW w:type="dxa" w:w="1440"/>
            <w:shd w:fill="C6EFCE" w:val="clear"/>
          </w:tcPr>
          <w:p>
            <w:r>
              <w:rPr>
                <w:b/>
                <w:color w:val="008000"/>
                <w:sz w:val="17"/>
              </w:rPr>
              <w:t>+2.9%</w:t>
            </w:r>
          </w:p>
        </w:tc>
      </w:tr>
      <w:tr>
        <w:tc>
          <w:tcPr>
            <w:tcW w:type="dxa" w:w="1440"/>
            <w:shd w:fill="C6EFCE" w:val="clear"/>
          </w:tcPr>
          <w:p>
            <w:r>
              <w:rPr>
                <w:sz w:val="17"/>
              </w:rPr>
              <w:t>J+3  ⭐</w:t>
            </w:r>
          </w:p>
        </w:tc>
        <w:tc>
          <w:tcPr>
            <w:tcW w:type="dxa" w:w="1440"/>
            <w:shd w:fill="C6EFCE" w:val="clear"/>
          </w:tcPr>
          <w:p>
            <w:r>
              <w:rPr>
                <w:sz w:val="17"/>
              </w:rPr>
              <w:t>2026-10-06</w:t>
            </w:r>
          </w:p>
        </w:tc>
        <w:tc>
          <w:tcPr>
            <w:tcW w:type="dxa" w:w="1440"/>
            <w:shd w:fill="C6EFCE" w:val="clear"/>
          </w:tcPr>
          <w:p>
            <w:r>
              <w:rPr>
                <w:sz w:val="17"/>
              </w:rPr>
              <w:t>8,154</w:t>
            </w:r>
          </w:p>
        </w:tc>
        <w:tc>
          <w:tcPr>
            <w:tcW w:type="dxa" w:w="1440"/>
            <w:shd w:fill="C6EFCE" w:val="clear"/>
          </w:tcPr>
          <w:p>
            <w:r>
              <w:rPr>
                <w:b/>
                <w:sz w:val="17"/>
              </w:rPr>
              <w:t>9,109</w:t>
            </w:r>
          </w:p>
        </w:tc>
        <w:tc>
          <w:tcPr>
            <w:tcW w:type="dxa" w:w="1440"/>
            <w:shd w:fill="C6EFCE" w:val="clear"/>
          </w:tcPr>
          <w:p>
            <w:r>
              <w:rPr>
                <w:sz w:val="17"/>
              </w:rPr>
              <w:t>10,064</w:t>
            </w:r>
          </w:p>
        </w:tc>
        <w:tc>
          <w:tcPr>
            <w:tcW w:type="dxa" w:w="1440"/>
            <w:shd w:fill="C6EFCE" w:val="clear"/>
          </w:tcPr>
          <w:p>
            <w:r>
              <w:rPr>
                <w:b/>
                <w:color w:val="008000"/>
                <w:sz w:val="17"/>
              </w:rPr>
              <w:t>+3.5%</w:t>
            </w:r>
          </w:p>
        </w:tc>
      </w:tr>
      <w:tr>
        <w:tc>
          <w:tcPr>
            <w:tcW w:type="dxa" w:w="1440"/>
            <w:shd w:fill="C6EFCE" w:val="clear"/>
          </w:tcPr>
          <w:p>
            <w:r>
              <w:rPr>
                <w:sz w:val="17"/>
              </w:rPr>
              <w:t>J+4  ⭐</w:t>
            </w:r>
          </w:p>
        </w:tc>
        <w:tc>
          <w:tcPr>
            <w:tcW w:type="dxa" w:w="1440"/>
            <w:shd w:fill="C6EFCE" w:val="clear"/>
          </w:tcPr>
          <w:p>
            <w:r>
              <w:rPr>
                <w:sz w:val="17"/>
              </w:rPr>
              <w:t>2026-10-07</w:t>
            </w:r>
          </w:p>
        </w:tc>
        <w:tc>
          <w:tcPr>
            <w:tcW w:type="dxa" w:w="1440"/>
            <w:shd w:fill="C6EFCE" w:val="clear"/>
          </w:tcPr>
          <w:p>
            <w:r>
              <w:rPr>
                <w:sz w:val="17"/>
              </w:rPr>
              <w:t>8,053</w:t>
            </w:r>
          </w:p>
        </w:tc>
        <w:tc>
          <w:tcPr>
            <w:tcW w:type="dxa" w:w="1440"/>
            <w:shd w:fill="C6EFCE" w:val="clear"/>
          </w:tcPr>
          <w:p>
            <w:r>
              <w:rPr>
                <w:b/>
                <w:sz w:val="17"/>
              </w:rPr>
              <w:t>9,162</w:t>
            </w:r>
          </w:p>
        </w:tc>
        <w:tc>
          <w:tcPr>
            <w:tcW w:type="dxa" w:w="1440"/>
            <w:shd w:fill="C6EFCE" w:val="clear"/>
          </w:tcPr>
          <w:p>
            <w:r>
              <w:rPr>
                <w:sz w:val="17"/>
              </w:rPr>
              <w:t>10,271</w:t>
            </w:r>
          </w:p>
        </w:tc>
        <w:tc>
          <w:tcPr>
            <w:tcW w:type="dxa" w:w="1440"/>
            <w:shd w:fill="C6EFCE" w:val="clear"/>
          </w:tcPr>
          <w:p>
            <w:r>
              <w:rPr>
                <w:b/>
                <w:color w:val="008000"/>
                <w:sz w:val="17"/>
              </w:rPr>
              <w:t>+4.1%</w:t>
            </w:r>
          </w:p>
        </w:tc>
      </w:tr>
      <w:tr>
        <w:tc>
          <w:tcPr>
            <w:tcW w:type="dxa" w:w="1440"/>
            <w:shd w:fill="C6EFCE" w:val="clear"/>
          </w:tcPr>
          <w:p>
            <w:r>
              <w:rPr>
                <w:sz w:val="17"/>
              </w:rPr>
              <w:t>J+5  ⭐</w:t>
            </w:r>
          </w:p>
        </w:tc>
        <w:tc>
          <w:tcPr>
            <w:tcW w:type="dxa" w:w="1440"/>
            <w:shd w:fill="C6EFCE" w:val="clear"/>
          </w:tcPr>
          <w:p>
            <w:r>
              <w:rPr>
                <w:sz w:val="17"/>
              </w:rPr>
              <w:t>2026-10-08</w:t>
            </w:r>
          </w:p>
        </w:tc>
        <w:tc>
          <w:tcPr>
            <w:tcW w:type="dxa" w:w="1440"/>
            <w:shd w:fill="C6EFCE" w:val="clear"/>
          </w:tcPr>
          <w:p>
            <w:r>
              <w:rPr>
                <w:sz w:val="17"/>
              </w:rPr>
              <w:t>7,963</w:t>
            </w:r>
          </w:p>
        </w:tc>
        <w:tc>
          <w:tcPr>
            <w:tcW w:type="dxa" w:w="1440"/>
            <w:shd w:fill="C6EFCE" w:val="clear"/>
          </w:tcPr>
          <w:p>
            <w:r>
              <w:rPr>
                <w:b/>
                <w:sz w:val="17"/>
              </w:rPr>
              <w:t>9,209</w:t>
            </w:r>
          </w:p>
        </w:tc>
        <w:tc>
          <w:tcPr>
            <w:tcW w:type="dxa" w:w="1440"/>
            <w:shd w:fill="C6EFCE" w:val="clear"/>
          </w:tcPr>
          <w:p>
            <w:r>
              <w:rPr>
                <w:sz w:val="17"/>
              </w:rPr>
              <w:t>10,455</w:t>
            </w:r>
          </w:p>
        </w:tc>
        <w:tc>
          <w:tcPr>
            <w:tcW w:type="dxa" w:w="1440"/>
            <w:shd w:fill="C6EFCE" w:val="clear"/>
          </w:tcPr>
          <w:p>
            <w:r>
              <w:rPr>
                <w:b/>
                <w:color w:val="008000"/>
                <w:sz w:val="17"/>
              </w:rPr>
              <w:t>+4.6%</w:t>
            </w:r>
          </w:p>
        </w:tc>
      </w:tr>
      <w:tr>
        <w:tc>
          <w:tcPr>
            <w:tcW w:type="dxa" w:w="1440"/>
            <w:shd w:fill="C6EFCE" w:val="clear"/>
          </w:tcPr>
          <w:p>
            <w:r>
              <w:rPr>
                <w:sz w:val="17"/>
              </w:rPr>
              <w:t>J+6  ⭐</w:t>
            </w:r>
          </w:p>
        </w:tc>
        <w:tc>
          <w:tcPr>
            <w:tcW w:type="dxa" w:w="1440"/>
            <w:shd w:fill="C6EFCE" w:val="clear"/>
          </w:tcPr>
          <w:p>
            <w:r>
              <w:rPr>
                <w:sz w:val="17"/>
              </w:rPr>
              <w:t>2026-10-09</w:t>
            </w:r>
          </w:p>
        </w:tc>
        <w:tc>
          <w:tcPr>
            <w:tcW w:type="dxa" w:w="1440"/>
            <w:shd w:fill="C6EFCE" w:val="clear"/>
          </w:tcPr>
          <w:p>
            <w:r>
              <w:rPr>
                <w:sz w:val="17"/>
              </w:rPr>
              <w:t>7,878</w:t>
            </w:r>
          </w:p>
        </w:tc>
        <w:tc>
          <w:tcPr>
            <w:tcW w:type="dxa" w:w="1440"/>
            <w:shd w:fill="C6EFCE" w:val="clear"/>
          </w:tcPr>
          <w:p>
            <w:r>
              <w:rPr>
                <w:b/>
                <w:sz w:val="17"/>
              </w:rPr>
              <w:t>9,250</w:t>
            </w:r>
          </w:p>
        </w:tc>
        <w:tc>
          <w:tcPr>
            <w:tcW w:type="dxa" w:w="1440"/>
            <w:shd w:fill="C6EFCE" w:val="clear"/>
          </w:tcPr>
          <w:p>
            <w:r>
              <w:rPr>
                <w:sz w:val="17"/>
              </w:rPr>
              <w:t>10,621</w:t>
            </w:r>
          </w:p>
        </w:tc>
        <w:tc>
          <w:tcPr>
            <w:tcW w:type="dxa" w:w="1440"/>
            <w:shd w:fill="C6EFCE" w:val="clear"/>
          </w:tcPr>
          <w:p>
            <w:r>
              <w:rPr>
                <w:b/>
                <w:color w:val="008000"/>
                <w:sz w:val="17"/>
              </w:rPr>
              <w:t>+5.1%</w:t>
            </w:r>
          </w:p>
        </w:tc>
      </w:tr>
      <w:tr>
        <w:tc>
          <w:tcPr>
            <w:tcW w:type="dxa" w:w="1440"/>
            <w:shd w:fill="C6EFCE" w:val="clear"/>
          </w:tcPr>
          <w:p>
            <w:r>
              <w:rPr>
                <w:sz w:val="17"/>
              </w:rPr>
              <w:t>J+7  ⭐</w:t>
            </w:r>
          </w:p>
        </w:tc>
        <w:tc>
          <w:tcPr>
            <w:tcW w:type="dxa" w:w="1440"/>
            <w:shd w:fill="C6EFCE" w:val="clear"/>
          </w:tcPr>
          <w:p>
            <w:r>
              <w:rPr>
                <w:sz w:val="17"/>
              </w:rPr>
              <w:t>2026-10-12</w:t>
            </w:r>
          </w:p>
        </w:tc>
        <w:tc>
          <w:tcPr>
            <w:tcW w:type="dxa" w:w="1440"/>
            <w:shd w:fill="C6EFCE" w:val="clear"/>
          </w:tcPr>
          <w:p>
            <w:r>
              <w:rPr>
                <w:sz w:val="17"/>
              </w:rPr>
              <w:t>7,798</w:t>
            </w:r>
          </w:p>
        </w:tc>
        <w:tc>
          <w:tcPr>
            <w:tcW w:type="dxa" w:w="1440"/>
            <w:shd w:fill="C6EFCE" w:val="clear"/>
          </w:tcPr>
          <w:p>
            <w:r>
              <w:rPr>
                <w:b/>
                <w:sz w:val="17"/>
              </w:rPr>
              <w:t>9,285</w:t>
            </w:r>
          </w:p>
        </w:tc>
        <w:tc>
          <w:tcPr>
            <w:tcW w:type="dxa" w:w="1440"/>
            <w:shd w:fill="C6EFCE" w:val="clear"/>
          </w:tcPr>
          <w:p>
            <w:r>
              <w:rPr>
                <w:sz w:val="17"/>
              </w:rPr>
              <w:t>10,772</w:t>
            </w:r>
          </w:p>
        </w:tc>
        <w:tc>
          <w:tcPr>
            <w:tcW w:type="dxa" w:w="1440"/>
            <w:shd w:fill="C6EFCE" w:val="clear"/>
          </w:tcPr>
          <w:p>
            <w:r>
              <w:rPr>
                <w:b/>
                <w:color w:val="008000"/>
                <w:sz w:val="17"/>
              </w:rPr>
              <w:t>+5.5%</w:t>
            </w:r>
          </w:p>
        </w:tc>
      </w:tr>
      <w:tr>
        <w:tc>
          <w:tcPr>
            <w:tcW w:type="dxa" w:w="1440"/>
            <w:shd w:fill="C6EFCE" w:val="clear"/>
          </w:tcPr>
          <w:p>
            <w:r>
              <w:rPr>
                <w:sz w:val="17"/>
              </w:rPr>
              <w:t>J+8  ⭐</w:t>
            </w:r>
          </w:p>
        </w:tc>
        <w:tc>
          <w:tcPr>
            <w:tcW w:type="dxa" w:w="1440"/>
            <w:shd w:fill="C6EFCE" w:val="clear"/>
          </w:tcPr>
          <w:p>
            <w:r>
              <w:rPr>
                <w:sz w:val="17"/>
              </w:rPr>
              <w:t>2026-10-13</w:t>
            </w:r>
          </w:p>
        </w:tc>
        <w:tc>
          <w:tcPr>
            <w:tcW w:type="dxa" w:w="1440"/>
            <w:shd w:fill="C6EFCE" w:val="clear"/>
          </w:tcPr>
          <w:p>
            <w:r>
              <w:rPr>
                <w:sz w:val="17"/>
              </w:rPr>
              <w:t>7,721</w:t>
            </w:r>
          </w:p>
        </w:tc>
        <w:tc>
          <w:tcPr>
            <w:tcW w:type="dxa" w:w="1440"/>
            <w:shd w:fill="C6EFCE" w:val="clear"/>
          </w:tcPr>
          <w:p>
            <w:r>
              <w:rPr>
                <w:b/>
                <w:sz w:val="17"/>
              </w:rPr>
              <w:t>9,316</w:t>
            </w:r>
          </w:p>
        </w:tc>
        <w:tc>
          <w:tcPr>
            <w:tcW w:type="dxa" w:w="1440"/>
            <w:shd w:fill="C6EFCE" w:val="clear"/>
          </w:tcPr>
          <w:p>
            <w:r>
              <w:rPr>
                <w:sz w:val="17"/>
              </w:rPr>
              <w:t>10,910</w:t>
            </w:r>
          </w:p>
        </w:tc>
        <w:tc>
          <w:tcPr>
            <w:tcW w:type="dxa" w:w="1440"/>
            <w:shd w:fill="C6EFCE" w:val="clear"/>
          </w:tcPr>
          <w:p>
            <w:r>
              <w:rPr>
                <w:b/>
                <w:color w:val="008000"/>
                <w:sz w:val="17"/>
              </w:rPr>
              <w:t>+5.9%</w:t>
            </w:r>
          </w:p>
        </w:tc>
      </w:tr>
      <w:tr>
        <w:tc>
          <w:tcPr>
            <w:tcW w:type="dxa" w:w="1440"/>
            <w:shd w:fill="C6EFCE" w:val="clear"/>
          </w:tcPr>
          <w:p>
            <w:r>
              <w:rPr>
                <w:sz w:val="17"/>
              </w:rPr>
              <w:t>J+9  ⭐</w:t>
            </w:r>
          </w:p>
        </w:tc>
        <w:tc>
          <w:tcPr>
            <w:tcW w:type="dxa" w:w="1440"/>
            <w:shd w:fill="C6EFCE" w:val="clear"/>
          </w:tcPr>
          <w:p>
            <w:r>
              <w:rPr>
                <w:sz w:val="17"/>
              </w:rPr>
              <w:t>2026-10-14</w:t>
            </w:r>
          </w:p>
        </w:tc>
        <w:tc>
          <w:tcPr>
            <w:tcW w:type="dxa" w:w="1440"/>
            <w:shd w:fill="C6EFCE" w:val="clear"/>
          </w:tcPr>
          <w:p>
            <w:r>
              <w:rPr>
                <w:sz w:val="17"/>
              </w:rPr>
              <w:t>7,645</w:t>
            </w:r>
          </w:p>
        </w:tc>
        <w:tc>
          <w:tcPr>
            <w:tcW w:type="dxa" w:w="1440"/>
            <w:shd w:fill="C6EFCE" w:val="clear"/>
          </w:tcPr>
          <w:p>
            <w:r>
              <w:rPr>
                <w:b/>
                <w:sz w:val="17"/>
              </w:rPr>
              <w:t>9,342</w:t>
            </w:r>
          </w:p>
        </w:tc>
        <w:tc>
          <w:tcPr>
            <w:tcW w:type="dxa" w:w="1440"/>
            <w:shd w:fill="C6EFCE" w:val="clear"/>
          </w:tcPr>
          <w:p>
            <w:r>
              <w:rPr>
                <w:sz w:val="17"/>
              </w:rPr>
              <w:t>11,038</w:t>
            </w:r>
          </w:p>
        </w:tc>
        <w:tc>
          <w:tcPr>
            <w:tcW w:type="dxa" w:w="1440"/>
            <w:shd w:fill="C6EFCE" w:val="clear"/>
          </w:tcPr>
          <w:p>
            <w:r>
              <w:rPr>
                <w:b/>
                <w:color w:val="008000"/>
                <w:sz w:val="17"/>
              </w:rPr>
              <w:t>+6.2%</w:t>
            </w:r>
          </w:p>
        </w:tc>
      </w:tr>
      <w:tr>
        <w:tc>
          <w:tcPr>
            <w:tcW w:type="dxa" w:w="1440"/>
            <w:shd w:fill="C6EFCE" w:val="clear"/>
          </w:tcPr>
          <w:p>
            <w:r>
              <w:rPr>
                <w:sz w:val="17"/>
              </w:rPr>
              <w:t>J+10  ⭐</w:t>
            </w:r>
          </w:p>
        </w:tc>
        <w:tc>
          <w:tcPr>
            <w:tcW w:type="dxa" w:w="1440"/>
            <w:shd w:fill="C6EFCE" w:val="clear"/>
          </w:tcPr>
          <w:p>
            <w:r>
              <w:rPr>
                <w:sz w:val="17"/>
              </w:rPr>
              <w:t>2026-10-15</w:t>
            </w:r>
          </w:p>
        </w:tc>
        <w:tc>
          <w:tcPr>
            <w:tcW w:type="dxa" w:w="1440"/>
            <w:shd w:fill="C6EFCE" w:val="clear"/>
          </w:tcPr>
          <w:p>
            <w:r>
              <w:rPr>
                <w:sz w:val="17"/>
              </w:rPr>
              <w:t>7,572</w:t>
            </w:r>
          </w:p>
        </w:tc>
        <w:tc>
          <w:tcPr>
            <w:tcW w:type="dxa" w:w="1440"/>
            <w:shd w:fill="C6EFCE" w:val="clear"/>
          </w:tcPr>
          <w:p>
            <w:r>
              <w:rPr>
                <w:b/>
                <w:sz w:val="17"/>
              </w:rPr>
              <w:t>9,364</w:t>
            </w:r>
          </w:p>
        </w:tc>
        <w:tc>
          <w:tcPr>
            <w:tcW w:type="dxa" w:w="1440"/>
            <w:shd w:fill="C6EFCE" w:val="clear"/>
          </w:tcPr>
          <w:p>
            <w:r>
              <w:rPr>
                <w:sz w:val="17"/>
              </w:rPr>
              <w:t>11,156</w:t>
            </w:r>
          </w:p>
        </w:tc>
        <w:tc>
          <w:tcPr>
            <w:tcW w:type="dxa" w:w="1440"/>
            <w:shd w:fill="C6EFCE" w:val="clear"/>
          </w:tcPr>
          <w:p>
            <w:r>
              <w:rPr>
                <w:b/>
                <w:color w:val="008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(BIIC Bénin)</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508,29 milliards FCFA, la BICB s'impose comme l'une des capitalisations les plus significatives de la cote BRVM, reflétant sa position de leader bancaire au Bénin. Le BPA de 627 FCFA/action signifie que chaque titre génère près de 627 FCFA de bénéfice net, ce qui, rapporté au cours actuel de 8 800 FCFA, donne un PER de 14,0x — soit une valorisation modérée mais légèrement supérieure à la moyenne du marché BRVM (8-12x), traduisant une prime de qualité accordée par les investisseurs. Le ratio P/B de 3,76x indique que le marché valorise la banque à près de quatre fois sa valeur comptable (135,1 Mds FCFA de capitaux propres), une prime de croissance significative qui se justifie par un ROE exceptionnel de 26,8%. En revanche, l'EV/EBITDA de 24,6x apparaît très exigeant (&gt;15x), signalant que la valeur d'entreprise intègre déjà une forte anticipation de croissance future — un niveau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**+68,42%**, passant d'un plus bas de 5 105 FCFA à un plus haut de 10 790 FCFA, avant de se replier légèrement à 8 800 FCFA (variation J-1 de -1,23%). Cette tendance nettement haussière s'inscrit dans un contexte de forte appétence pour les valeurs bancaires de la zone UEMOA, portée par des résultats sectoriels robustes. L'analyse statistique révèle une **moyenne de 7 246 FCFA** supérieure à la **médiane de 6 598 FCFA**, confirmant une distribution asymétrique à droite (tirée par les récents sommets), tandis que le **mode à 5 200 FCFA** rappelle le point d'ancrage initial de la période. L'**écart-type de 1 738 FCFA (CV=24,0%)** traduit une dispersion modérée à élevée du cours, cohérente avec la volatilité annualisée de **42,4%** — un niveau élevé (&gt;30%) qui positionne le titre parmi les plus volatils de la cote. Le **kurtosis de -1,016 (platykurtique)** indique une distribution aplatie avec une faible concentration des rendements, donc un risque de pics extrêmes relativement contenu, tandis que le **skewness de +0,482** confirme une asymétrie positive (les gains l'emportent sur les pertes en amplitude). Cette combinaison — forte tendance haussière, volatilité élevée mais distribution sans queues épaisses — suggère un titre dynamique mais dont les mouvements restent globalement ordonnés.</w:t>
      </w:r>
    </w:p>
    <w:p>
      <w:pPr>
        <w:spacing w:after="120" w:line="276" w:lineRule="auto"/>
      </w:pPr>
      <w:r>
        <w:t>---</w:t>
      </w:r>
    </w:p>
    <w:p>
      <w:pPr>
        <w:spacing w:after="120" w:line="276" w:lineRule="auto"/>
      </w:pPr>
      <w:r>
        <w:t>## PARTIE 2 : ANALYSE TECHNIQUE DÉTAILLÉE</w:t>
      </w:r>
    </w:p>
    <w:p>
      <w:pPr>
        <w:spacing w:after="120" w:line="276" w:lineRule="auto"/>
      </w:pPr>
      <w:r>
        <w:t>**Moyennes Mobiles** : La MM20 (9 675,75 FCFA) et la MM50 (8 756,40 FCFA) encadrent le cours actuel de 8 800 FCFA, qui évolue légèrement au-dessus de la MM50 mais nettement en dessous de la MM20. Cette configuration — cours coincé entre les deux moyennes — traduit une phase de consolidation après le rallye, avec un signal d'achat maintenu tant que la MM50 sert de support dynamique.</w:t>
      </w:r>
    </w:p>
    <w:p>
      <w:pPr>
        <w:spacing w:after="120" w:line="276" w:lineRule="auto"/>
      </w:pPr>
      <w:r>
        <w:t>**Bandes de Bollinger** : Le cours (8 800 FCFA) se situe dans la partie basse du canal, entre la borne inférieure (7 826,33 FCFA) et la borne supérieure (11 525,17 FCFA), avec une position légèrement sous le milieu de bande. La largeur importante des bandes confirme la volatilité élevée, et la décision "Neutre" reflète l'absence de signal directionnel fort — le titre n'est ni en survente ni en surachat selon ce seul indicateur.</w:t>
      </w:r>
    </w:p>
    <w:p>
      <w:pPr>
        <w:spacing w:after="120" w:line="276" w:lineRule="auto"/>
      </w:pPr>
      <w:r>
        <w:t>**MACD** : La valeur du MACD (-91,325) est nettement inférieure à son signal (123,295), générant une divergence baissière marquée qui justifie la décision "Vente". Ce croisement négatif indique un essoufflement du momentum haussier et suggère que la correction actuelle pourrait se poursuivre à court terme.</w:t>
      </w:r>
    </w:p>
    <w:p>
      <w:pPr>
        <w:spacing w:after="120" w:line="276" w:lineRule="auto"/>
      </w:pPr>
      <w:r>
        <w:t>**RSI** : À 28,46, le RSI se situe en zone de **survente** (&lt;30), ce qui déclenche un signal d'achat technique. Cette lecture contradictoire avec le MACD suggère que le titre, après sa chute récente, pourrait être proche d'un point de rebond technique, les vendeurs étant potentiellement épuisés.</w:t>
      </w:r>
    </w:p>
    <w:p>
      <w:pPr>
        <w:spacing w:after="120" w:line="276" w:lineRule="auto"/>
      </w:pPr>
      <w:r>
        <w:t>**Stochastique** : Avec %K à 33,46 et %D à 31,812, les deux lignes évoluent en zone basse sans croisement net, générant une décision "Neutre". Cette configuration confirme la phase de consolidation en cours, sans signal de retournement imminent ni de poursuite baissière.</w:t>
      </w:r>
    </w:p>
    <w:p>
      <w:pPr>
        <w:spacing w:after="120" w:line="276" w:lineRule="auto"/>
      </w:pPr>
      <w:r>
        <w:t>**Conclusion technique** : Les indicateurs présentent un tableau **divergent** — le MACD est baissier tandis que le RSI est en survente (signal d'achat), et les moyennes mobiles restent globalement haussières. Cette configuration typique d'une consolidation post-rallye suggère que le titre pourrait trouver un support autour de 8 500-8 800 FCFA avant de reprendre sa tendance haussière de fond. La prudence est de mise à court terme, mais le potentiel de rebond technique est réel.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(équivalent du chiffre d'affaires pour une banque) de **52,805 Mds FCFA**, en croissance de **+16,49%**, et un résultat net de **36,237 Mds FCFA**, soit une marge nette exceptionnelle de **68,62%**. Le ROE s'établit à **26,82%** (&gt;15% = excellent) et le ROA à **1,96%**, confirmant une rentabilité des fonds propres remarquable. Le **coefficient d'exploitation de 31,12%** (&lt;60% = banque très efficace) témoigne d'une discipline de coûts exemplaire, tandis que le **coût du risque de 9,61%** (provisions/charges financières) reste un point de vigilance modéré. La structure financière affiche une autonomie financière de 7,33% (faible, typique des banques) et un ratio crédits nets/dépôts de 97,5%, signalant une transformation tendue.</w:t>
      </w:r>
    </w:p>
    <w:p>
      <w:pPr>
        <w:spacing w:after="120" w:line="276" w:lineRule="auto"/>
      </w:pPr>
      <w:r>
        <w:t>**Estimations basées sur les rapports trimestriels** : Le rapport du **S1 2026 (publié le 22/09/2026)** révèle un PNB de **31,882 Mds FCFA (+19%)** et un résultat net de **18,368 Mds FCFA (+11%)**, avec un RBE bondissant de **+31% à 22,910 Mds FCFA** grâce à une baisse des charges d'exploitation (-4%). Cependant, le coût du risque est redevenu une charge de **-3,579 Mds FCFA** (contre un produit de +2,376 Mds au S1 2025), normalisant la comparaison. Le rapport **T1 2026 (publié en 2026)** confirme cette dynamique avec un PNB de **14,6 Mds FCFA (+35%)** et un résultat net de **8,0 Mds FCFA (+48%)**. Sur cette base, on estime que l'exercice 2026 devrait afficher un PNB annuel proche de **62-64 Mds FCFA** et un résultat net de **38-40 Mds FCFA**, en croissance de 5-10% par rapport à 2025.</w:t>
      </w:r>
    </w:p>
    <w:p>
      <w:pPr>
        <w:spacing w:after="120" w:line="276" w:lineRule="auto"/>
      </w:pPr>
      <w:r>
        <w:t>**Recommandation fondamentale** : La BICB présente des fondamentaux solides — rentabilité élevée, efficacité opérationnelle remarquable, position de leader au Bénin — mais fait face à des risques de crédit liés à sa croissance rapide des encours (+37,3% en 2025) et à une tension sur la liquidité (ratio crédits/dépôts à 97,5%). La normalisation du coût du risque en 2026 constitue le principal défi, mais la capacité de la banque à maintenir un RBE en forte hausse (+31% au S1 2026) démontre la solidité de son modèle. **Recommandation : CONSERVER avec biais positif**, en attendant la confirmation de la maîtrise du risque crédit sur le second semestre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le plan de la **valorisation (Partie 0)**, le PER de 14,0x et le P/B de 3,76x indiquent une légère surévaluation relative par rapport au marché BRVM, mais justifiée par un ROE de 26,8% et une position de leader — l'EV/EBITDA de 24,6x reste toutefois très exigeant. Le **comportement du cours (Partie 1)** affiche une tendance haussière spectaculaire (+68,42%) avec une volatilité élevée (42,4%) et une distribution asymétrique positive (skewness +0,482), mais le kurtosis négatif (-1,016) limite le risque de mouvements extrêmes. Les **signaux techniques (Partie 2)** sont divergents — MACD baissier vs RSI en survente — suggérant une consolidation avant reprise, avec un support potentiel autour de 8 500 FCFA. Les **fondamentaux (Partie 3)** demeurent solides : PNB 2025 de 52,8 Mds FCFA (+16,5%), résultat net de 36,2 Mds FCFA, ROE de 26,8%, et les rapports T1/S1 2026 confirment la dynamique (+35% et +19% de PNB respectivement). Les **prédictions IA (J+1 à J+10)** anticipent une trajectoire haussière modérée vers 9 209 FCFA (+4,6% depuis 8 800 FCFA), ce qui **confirme** les signaux de rebond technique et la solidité fondamentale.</w:t>
      </w:r>
    </w:p>
    <w:p>
      <w:pPr>
        <w:spacing w:after="120" w:line="276" w:lineRule="auto"/>
      </w:pPr>
      <w:r>
        <w:t>**Recommandation finale : ACHAT**</w:t>
      </w:r>
    </w:p>
    <w:p>
      <w:pPr>
        <w:spacing w:after="120" w:line="276" w:lineRule="auto"/>
      </w:pPr>
      <w:r>
        <w:t>Cette recommandation repose sur la **convergence** entre (1) des fondamentaux robustes confirmés par les rapports 2025 et 2026, (2) un RSI en survente signalant un point d'entrée attractif après la correction, (3) des prédictions IA haussières à court terme, et (4) une valorisation certes exigeante mais justifiée par la qualité des actifs. Le principal risque réside dans la normalisation du coût du risque et la tension sur la liquidité, qui pourraient peser sur la rentabilité si la qualité du crédit se dégradait. **Niveau de confiance : Moyen** (en raison de la divergence MACD/RSI et de la volatilité élevée). **Niveau de risque global : Moyen à Élevé** (volatilité de 42,4%, sensibilité au risque crédit). **Horizon d'investissement optimal : Moyen terme (3-12 mois)**, le temps que la banque démontre sa capacité à maintenir sa rentabilité tout en normalisant son coût du risque et en renforçant sa liquidité.</w:t>
      </w:r>
    </w:p>
    <w:p>
      <w:pPr>
        <w:spacing w:after="120" w:line="276" w:lineRule="auto"/>
      </w:pPr>
      <w:r>
        <w:t>---</w:t>
      </w:r>
    </w:p>
    <w:p>
      <w:pPr>
        <w:spacing w:after="120" w:line="276" w:lineRule="auto"/>
      </w:pPr>
      <w:r>
        <w:t>*Rapport généré le 1er octobre 2026 — Sources : BRVM, états financiers BIIC 2025 (IFRS), rapports trimestriels T1/S1 2026, analyses DeepSeek/Mistral, données de marché au 30/09/2026.*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677 titres</w:t>
            </w:r>
          </w:p>
        </w:tc>
        <w:tc>
          <w:tcPr>
            <w:tcW w:type="dxa" w:w="2268"/>
            <w:shd w:fill="FFF2CC" w:val="clear"/>
          </w:tcPr>
          <w:p>
            <w:r>
              <w:rPr>
                <w:b/>
                <w:color w:val="503200"/>
                <w:sz w:val="16"/>
              </w:rPr>
              <w:t xml:space="preserve">Cours actuel : </w:t>
            </w:r>
            <w:r>
              <w:rPr>
                <w:color w:val="000000"/>
                <w:sz w:val="17"/>
              </w:rPr>
              <w:t>33,800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26,000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6.50% (Moyenne) — μ=29,260 FCFA, σ=1,902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β=0.8586 (Neutre (suit le marché)) — Cov=0.000060, Var(idx)=0.000070, ρ=0.373,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677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2026-10-02</w:t>
            </w:r>
          </w:p>
        </w:tc>
        <w:tc>
          <w:tcPr>
            <w:tcW w:type="dxa" w:w="1440"/>
            <w:shd w:fill="FFDCE0" w:val="clear"/>
          </w:tcPr>
          <w:p>
            <w:r>
              <w:rPr>
                <w:sz w:val="17"/>
              </w:rPr>
              <w:t>31,130</w:t>
            </w:r>
          </w:p>
        </w:tc>
        <w:tc>
          <w:tcPr>
            <w:tcW w:type="dxa" w:w="1440"/>
            <w:shd w:fill="FFDCE0" w:val="clear"/>
          </w:tcPr>
          <w:p>
            <w:r>
              <w:rPr>
                <w:b/>
                <w:sz w:val="17"/>
              </w:rPr>
              <w:t>32,866</w:t>
            </w:r>
          </w:p>
        </w:tc>
        <w:tc>
          <w:tcPr>
            <w:tcW w:type="dxa" w:w="1440"/>
            <w:shd w:fill="FFDCE0" w:val="clear"/>
          </w:tcPr>
          <w:p>
            <w:r>
              <w:rPr>
                <w:sz w:val="17"/>
              </w:rPr>
              <w:t>34,601</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2026-10-05</w:t>
            </w:r>
          </w:p>
        </w:tc>
        <w:tc>
          <w:tcPr>
            <w:tcW w:type="dxa" w:w="1440"/>
            <w:shd w:fill="FFDCE0" w:val="clear"/>
          </w:tcPr>
          <w:p>
            <w:r>
              <w:rPr>
                <w:sz w:val="17"/>
              </w:rPr>
              <w:t>30,305</w:t>
            </w:r>
          </w:p>
        </w:tc>
        <w:tc>
          <w:tcPr>
            <w:tcW w:type="dxa" w:w="1440"/>
            <w:shd w:fill="FFDCE0" w:val="clear"/>
          </w:tcPr>
          <w:p>
            <w:r>
              <w:rPr>
                <w:b/>
                <w:sz w:val="17"/>
              </w:rPr>
              <w:t>32,751</w:t>
            </w:r>
          </w:p>
        </w:tc>
        <w:tc>
          <w:tcPr>
            <w:tcW w:type="dxa" w:w="1440"/>
            <w:shd w:fill="FFDCE0" w:val="clear"/>
          </w:tcPr>
          <w:p>
            <w:r>
              <w:rPr>
                <w:sz w:val="17"/>
              </w:rPr>
              <w:t>35,198</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2026-10-06</w:t>
            </w:r>
          </w:p>
        </w:tc>
        <w:tc>
          <w:tcPr>
            <w:tcW w:type="dxa" w:w="1440"/>
            <w:shd w:fill="FFDCE0" w:val="clear"/>
          </w:tcPr>
          <w:p>
            <w:r>
              <w:rPr>
                <w:sz w:val="17"/>
              </w:rPr>
              <w:t>29,625</w:t>
            </w:r>
          </w:p>
        </w:tc>
        <w:tc>
          <w:tcPr>
            <w:tcW w:type="dxa" w:w="1440"/>
            <w:shd w:fill="FFDCE0" w:val="clear"/>
          </w:tcPr>
          <w:p>
            <w:r>
              <w:rPr>
                <w:b/>
                <w:sz w:val="17"/>
              </w:rPr>
              <w:t>32,608</w:t>
            </w:r>
          </w:p>
        </w:tc>
        <w:tc>
          <w:tcPr>
            <w:tcW w:type="dxa" w:w="1440"/>
            <w:shd w:fill="FFDCE0" w:val="clear"/>
          </w:tcPr>
          <w:p>
            <w:r>
              <w:rPr>
                <w:sz w:val="17"/>
              </w:rPr>
              <w:t>35,591</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29,058</w:t>
            </w:r>
          </w:p>
        </w:tc>
        <w:tc>
          <w:tcPr>
            <w:tcW w:type="dxa" w:w="1440"/>
            <w:shd w:fill="FFDCE0" w:val="clear"/>
          </w:tcPr>
          <w:p>
            <w:r>
              <w:rPr>
                <w:b/>
                <w:sz w:val="17"/>
              </w:rPr>
              <w:t>32,490</w:t>
            </w:r>
          </w:p>
        </w:tc>
        <w:tc>
          <w:tcPr>
            <w:tcW w:type="dxa" w:w="1440"/>
            <w:shd w:fill="FFDCE0" w:val="clear"/>
          </w:tcPr>
          <w:p>
            <w:r>
              <w:rPr>
                <w:sz w:val="17"/>
              </w:rPr>
              <w:t>35,923</w:t>
            </w:r>
          </w:p>
        </w:tc>
        <w:tc>
          <w:tcPr>
            <w:tcW w:type="dxa" w:w="1440"/>
            <w:shd w:fill="FFDCE0" w:val="clear"/>
          </w:tcPr>
          <w:p>
            <w:r>
              <w:rPr>
                <w:b/>
                <w:color w:val="C00000"/>
                <w:sz w:val="17"/>
              </w:rPr>
              <w:t>-3.9%</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28,566</w:t>
            </w:r>
          </w:p>
        </w:tc>
        <w:tc>
          <w:tcPr>
            <w:tcW w:type="dxa" w:w="1440"/>
            <w:shd w:fill="FFDCE0" w:val="clear"/>
          </w:tcPr>
          <w:p>
            <w:r>
              <w:rPr>
                <w:b/>
                <w:sz w:val="17"/>
              </w:rPr>
              <w:t>32,392</w:t>
            </w:r>
          </w:p>
        </w:tc>
        <w:tc>
          <w:tcPr>
            <w:tcW w:type="dxa" w:w="1440"/>
            <w:shd w:fill="FFDCE0" w:val="clear"/>
          </w:tcPr>
          <w:p>
            <w:r>
              <w:rPr>
                <w:sz w:val="17"/>
              </w:rPr>
              <w:t>36,217</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28,121</w:t>
            </w:r>
          </w:p>
        </w:tc>
        <w:tc>
          <w:tcPr>
            <w:tcW w:type="dxa" w:w="1440"/>
            <w:shd w:fill="FFDCE0" w:val="clear"/>
          </w:tcPr>
          <w:p>
            <w:r>
              <w:rPr>
                <w:b/>
                <w:sz w:val="17"/>
              </w:rPr>
              <w:t>32,300</w:t>
            </w:r>
          </w:p>
        </w:tc>
        <w:tc>
          <w:tcPr>
            <w:tcW w:type="dxa" w:w="1440"/>
            <w:shd w:fill="FFDCE0" w:val="clear"/>
          </w:tcPr>
          <w:p>
            <w:r>
              <w:rPr>
                <w:sz w:val="17"/>
              </w:rPr>
              <w:t>36,479</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27,710</w:t>
            </w:r>
          </w:p>
        </w:tc>
        <w:tc>
          <w:tcPr>
            <w:tcW w:type="dxa" w:w="1440"/>
            <w:shd w:fill="FFDCE0" w:val="clear"/>
          </w:tcPr>
          <w:p>
            <w:r>
              <w:rPr>
                <w:b/>
                <w:sz w:val="17"/>
              </w:rPr>
              <w:t>32,212</w:t>
            </w:r>
          </w:p>
        </w:tc>
        <w:tc>
          <w:tcPr>
            <w:tcW w:type="dxa" w:w="1440"/>
            <w:shd w:fill="FFDCE0" w:val="clear"/>
          </w:tcPr>
          <w:p>
            <w:r>
              <w:rPr>
                <w:sz w:val="17"/>
              </w:rPr>
              <w:t>36,713</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27,327</w:t>
            </w:r>
          </w:p>
        </w:tc>
        <w:tc>
          <w:tcPr>
            <w:tcW w:type="dxa" w:w="1440"/>
            <w:shd w:fill="FFDCE0" w:val="clear"/>
          </w:tcPr>
          <w:p>
            <w:r>
              <w:rPr>
                <w:b/>
                <w:sz w:val="17"/>
              </w:rPr>
              <w:t>32,127</w:t>
            </w:r>
          </w:p>
        </w:tc>
        <w:tc>
          <w:tcPr>
            <w:tcW w:type="dxa" w:w="1440"/>
            <w:shd w:fill="FFDCE0" w:val="clear"/>
          </w:tcPr>
          <w:p>
            <w:r>
              <w:rPr>
                <w:sz w:val="17"/>
              </w:rPr>
              <w:t>36,926</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26,967</w:t>
            </w:r>
          </w:p>
        </w:tc>
        <w:tc>
          <w:tcPr>
            <w:tcW w:type="dxa" w:w="1440"/>
            <w:shd w:fill="FFDCE0" w:val="clear"/>
          </w:tcPr>
          <w:p>
            <w:r>
              <w:rPr>
                <w:b/>
                <w:sz w:val="17"/>
              </w:rPr>
              <w:t>32,045</w:t>
            </w:r>
          </w:p>
        </w:tc>
        <w:tc>
          <w:tcPr>
            <w:tcW w:type="dxa" w:w="1440"/>
            <w:shd w:fill="FFDCE0" w:val="clear"/>
          </w:tcPr>
          <w:p>
            <w:r>
              <w:rPr>
                <w:sz w:val="17"/>
              </w:rPr>
              <w:t>37,123</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26,627</w:t>
            </w:r>
          </w:p>
        </w:tc>
        <w:tc>
          <w:tcPr>
            <w:tcW w:type="dxa" w:w="1440"/>
            <w:shd w:fill="FFDCE0" w:val="clear"/>
          </w:tcPr>
          <w:p>
            <w:r>
              <w:rPr>
                <w:b/>
                <w:sz w:val="17"/>
              </w:rPr>
              <w:t>31,966</w:t>
            </w:r>
          </w:p>
        </w:tc>
        <w:tc>
          <w:tcPr>
            <w:tcW w:type="dxa" w:w="1440"/>
            <w:shd w:fill="FFDCE0" w:val="clear"/>
          </w:tcPr>
          <w:p>
            <w:r>
              <w:rPr>
                <w:sz w:val="17"/>
              </w:rPr>
              <w:t>37,305</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563,33 Mds FCFA, BICC s'impose comme l'une des plus importantes capitalisations du compartiment bancaire de la BRVM, ce qui en fait une valeur de référence pour les investisseurs institutionnels de la zone UEMOA. Le BPA de 2 191 FCFA/action traduit la contribution bénéficiaire de chaque titre, et rapporté au cours actuel de 33 800 FCFA, il ressort un PER de 15,4x — soit une prime notable par rapport à la moyenne du marché BRVM (généralement 8-12x), signalant que les investisseurs anticipent une poursuite de la croissance bénéficiaire. Le P/B de 4,67x confirme cette exigence : le marché valorise la banque à près de cinq fois ses fonds propres comptables (120,57 Mds FCFA), ce qui est élevé mais justifié par un ROE exceptionnel de 30,29%. Enfin, l'EV/EBITDA de 11,3x, situé dans la fourchette haute (10-15x), traduit une valorisation tendue de la capacité opérationnelle, cohérente avec la qualité de la franchise BNP Paribas en Côte d'Ivoire mais laissant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remarquable de +30,00%, avec une dernière séance (J-1) en hausse de +3,67%, portant le cours à 33 800 FCFA. Le range de trading s'est établi entre un plus bas de 26 000 FCFA et un plus haut de 34 895 FCFA, le cours actuel évoluant à seulement 3,1% de son sommet — signe d'une dynamique haussière intacte. La tendance générale est donc clairement haussière, soutenue par des publications financières solides. Les statistiques descriptives révèlent une moyenne de 29 260 FCFA supérieure à la médiane de 28 932 FCFA, avec un mode à 29 000 FCFA : cet écart modéré, combiné à un skewness positif de 1,013, indique une asymétrie à droite — davantage de séances ont été passées sous la moyenne, mais quelques fortes poussées ont tiré le cours vers le haut. L'écart-type de 1 912 FCFA (CV = 6,5%) traduit une dispersion relativement contenue du cours, tandis que le kurtosis de 0,634 (mésokurtique) suggère une distribution proche de la normale, sans risque excessif de pics extrêmes. La volatilité annualisée de 34,3% classe le titre dans la catégorie « élevée » (&gt;30%), ce qui est cohérent avec une valeur de croissance recherchée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(32 393,75 FCFA) et la MM50 (30 445,90 FCFA) se situent toutes deux sous le cours actuel (33 800 FCFA), et la MM20 est supérieure à la MM50 — configuration haussière classique en « golden cross ». Cette disposition confirme la décision d'**Achat**, le cours évoluant au-dessus de ses supports dynamiques.</w:t>
      </w:r>
    </w:p>
    <w:p>
      <w:pPr>
        <w:spacing w:after="120" w:line="276" w:lineRule="auto"/>
      </w:pPr>
      <w:r>
        <w:t>**Bandes de Bollinger** : Le cours (33 800 FCFA) évolue dans la partie haute du canal, entre la borne inférieure (29 769,94 FCFA) et la borne supérieure (35 017,56 FCFA), sans la franchir. Cette position proche de la borne haute, sans cassure, justifie la décision **Neutre** : le titre est fort mais n'est pas encore en zone de surachat extrême.</w:t>
      </w:r>
    </w:p>
    <w:p>
      <w:pPr>
        <w:spacing w:after="120" w:line="276" w:lineRule="auto"/>
      </w:pPr>
      <w:r>
        <w:t>**MACD** : Le MACD (679,14) est nettement supérieur à son signal (566,01), avec un histogramme positif — configuration haussière confirmée. Le momentum reste favorable, ce qui valide la décision d'**Achat**, même si l'écart commence à se réduire.</w:t>
      </w:r>
    </w:p>
    <w:p>
      <w:pPr>
        <w:spacing w:after="120" w:line="276" w:lineRule="auto"/>
      </w:pPr>
      <w:r>
        <w:t>**RSI** : À 52,81, le RSI se situe en zone neutre (30-70), sans signal de surachat ni de survente. Cette position médiane justifie la décision **Neutre** : le titre conserve du potentiel de hausse sans être techniquement épuisé.</w:t>
      </w:r>
    </w:p>
    <w:p>
      <w:pPr>
        <w:spacing w:after="120" w:line="276" w:lineRule="auto"/>
      </w:pPr>
      <w:r>
        <w:t>**Stochastique** : Le %K (78,74) et le %D (78,09) évoluent en zone haute, proches du seuil de surachat (80), sans croisement baissier pour l'instant. La décision **Neutre** reflète cette prudence : la dynamique reste positive mais approche d'une zone de vigilance.</w:t>
      </w:r>
    </w:p>
    <w:p>
      <w:pPr>
        <w:spacing w:after="120" w:line="276" w:lineRule="auto"/>
      </w:pPr>
      <w:r>
        <w:t>**Conclusion technique** : Les indicateurs convergent majoritairement vers un biais haussier (MM en golden cross, MACD positif), tempéré par des oscillateurs (RSI, Stochastique, Bollinger) en zone neutre-haute. Le titre bénéficie d'un momentum solide mais approche de niveaux où la prudence s'impose. La configuration globale reste favorable à un **achat sur repli** plutôt qu'à un achat en poursuite.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BICC (secteur BANQUE) affichent un Produit Net Bancaire (équivalent du chiffre d'affaires) de 79,563 Mds FCFA, en croissance de +16,90% sur un an, et un résultat net de 36,520 Mds FCFA, soit une marge nette remarquable de 45,90%. Le ROE ressort à 30,29% — très largement supérieur au seuil d'excellence de 15% — et le ROA à 3,24%, confirmant une rentabilité élevée des actifs. Le coefficient d'exploitation s'établit à 50,83%, sous le seuil de 60% qui définit une banque efficace, et même proche du niveau « excellent » (&lt;50%), témoignant d'une maîtrise rigoureuse des charges. Le coût du risque, à -12,15% des charges financières, reste contenu, signe d'un portefeuille de crédits de bonne qualité. La structure bilancielle est solide : 952,87 Mds FCFA de dépôts clientèle pour 524,44 Mds FCFA de créances clientèle, soit un ratio de transformation de 55%, et une autonomie financière de 10,71% — faible en apparence, mais normale pour une banque dont le modèle repose sur le levier des dépôts. Les rapports trimestriels confirment cette dynamique : au T1 2026 (rapport du 31 mars 2026), le PNB progresse de +17,01% à 21 214 MFCFA et le résultat net bondit de +29,66% à 10 387 MFCFA, avec une marge nette améliorée à 49,0% contre 44,2% un an plus tôt. Le rapport du 3ᵉ trimestre 2025 (30 septembre 2025) montrait déjà un résultat net cumulé de 27 402 MFCFA (+50,8%) et une marge nette de 47,1%, tandis que les états financiers 2024 (31 décembre 2024) affichaient un résultat net de 26 226 MFCFA (+57,1%) et un ROE de 28,6%. Sur la base du T1 2026 (+29,7% de résultat net), on peut estimer que l'exercice 2026 devrait dépasser les 40 Mds FCFA de résultat net, confirmant une trajectoire de croissance à deux chiffres. Le principal point de vigilance reste la baisse des crédits nets (-4,47% au T1 2026), due à des remboursements anticipés, qui pourrait peser sur la marge d'intermédiation future si elle se prolonge. **Conclusion fondamentale : solidité exceptionnelle, rentabilité parmi les meilleures de la BRVM, avec un risque modéré lié à la contraction du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affiche un PER de 15,4x et un P/B de 4,67x, soit une prime certaine par rapport au marché BRVM, mais justifiée par un ROE de 30,29% et une croissance bénéficiaire à deux chiffres — le titre n'est donc pas « bon marché » mais sa surévaluation apparente est compensée par la qualité des fondamentaux. Le comportement du cours (Partie 1) est nettement haussier (+30% sur 100 jours), avec une volatilité élevée (34,3%) mais une distribution proche de la normale (kurtosis 0,634) et une asymétrie positive (skewness 1,013) qui traduit un potentiel de poussées haussières — profil favorable pour un investisseur dynamique. Les signaux techniques (Partie 2) convergent majoritairement à l'achat (MM en golden cross, MACD positif), même si le RSI (52,8) et le Stochastique (78,7) invitent à la prudence à court terme. Les fondamentaux (Partie 3) sont excellents : PNB 2025 de 79,56 Mds FCFA (+16,9%), résultat net de 36,52 Mds FCFA, ROE de 30,29%, coefficient d'exploitation de 50,83%, et T1 2026 confirmant la tendance (+29,7% de résultat net). Les prédictions IA (J+1 à J+10) anticipent toutefois une légère consolidation vers 32 392 FCFA d'ici le 8 octobre 2026, ce qui contredit marginalement le momentum actuel mais reste cohérent avec une prise de profit après +30% de hausse. **Recommandation finale : ACHAT**, avec un niveau de confiance **Élevé** et un risque global **Moyen** (volatilité élevée + valorisation tendue). L'horizon optimal est le **moyen terme (3-12 mois)**, afin de laisser la croissance bénéficiaire 2026 se matérialiser et d'absorber une éventuelle consolidation technique à court terme. Les investisseurs déjà positionnés peuvent **conserver** en visant un objectif de cours supérieur à 36 000 FCFA, tandis que les nouveaux entrants privilégieront un point d'entrée sur repli vers 32 000-32 500 FCFA, en cohérence avec les prédictions IA.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3,043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+46.15%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11.11% (Moyenne) — μ=1,907 FCFA, σ=212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β=0.3011 (Défensif) — Cov=0.000021, Var(idx)=0.000070, ρ=0.075,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σ_j=3.35%/j (Modérée) — Vol. annualisée≈53.2%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1,764</w:t>
            </w:r>
          </w:p>
        </w:tc>
        <w:tc>
          <w:tcPr>
            <w:tcW w:type="dxa" w:w="1440"/>
            <w:shd w:fill="FAFAFA" w:val="clear"/>
          </w:tcPr>
          <w:p>
            <w:r>
              <w:rPr>
                <w:b/>
                <w:sz w:val="17"/>
              </w:rPr>
              <w:t>1,884</w:t>
            </w:r>
          </w:p>
        </w:tc>
        <w:tc>
          <w:tcPr>
            <w:tcW w:type="dxa" w:w="1440"/>
            <w:shd w:fill="FAFAFA" w:val="clear"/>
          </w:tcPr>
          <w:p>
            <w:r>
              <w:rPr>
                <w:sz w:val="17"/>
              </w:rPr>
              <w:t>2,004</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1,714</w:t>
            </w:r>
          </w:p>
        </w:tc>
        <w:tc>
          <w:tcPr>
            <w:tcW w:type="dxa" w:w="1440"/>
            <w:shd w:fill="FAFAFA" w:val="clear"/>
          </w:tcPr>
          <w:p>
            <w:r>
              <w:rPr>
                <w:b/>
                <w:sz w:val="17"/>
              </w:rPr>
              <w:t>1,884</w:t>
            </w:r>
          </w:p>
        </w:tc>
        <w:tc>
          <w:tcPr>
            <w:tcW w:type="dxa" w:w="1440"/>
            <w:shd w:fill="FAFAFA" w:val="clear"/>
          </w:tcPr>
          <w:p>
            <w:r>
              <w:rPr>
                <w:sz w:val="17"/>
              </w:rPr>
              <w:t>2,054</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1,676</w:t>
            </w:r>
          </w:p>
        </w:tc>
        <w:tc>
          <w:tcPr>
            <w:tcW w:type="dxa" w:w="1440"/>
            <w:shd w:fill="FAFAFA" w:val="clear"/>
          </w:tcPr>
          <w:p>
            <w:r>
              <w:rPr>
                <w:b/>
                <w:sz w:val="17"/>
              </w:rPr>
              <w:t>1,884</w:t>
            </w:r>
          </w:p>
        </w:tc>
        <w:tc>
          <w:tcPr>
            <w:tcW w:type="dxa" w:w="1440"/>
            <w:shd w:fill="FAFAFA" w:val="clear"/>
          </w:tcPr>
          <w:p>
            <w:r>
              <w:rPr>
                <w:sz w:val="17"/>
              </w:rPr>
              <w:t>2,092</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1,643</w:t>
            </w:r>
          </w:p>
        </w:tc>
        <w:tc>
          <w:tcPr>
            <w:tcW w:type="dxa" w:w="1440"/>
            <w:shd w:fill="FAFAFA" w:val="clear"/>
          </w:tcPr>
          <w:p>
            <w:r>
              <w:rPr>
                <w:b/>
                <w:sz w:val="17"/>
              </w:rPr>
              <w:t>1,884</w:t>
            </w:r>
          </w:p>
        </w:tc>
        <w:tc>
          <w:tcPr>
            <w:tcW w:type="dxa" w:w="1440"/>
            <w:shd w:fill="FAFAFA" w:val="clear"/>
          </w:tcPr>
          <w:p>
            <w:r>
              <w:rPr>
                <w:sz w:val="17"/>
              </w:rPr>
              <w:t>2,124</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1,614</w:t>
            </w:r>
          </w:p>
        </w:tc>
        <w:tc>
          <w:tcPr>
            <w:tcW w:type="dxa" w:w="1440"/>
            <w:shd w:fill="FAFAFA" w:val="clear"/>
          </w:tcPr>
          <w:p>
            <w:r>
              <w:rPr>
                <w:b/>
                <w:sz w:val="17"/>
              </w:rPr>
              <w:t>1,882</w:t>
            </w:r>
          </w:p>
        </w:tc>
        <w:tc>
          <w:tcPr>
            <w:tcW w:type="dxa" w:w="1440"/>
            <w:shd w:fill="FAFAFA" w:val="clear"/>
          </w:tcPr>
          <w:p>
            <w:r>
              <w:rPr>
                <w:sz w:val="17"/>
              </w:rPr>
              <w:t>2,151</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1,587</w:t>
            </w:r>
          </w:p>
        </w:tc>
        <w:tc>
          <w:tcPr>
            <w:tcW w:type="dxa" w:w="1440"/>
            <w:shd w:fill="FAFAFA" w:val="clear"/>
          </w:tcPr>
          <w:p>
            <w:r>
              <w:rPr>
                <w:b/>
                <w:sz w:val="17"/>
              </w:rPr>
              <w:t>1,881</w:t>
            </w:r>
          </w:p>
        </w:tc>
        <w:tc>
          <w:tcPr>
            <w:tcW w:type="dxa" w:w="1440"/>
            <w:shd w:fill="FAFAFA" w:val="clear"/>
          </w:tcPr>
          <w:p>
            <w:r>
              <w:rPr>
                <w:sz w:val="17"/>
              </w:rPr>
              <w:t>2,174</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1,562</w:t>
            </w:r>
          </w:p>
        </w:tc>
        <w:tc>
          <w:tcPr>
            <w:tcW w:type="dxa" w:w="1440"/>
            <w:shd w:fill="FAFAFA" w:val="clear"/>
          </w:tcPr>
          <w:p>
            <w:r>
              <w:rPr>
                <w:b/>
                <w:sz w:val="17"/>
              </w:rPr>
              <w:t>1,879</w:t>
            </w:r>
          </w:p>
        </w:tc>
        <w:tc>
          <w:tcPr>
            <w:tcW w:type="dxa" w:w="1440"/>
            <w:shd w:fill="FAFAFA" w:val="clear"/>
          </w:tcPr>
          <w:p>
            <w:r>
              <w:rPr>
                <w:sz w:val="17"/>
              </w:rPr>
              <w:t>2,196</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1,539</w:t>
            </w:r>
          </w:p>
        </w:tc>
        <w:tc>
          <w:tcPr>
            <w:tcW w:type="dxa" w:w="1440"/>
            <w:shd w:fill="FAFAFA" w:val="clear"/>
          </w:tcPr>
          <w:p>
            <w:r>
              <w:rPr>
                <w:b/>
                <w:sz w:val="17"/>
              </w:rPr>
              <w:t>1,877</w:t>
            </w:r>
          </w:p>
        </w:tc>
        <w:tc>
          <w:tcPr>
            <w:tcW w:type="dxa" w:w="1440"/>
            <w:shd w:fill="FAFAFA" w:val="clear"/>
          </w:tcPr>
          <w:p>
            <w:r>
              <w:rPr>
                <w:sz w:val="17"/>
              </w:rPr>
              <w:t>2,216</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1,517</w:t>
            </w:r>
          </w:p>
        </w:tc>
        <w:tc>
          <w:tcPr>
            <w:tcW w:type="dxa" w:w="1440"/>
            <w:shd w:fill="FAFAFA" w:val="clear"/>
          </w:tcPr>
          <w:p>
            <w:r>
              <w:rPr>
                <w:b/>
                <w:sz w:val="17"/>
              </w:rPr>
              <w:t>1,876</w:t>
            </w:r>
          </w:p>
        </w:tc>
        <w:tc>
          <w:tcPr>
            <w:tcW w:type="dxa" w:w="1440"/>
            <w:shd w:fill="FAFAFA" w:val="clear"/>
          </w:tcPr>
          <w:p>
            <w:r>
              <w:rPr>
                <w:sz w:val="17"/>
              </w:rPr>
              <w:t>2,234</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1,496</w:t>
            </w:r>
          </w:p>
        </w:tc>
        <w:tc>
          <w:tcPr>
            <w:tcW w:type="dxa" w:w="1440"/>
            <w:shd w:fill="FAFAFA" w:val="clear"/>
          </w:tcPr>
          <w:p>
            <w:r>
              <w:rPr>
                <w:b/>
                <w:sz w:val="17"/>
              </w:rPr>
              <w:t>1,874</w:t>
            </w:r>
          </w:p>
        </w:tc>
        <w:tc>
          <w:tcPr>
            <w:tcW w:type="dxa" w:w="1440"/>
            <w:shd w:fill="FAFAFA" w:val="clear"/>
          </w:tcPr>
          <w:p>
            <w:r>
              <w:rPr>
                <w:sz w:val="17"/>
              </w:rPr>
              <w:t>2,252</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*Analyste : Marché BRVM | Date de référence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12,59 milliards FCFA, BNBC se situe dans la catégorie des petites capitalisations de la BRVM, ce qui implique une liquidité limitée et une sensibilité accrue aux mouvements de faible volume. Le BPA de 3 FCFA/action traduit une rentabilité par titre quasi-symbolique, cohérente avec un résultat net 2025 de seulement 22,3 millions FCFA. Le PER de 563,9x est exceptionnellement élevé — très loin de la moyenne BRVM (8-12x) — signifiant que les investisseurs paient environ 564 fois les bénéfices actuels, ce qui n'est justifiable que par des anticipations de redressement massif ou relève d'une anomalie de marché. À l'inverse, le P/B de 0,71x indique que le marché valorise l'action à 29% en dessous de sa valeur comptable (capitaux propres de 17,77 Mds FCFA), signal potentiel de sous-évaluation patrimoniale. Enfin, l'EV/EBITDA de 23,9x, très supérieur au seuil de 15x, montre que la valeur d'entreprise intègre une prime spéculative déconnectée de la capacité opérationnelle actuelle (EBE de 2,009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progression spectaculaire de +46,15%, avec une dernière séance en hausse de +1,33%, portant le cours à 1 900 FCFA. Le titre a évolué dans un range très large de 1 300 FCFA (plus bas) à 2 400 FCFA (plus haut), soit une amplitude de 84,6% qui témoigne d'une forte nervosité. La tendance générale est haussière mais avec une correction récente depuis le sommet de 2 400 FCFA, le cours revenant sous sa moyenne (1 907 FCFA) et sa médiane (1 962 FCFA) — cet écart moyenne/médiane légèrement négatif (skewness de -0,485) indique une asymétrie à gauche, c'est-à-dire quelques séances de baisse marquée pesant sur la distribution. L'écart-type de 213 FCFA avec un coefficient de variation de 11,2% traduit une dispersion modérée autour de la moyenne, tandis que le kurtosis de 0,254 (mésokurtique) suggère une distribution proche de la normale, sans risque extrême de pics. La volatilité annualisée de 53,2% classe clairement BNBC dans la catégorie des titres à volatilité élevée (&gt;30%), ce qui impose une gestion stricte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(2 045,75 FCFA) et la MM50 (2 032,60 FCFA) se situent toutes deux au-dessus du cours actuel (1 900 FCFA), ce qui place le titre en position baissière de court terme. Cependant, la MM20 étant légèrement supérieure à la MM50, la configuration reste haussière de moyen terme, justifiant la décision "Achat" fournie, mais avec prudence car le cours doit reconquérir ces niveaux pour confirmer.</w:t>
      </w:r>
    </w:p>
    <w:p>
      <w:pPr>
        <w:spacing w:after="120" w:line="276" w:lineRule="auto"/>
      </w:pPr>
      <w:r>
        <w:t>**Bandes de Bollinger** : Le cours (1 900 FCFA) évolue dans la partie basse du canal, entre la borne inférieure (1 794,77 FCFA) et la borne supérieure (2 296,73 FCFA). La largeur des bandes reflète la forte volatilité récente, et la position du cours à mi-chemin justifie une décision "Neutre" — ni signal d'achat sur rebond, ni signal de vente sur cassure.</w:t>
      </w:r>
    </w:p>
    <w:p>
      <w:pPr>
        <w:spacing w:after="120" w:line="276" w:lineRule="auto"/>
      </w:pPr>
      <w:r>
        <w:t>**MACD** : La valeur du MACD (-45,841) est nettement inférieure à son signal (-24,069), confirmant un momentum baissier en cours. La divergence négative persistante justifie la décision "Vente" à court terme, le croisement des lignes n'ayant pas encore eu lieu pour inverser la tendance.</w:t>
      </w:r>
    </w:p>
    <w:p>
      <w:pPr>
        <w:spacing w:after="120" w:line="276" w:lineRule="auto"/>
      </w:pPr>
      <w:r>
        <w:t>**RSI** : À 36,095, le RSI se situe dans la zone neutre basse (30-70), sans atteindre la survente (&lt;30). Cela indique une pression vendeuse modérée mais pas de capitulation, justifiant une décision "Neutre" — le titre n'est ni survendu ni suracheté.</w:t>
      </w:r>
    </w:p>
    <w:p>
      <w:pPr>
        <w:spacing w:after="120" w:line="276" w:lineRule="auto"/>
      </w:pPr>
      <w:r>
        <w:t>**Stochastique** : Le %K (5,952) est très bas et inférieur au %D (10,215), signalant une position de survente extrême. Ce croisement en zone basse est généralement annonciateur d'un rebond technique, justifiant la décision "Achat" — c'est le seul indicateur clairement positif.</w:t>
      </w:r>
    </w:p>
    <w:p>
      <w:pPr>
        <w:spacing w:after="120" w:line="276" w:lineRule="auto"/>
      </w:pPr>
      <w:r>
        <w:t>**Conclusion technique** : Les indicateurs sont divergents — les moyennes mobiles et le MACD sont baissiers, le RSI est neutre, tandis que le stochastique et la décision MM suggèrent un achat. Cette configuration mixte plaide pour une prudence : le titre est en correction après une forte hausse, et seul un rebond technique à court terme est envisageable, sans confirmation d'une reprise durable tant que le cours reste sous les 2 000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BNBC a réalisé un chiffre d'affaires de 42,454 Mds FCFA, en recul de -6,31% par rapport à 2024 (45,312 Mds FCFA), avec un résultat net de seulement 22,318 millions FCFA (marge nette de 0,053%) et un ROE de 0,126% — des niveaux de rentabilité anémiques. Le ROA de 0,045% confirme l'inefficacité de l'utilisation des actifs (49,141 Mds FCFA). En tant qu'entreprise non bancaire, les délais d'exploitation sont préoccupants : délai clients de 104,40 jours (risque de trésorerie élevé), durée de stockage de 339,23 jours (immobilisation massive de capital) et BFR de 29,373 Mds FCFA, financé par une trésorerie nette fortement négative de -16,689 Mds FCFA. L'autonomie financière de 36,16% reste correcte, mais le ratio d'endettement de 105,48% et la capacité de remboursement de 19,17 années (dettes financières/CAF) sont des signaux d'alerte. Le rapport du T1 2026 (publié en 2026) indique un chiffre d'affaires stable à 11,194 Mds FCFA (-0,12%) mais un résultat net positif de 65,566 millions FCFA contre une perte de 16,147 millions au T1 2025 — une amélioration spectaculaire de +506% selon le rapport, bien que le résumé du document mentionne une perte de -65,566 millions (contradiction à noter). Sur la base de ce T1 2026, on peut estimer que l'exercice 2026 devrait bénéficier de l'intégration de la division Équipement (au 01/01/2026) et du nouveau showroom Technibat KM4, mais la montée en puissance reste incertaine. Les rapports antérieurs (T3 2025, S1 2025, T1 2025) montrent une dégradation continue : perte de -157,03 millions au T3 2025, perte de -139,57 millions au S1 2025, avant un retour à l'équilibre fragile. La recommandation fondamentale est donc **CONSERVER avec surveillance renforcée** : la société est solvable (solvabilité générale de 156,64%) mais sa rentabilité structurellement faible et sa trésorerie négative en font un investissement à haut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présente un paradoxe : un PER de 563,9x et un EV/EBITDA de 23,9x signalent une surévaluation manifeste par rapport aux bénéfices, mais un P/B de 0,71x suggère une sous-évaluation patrimoniale — le marché valorise l'action en dessous de ses fonds propres, ce qui limite le potentiel de baisse. Le comportement du cours sur 100 jours (+46,15%) est haussier mais la correction récente depuis 2 400 FCFA et la volatilité élevée (53,2%) avec un skewness négatif (-0,485) indiquent une prise de risque importante. Les signaux techniques sont divergents : le MACD est baissier, les moyennes mobiles sont au-dessus du cours, mais le stochastique en survente extrême (%K=5,95) et la décision MM "Achat" plaident pour un rebond technique à court terme. Les fondamentaux 2025 sont très faibles (marge nette de 0,053%, ROE de 0,126%, trésorerie nette de -16,689 Mds FCFA), mais le T1 2026 montre une amélioration du résultat net (65,566 millions FCFA selon le rapport) qui, si elle se confirme, pourrait justifier une revalorisation. Les prédictions IA (1 884 FCFA à J+1, 1 882 FCFA à J+10) anticipent une légère baisse de -0,95% sur 10 jours, confirmant la pression baissière de court terme sans effondrement. **Recommandation finale : CONSERVER** — la convergence entre un P/B sous-évalué, un stochastique en survente et une amélioration trimestrielle naissante justifie de ne pas vendre, mais l'absence de dividende, la rentabilité anémique et la trésorerie négative interdisent tout achat agressif. **Niveau de confiance : Moyen** (les données T1 2026 sont contradictoires dans les résumés). **Risque global : Élevé** (volatilité de 53,2%, trésorerie négative, dépendance aux nouvelles divisions). **Horizon optimal : Moyen terme (3-12 mois)**, le temps de vérifier la confirmation de la reprise au T2 2026 et la réduction des pertes opérationnelles.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380.67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5,731 titres</w:t>
            </w:r>
          </w:p>
        </w:tc>
        <w:tc>
          <w:tcPr>
            <w:tcW w:type="dxa" w:w="2268"/>
            <w:shd w:fill="FFF2CC" w:val="clear"/>
          </w:tcPr>
          <w:p>
            <w:r>
              <w:rPr>
                <w:b/>
                <w:color w:val="503200"/>
                <w:sz w:val="16"/>
              </w:rPr>
              <w:t xml:space="preserve">Cours actuel : </w:t>
            </w:r>
            <w:r>
              <w:rPr>
                <w:color w:val="000000"/>
                <w:sz w:val="17"/>
              </w:rPr>
              <w:t>9,385 FCFA</w:t>
            </w:r>
          </w:p>
          <w:p>
            <w:r>
              <w:rPr>
                <w:b/>
                <w:color w:val="503200"/>
                <w:sz w:val="16"/>
              </w:rPr>
              <w:t xml:space="preserve">Var. 100 jours : </w:t>
            </w:r>
            <w:r>
              <w:rPr>
                <w:b/>
                <w:color w:val="B40000"/>
                <w:sz w:val="17"/>
              </w:rPr>
              <w:t>-0.16%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μ=9,176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β=0.5660 (Défensif) — Cov=0.000039, Var(idx)=0.000070, ρ=0.270,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8,998</w:t>
            </w:r>
          </w:p>
        </w:tc>
        <w:tc>
          <w:tcPr>
            <w:tcW w:type="dxa" w:w="1440"/>
            <w:shd w:fill="FAFAFA" w:val="clear"/>
          </w:tcPr>
          <w:p>
            <w:r>
              <w:rPr>
                <w:b/>
                <w:sz w:val="17"/>
              </w:rPr>
              <w:t>9,376</w:t>
            </w:r>
          </w:p>
        </w:tc>
        <w:tc>
          <w:tcPr>
            <w:tcW w:type="dxa" w:w="1440"/>
            <w:shd w:fill="FAFAFA" w:val="clear"/>
          </w:tcPr>
          <w:p>
            <w:r>
              <w:rPr>
                <w:sz w:val="17"/>
              </w:rPr>
              <w:t>9,755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8,790</w:t>
            </w:r>
          </w:p>
        </w:tc>
        <w:tc>
          <w:tcPr>
            <w:tcW w:type="dxa" w:w="1440"/>
            <w:shd w:fill="FAFAFA" w:val="clear"/>
          </w:tcPr>
          <w:p>
            <w:r>
              <w:rPr>
                <w:b/>
                <w:sz w:val="17"/>
              </w:rPr>
              <w:t>9,322</w:t>
            </w:r>
          </w:p>
        </w:tc>
        <w:tc>
          <w:tcPr>
            <w:tcW w:type="dxa" w:w="1440"/>
            <w:shd w:fill="FAFAFA" w:val="clear"/>
          </w:tcPr>
          <w:p>
            <w:r>
              <w:rPr>
                <w:sz w:val="17"/>
              </w:rPr>
              <w:t>9,854</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8,646</w:t>
            </w:r>
          </w:p>
        </w:tc>
        <w:tc>
          <w:tcPr>
            <w:tcW w:type="dxa" w:w="1440"/>
            <w:shd w:fill="FAFAFA" w:val="clear"/>
          </w:tcPr>
          <w:p>
            <w:r>
              <w:rPr>
                <w:b/>
                <w:sz w:val="17"/>
              </w:rPr>
              <w:t>9,296</w:t>
            </w:r>
          </w:p>
        </w:tc>
        <w:tc>
          <w:tcPr>
            <w:tcW w:type="dxa" w:w="1440"/>
            <w:shd w:fill="FAFAFA" w:val="clear"/>
          </w:tcPr>
          <w:p>
            <w:r>
              <w:rPr>
                <w:sz w:val="17"/>
              </w:rPr>
              <w:t>9,946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8,526</w:t>
            </w:r>
          </w:p>
        </w:tc>
        <w:tc>
          <w:tcPr>
            <w:tcW w:type="dxa" w:w="1440"/>
            <w:shd w:fill="FAFAFA" w:val="clear"/>
          </w:tcPr>
          <w:p>
            <w:r>
              <w:rPr>
                <w:b/>
                <w:sz w:val="17"/>
              </w:rPr>
              <w:t>9,274</w:t>
            </w:r>
          </w:p>
        </w:tc>
        <w:tc>
          <w:tcPr>
            <w:tcW w:type="dxa" w:w="1440"/>
            <w:shd w:fill="FAFAFA" w:val="clear"/>
          </w:tcPr>
          <w:p>
            <w:r>
              <w:rPr>
                <w:sz w:val="17"/>
              </w:rPr>
              <w:t>10,023</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8,418</w:t>
            </w:r>
          </w:p>
        </w:tc>
        <w:tc>
          <w:tcPr>
            <w:tcW w:type="dxa" w:w="1440"/>
            <w:shd w:fill="FAFAFA" w:val="clear"/>
          </w:tcPr>
          <w:p>
            <w:r>
              <w:rPr>
                <w:b/>
                <w:sz w:val="17"/>
              </w:rPr>
              <w:t>9,253</w:t>
            </w:r>
          </w:p>
        </w:tc>
        <w:tc>
          <w:tcPr>
            <w:tcW w:type="dxa" w:w="1440"/>
            <w:shd w:fill="FAFAFA" w:val="clear"/>
          </w:tcPr>
          <w:p>
            <w:r>
              <w:rPr>
                <w:sz w:val="17"/>
              </w:rPr>
              <w:t>10,088</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8,320</w:t>
            </w:r>
          </w:p>
        </w:tc>
        <w:tc>
          <w:tcPr>
            <w:tcW w:type="dxa" w:w="1440"/>
            <w:shd w:fill="FAFAFA" w:val="clear"/>
          </w:tcPr>
          <w:p>
            <w:r>
              <w:rPr>
                <w:b/>
                <w:sz w:val="17"/>
              </w:rPr>
              <w:t>9,233</w:t>
            </w:r>
          </w:p>
        </w:tc>
        <w:tc>
          <w:tcPr>
            <w:tcW w:type="dxa" w:w="1440"/>
            <w:shd w:fill="FAFAFA" w:val="clear"/>
          </w:tcPr>
          <w:p>
            <w:r>
              <w:rPr>
                <w:sz w:val="17"/>
              </w:rPr>
              <w:t>10,146</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8,230</w:t>
            </w:r>
          </w:p>
        </w:tc>
        <w:tc>
          <w:tcPr>
            <w:tcW w:type="dxa" w:w="1440"/>
            <w:shd w:fill="FAFAFA" w:val="clear"/>
          </w:tcPr>
          <w:p>
            <w:r>
              <w:rPr>
                <w:b/>
                <w:sz w:val="17"/>
              </w:rPr>
              <w:t>9,214</w:t>
            </w:r>
          </w:p>
        </w:tc>
        <w:tc>
          <w:tcPr>
            <w:tcW w:type="dxa" w:w="1440"/>
            <w:shd w:fill="FAFAFA" w:val="clear"/>
          </w:tcPr>
          <w:p>
            <w:r>
              <w:rPr>
                <w:sz w:val="17"/>
              </w:rPr>
              <w:t>10,198</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8,146</w:t>
            </w:r>
          </w:p>
        </w:tc>
        <w:tc>
          <w:tcPr>
            <w:tcW w:type="dxa" w:w="1440"/>
            <w:shd w:fill="FFDCE0" w:val="clear"/>
          </w:tcPr>
          <w:p>
            <w:r>
              <w:rPr>
                <w:b/>
                <w:sz w:val="17"/>
              </w:rPr>
              <w:t>9,196</w:t>
            </w:r>
          </w:p>
        </w:tc>
        <w:tc>
          <w:tcPr>
            <w:tcW w:type="dxa" w:w="1440"/>
            <w:shd w:fill="FFDCE0" w:val="clear"/>
          </w:tcPr>
          <w:p>
            <w:r>
              <w:rPr>
                <w:sz w:val="17"/>
              </w:rPr>
              <w:t>10,245</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8,067</w:t>
            </w:r>
          </w:p>
        </w:tc>
        <w:tc>
          <w:tcPr>
            <w:tcW w:type="dxa" w:w="1440"/>
            <w:shd w:fill="FFDCE0" w:val="clear"/>
          </w:tcPr>
          <w:p>
            <w:r>
              <w:rPr>
                <w:b/>
                <w:sz w:val="17"/>
              </w:rPr>
              <w:t>9,178</w:t>
            </w:r>
          </w:p>
        </w:tc>
        <w:tc>
          <w:tcPr>
            <w:tcW w:type="dxa" w:w="1440"/>
            <w:shd w:fill="FFDCE0" w:val="clear"/>
          </w:tcPr>
          <w:p>
            <w:r>
              <w:rPr>
                <w:sz w:val="17"/>
              </w:rPr>
              <w:t>10,290</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7,993</w:t>
            </w:r>
          </w:p>
        </w:tc>
        <w:tc>
          <w:tcPr>
            <w:tcW w:type="dxa" w:w="1440"/>
            <w:shd w:fill="FFDCE0" w:val="clear"/>
          </w:tcPr>
          <w:p>
            <w:r>
              <w:rPr>
                <w:b/>
                <w:sz w:val="17"/>
              </w:rPr>
              <w:t>9,162</w:t>
            </w:r>
          </w:p>
        </w:tc>
        <w:tc>
          <w:tcPr>
            <w:tcW w:type="dxa" w:w="1440"/>
            <w:shd w:fill="FFDCE0" w:val="clear"/>
          </w:tcPr>
          <w:p>
            <w:r>
              <w:rPr>
                <w:sz w:val="17"/>
              </w:rPr>
              <w:t>10,331</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BANK OF AFRICA BÉNIN (BOAB)**</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380,67 milliards FCFA, BOAB figure parmi les valeurs bancaires de premier plan de la cote BRVM, ce qui lui confère une liquidité relative et une visibilité institutionnelle appréciables. Le BPA de 496 FCFA/action signifie que chaque titre génère près de 500 FCFA de bénéfice net, un niveau de rentabilité par action solide pour le secteur. Le PER de 18,9x traduit une valorisation nettement supérieure à la moyenne du marché BRVM (estimée entre 8 et 12x), ce qui indique que les investisseurs paient une prime significative pour les bénéfices de la banque — prime qui n'est justifiée que si la croissance future se confirme. Le P/B de 3,24x montre que le marché valorise BOAB à plus de trois fois sa valeur comptable, une prime de croissance typique des banques les plus rentables de la cote. Enfin, l'EV/EBITDA de 19,5x, très exigeant (seuil d'alerte &gt;15x), suggère que la valeur d'entreprise intègre déjà une bonne part d'optimisme opérationnel, ce qui limite la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affiche une variation quasi nulle de -0,16%, mais la dernière séance a enregistré une chute brutale de -3,74%, signalant une pression vendeuse récente qui contraste avec la stabilité de fond de la période. Le cours actuel de 9 385 FCFA se situe dans la partie médiane du range de trading, encadré par un plus haut de 10 350 FCFA et un plus bas de 8 520 FCFA, soit une amplitude d'environ 21% qui témoigne d'une réelle nervosité intra-période. La tendance générale peut être qualifiée de latérale à légèrement baissière, le titre ayant effacé ses gains après avoir testé les 10 350 FCFA. Les statistiques descriptives révèlent une moyenne (9 176 FCFA) supérieure à la médiane (8 950 FCFA) et au mode (8 700 FCFA), confirmant une asymétrie positive (skewness de 0,922) : le cours a passé plus de journées sous sa moyenne, avec quelques pics haussiers tirant la moyenne vers le haut. L'écart-type de 557 FCFA (CV de 6,1%) indique une dispersion modérée, tandis que le kurtosis de -0,564 (mésokurtique) suggère une distribution proche de la normale, sans risque excessif de pics extrêmes. La volatilité annualisée de 28,7% place le titre dans la catégorie modérée (15-30%), cohérente avec une valeur bancaire liquide mais sensible aux annonces de résultats.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(9 728,5 FCFA) et la MM50 (9 406,7 FCFA) se situent toutes deux au-dessus du cours actuel (9 385 FCFA), ce qui place le titre sous ses deux moyennes de référence — configuration théoriquement baissière à court terme. Toutefois, la MM20 reste supérieure à la MM50, signe que la tendance de fond demeure haussière, ce qui explique la décision « Achat » fournie : le repli actuel pourrait constituer un point d'entrée sur la tendance longue.</w:t>
      </w:r>
    </w:p>
    <w:p>
      <w:pPr>
        <w:spacing w:after="120" w:line="276" w:lineRule="auto"/>
      </w:pPr>
      <w:r>
        <w:t>**Bandes de Bollinger** : Le cours (9 385 FCFA) évolue dans la moitié inférieure du canal, entre la borne inférieure (8 700,83 FCFA) et la borne supérieure (10 756,17 FCFA), sans franchissement des extrêmes. Cette position médiane, couplée à un écart-type modéré, justifie la décision « Neutre » : ni signal de survente exploitable, ni signal de surachat.</w:t>
      </w:r>
    </w:p>
    <w:p>
      <w:pPr>
        <w:spacing w:after="120" w:line="276" w:lineRule="auto"/>
      </w:pPr>
      <w:r>
        <w:t>**MACD** : La valeur du MACD (-94,141) est nettement inférieure à sa ligne de signal (-36,899), avec un histogramme négatif et creusé, traduisant un momentum baissier en cours d'installation. Cette divergence négative justifie pleinement la décision « Vente » et suggère que la pression baissière n'est pas encore épuisée.</w:t>
      </w:r>
    </w:p>
    <w:p>
      <w:pPr>
        <w:spacing w:after="120" w:line="276" w:lineRule="auto"/>
      </w:pPr>
      <w:r>
        <w:t>**RSI** : À 38,221, le RSI se situe dans la zone neutre basse (30-70), sans atteindre le seuil de survente (&lt;30) qui déclencherait un signal d'achat technique. La décision « Neutre » est cohérente : le titre est affaibli mais pas encore survendu, laissant la porte ouverte à une poursuite de la baisse.</w:t>
      </w:r>
    </w:p>
    <w:p>
      <w:pPr>
        <w:spacing w:after="120" w:line="276" w:lineRule="auto"/>
      </w:pPr>
      <w:r>
        <w:t>**Stochastique** : Le %K (42,199) est inférieur au %D (51,182), configuration baissière indiquant que la dynamique de court terme reste orientée à la baisse. Les deux lignes évoluent en zone neutre, sans croisement haussier imminent, ce qui confirme la décision « Neutre ».</w:t>
      </w:r>
    </w:p>
    <w:p>
      <w:pPr>
        <w:spacing w:after="120" w:line="276" w:lineRule="auto"/>
      </w:pPr>
      <w:r>
        <w:t>**Conclusion technique** : Les indicateurs sont majoritairement baissiers à court terme (MACD en vente, cours sous les MM, stochastique négatif), mais tempérés par un RSI neutre et des bandes de Bollinger sans excès. La divergence entre la tendance de fond (MM20 &gt; MM50) et le momentum immédiat (MACD négatif) suggère une phase de correction au sein d'une tendance haussière plus large. La prudence est de mise tant que le MACD ne s'inverse pas et que le cours ne repasse pas au-dessus de la MM20 (9 728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un Produit Net Bancaire (PNB) de 51,274 milliards FCFA, en croissance de 10,20% sur un an, avec un résultat net de 20,107 milliards FCFA et une marge nette élevée de 39,22%. La rentabilité des fonds propres (ROE) s'établit à 17,11%, au-dessus du seuil d'excellence de 15%, tandis que le ROA de 2,08% reste conforme aux standards bancaires. Le coefficient d'exploitation de 49,53% — inférieur au seuil de 50% — témoigne d'une efficacité opérationnelle remarquable, la banque maîtrisant ses charges générales (22,704 milliards FCFA) malgré un PNB en hausse. Le coût du risque, à 22,50% des charges financières, demeure un point de vigilance : ce niveau élevé traduit un portefeuille de crédits exposé, ce que confirment les provisions de 4,686 milliards FCFA. La structure bilancielle montre une dépendance financière de 87,82% (autonomie financière de seulement 12,18%), typique du modèle bancaire, mais le ratio de solvabilité générale de 113,87% et la couverture des intérêts de 101,77% assurent une solvabilité correcte. Le rapport du T1 2026 (publié en 2026) confirme la dynamique : PNB en hausse de 11% à 12,329 milliards FCFA, commissions +18,9%, marge nette bancaire +8,5%, et dépôts clientèle en progression de 3,5% à 753,7 milliards FCFA — mais le résultat net ne progresse que de 1% à 4,502 milliards FCFA, signe d'une pression sur les coûts. Sur la base de ce T1 2026, on peut estimer que l'exercice 2026 devrait maintenir une croissance du PNB à deux chiffres, mais la faiblesse de la croissance du résultat net invite à la prudence sur la conversion en bénéfice. Les rapports antérieurs (T3 2025, S1 2025) confirment cette tendance : contraction du bilan (crédits -10%, dépôts -5% au T3 2025) compensée par une amélioration des marges et des commissions. La recommandation fondamentale est de **conserver** : la banque est solide, rentable et bien gérée, mais la valorisation exigeante et la pression sur le résultat net limitent le potentiel de re-rating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(PER 18,9x, P/B 3,24x, EV/EBITDA 19,5x) indique une surévaluation relative par rapport à la moyenne du marché BRVM, ce qui réduit la marge de sécurité pour l'investisseur. Le comportement du cours sur 100 jours est préoccupant à court terme : variation quasi nulle, chute de -3,74% en J-1, skewness positive (0,922) et cours sous les moyennes mobiles, bien que la volatilité modérée (28,7%) et le kurtosis mésokurtique (-0,564) limitent le risque de mouvements extrêmes. Les signaux techniques sont divergents : le MACD est clairement baissier (vente), le stochastique négatif, mais le RSI neutre (38,2) et la tendance de fond haussière (MM20 &gt; MM50) empêchent un signal de vente franc — la décision globale est « Neutre » à « Vente » à court terme. Les fondamentaux restent solides (ROE 17,1%, coefficient d'exploitation 49,5%, PNB +10,2% en 2025), mais le T1 2026 montre une croissance du résultat net limitée à +1%, ce qui tempère l'optimisme. Les prédictions IA (9 376 → 9 253 FCFA sur 10 jours) confirment la trajectoire baissière de court terme, en cohérence avec le MACD et la position sous les MM. **Recommandation finale : CONSERVER** — la convergence entre valorisation exigeante, technique baissière à court terme et fondamentaux solides mais en ralentissement ne justifie ni un achat agressif, ni une vente précipitée. Le niveau de confiance est **Moyen** (signaux divergents entre tendance de fond et momentum), le risque global est **Moyen** (volatilité modérée, mais valorisation tendue), et l'horizon optimal est le **moyen terme (3-12 mois)**, le temps que la correction technique s'achève et que les résultats 2026 confirment — ou infirment — la capacité de la banque à convertir sa croissance du PNB en bénéfice net.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6,415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+48.15%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18.03% (Élevée) — μ=6,840 FCFA, σ=1,234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β=0.7472 (Défensif) — Cov=0.000052, Var(idx)=0.000070, ρ=0.276,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7,568</w:t>
            </w:r>
          </w:p>
        </w:tc>
        <w:tc>
          <w:tcPr>
            <w:tcW w:type="dxa" w:w="1440"/>
            <w:shd w:fill="FAFAFA" w:val="clear"/>
          </w:tcPr>
          <w:p>
            <w:r>
              <w:rPr>
                <w:b/>
                <w:sz w:val="17"/>
              </w:rPr>
              <w:t>7,966</w:t>
            </w:r>
          </w:p>
        </w:tc>
        <w:tc>
          <w:tcPr>
            <w:tcW w:type="dxa" w:w="1440"/>
            <w:shd w:fill="FAFAFA" w:val="clear"/>
          </w:tcPr>
          <w:p>
            <w:r>
              <w:rPr>
                <w:sz w:val="17"/>
              </w:rPr>
              <w:t>8,364</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7,375</w:t>
            </w:r>
          </w:p>
        </w:tc>
        <w:tc>
          <w:tcPr>
            <w:tcW w:type="dxa" w:w="1440"/>
            <w:shd w:fill="FAFAFA" w:val="clear"/>
          </w:tcPr>
          <w:p>
            <w:r>
              <w:rPr>
                <w:b/>
                <w:sz w:val="17"/>
              </w:rPr>
              <w:t>7,935</w:t>
            </w:r>
          </w:p>
        </w:tc>
        <w:tc>
          <w:tcPr>
            <w:tcW w:type="dxa" w:w="1440"/>
            <w:shd w:fill="FAFAFA" w:val="clear"/>
          </w:tcPr>
          <w:p>
            <w:r>
              <w:rPr>
                <w:sz w:val="17"/>
              </w:rPr>
              <w:t>8,495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7,232</w:t>
            </w:r>
          </w:p>
        </w:tc>
        <w:tc>
          <w:tcPr>
            <w:tcW w:type="dxa" w:w="1440"/>
            <w:shd w:fill="FAFAFA" w:val="clear"/>
          </w:tcPr>
          <w:p>
            <w:r>
              <w:rPr>
                <w:b/>
                <w:sz w:val="17"/>
              </w:rPr>
              <w:t>7,916</w:t>
            </w:r>
          </w:p>
        </w:tc>
        <w:tc>
          <w:tcPr>
            <w:tcW w:type="dxa" w:w="1440"/>
            <w:shd w:fill="FAFAFA" w:val="clear"/>
          </w:tcPr>
          <w:p>
            <w:r>
              <w:rPr>
                <w:sz w:val="17"/>
              </w:rPr>
              <w:t>8,601</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7,110</w:t>
            </w:r>
          </w:p>
        </w:tc>
        <w:tc>
          <w:tcPr>
            <w:tcW w:type="dxa" w:w="1440"/>
            <w:shd w:fill="FAFAFA" w:val="clear"/>
          </w:tcPr>
          <w:p>
            <w:r>
              <w:rPr>
                <w:b/>
                <w:sz w:val="17"/>
              </w:rPr>
              <w:t>7,899</w:t>
            </w:r>
          </w:p>
        </w:tc>
        <w:tc>
          <w:tcPr>
            <w:tcW w:type="dxa" w:w="1440"/>
            <w:shd w:fill="FAFAFA" w:val="clear"/>
          </w:tcPr>
          <w:p>
            <w:r>
              <w:rPr>
                <w:sz w:val="17"/>
              </w:rPr>
              <w:t>8,687</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7,001</w:t>
            </w:r>
          </w:p>
        </w:tc>
        <w:tc>
          <w:tcPr>
            <w:tcW w:type="dxa" w:w="1440"/>
            <w:shd w:fill="FAFAFA" w:val="clear"/>
          </w:tcPr>
          <w:p>
            <w:r>
              <w:rPr>
                <w:b/>
                <w:sz w:val="17"/>
              </w:rPr>
              <w:t>7,881</w:t>
            </w:r>
          </w:p>
        </w:tc>
        <w:tc>
          <w:tcPr>
            <w:tcW w:type="dxa" w:w="1440"/>
            <w:shd w:fill="FAFAFA" w:val="clear"/>
          </w:tcPr>
          <w:p>
            <w:r>
              <w:rPr>
                <w:sz w:val="17"/>
              </w:rPr>
              <w:t>8,761</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6,902</w:t>
            </w:r>
          </w:p>
        </w:tc>
        <w:tc>
          <w:tcPr>
            <w:tcW w:type="dxa" w:w="1440"/>
            <w:shd w:fill="FAFAFA" w:val="clear"/>
          </w:tcPr>
          <w:p>
            <w:r>
              <w:rPr>
                <w:b/>
                <w:sz w:val="17"/>
              </w:rPr>
              <w:t>7,863</w:t>
            </w:r>
          </w:p>
        </w:tc>
        <w:tc>
          <w:tcPr>
            <w:tcW w:type="dxa" w:w="1440"/>
            <w:shd w:fill="FAFAFA" w:val="clear"/>
          </w:tcPr>
          <w:p>
            <w:r>
              <w:rPr>
                <w:sz w:val="17"/>
              </w:rPr>
              <w:t>8,825</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6,810</w:t>
            </w:r>
          </w:p>
        </w:tc>
        <w:tc>
          <w:tcPr>
            <w:tcW w:type="dxa" w:w="1440"/>
            <w:shd w:fill="FAFAFA" w:val="clear"/>
          </w:tcPr>
          <w:p>
            <w:r>
              <w:rPr>
                <w:b/>
                <w:sz w:val="17"/>
              </w:rPr>
              <w:t>7,846</w:t>
            </w:r>
          </w:p>
        </w:tc>
        <w:tc>
          <w:tcPr>
            <w:tcW w:type="dxa" w:w="1440"/>
            <w:shd w:fill="FAFAFA" w:val="clear"/>
          </w:tcPr>
          <w:p>
            <w:r>
              <w:rPr>
                <w:sz w:val="17"/>
              </w:rPr>
              <w:t>8,882</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6,723</w:t>
            </w:r>
          </w:p>
        </w:tc>
        <w:tc>
          <w:tcPr>
            <w:tcW w:type="dxa" w:w="1440"/>
            <w:shd w:fill="FFDCE0" w:val="clear"/>
          </w:tcPr>
          <w:p>
            <w:r>
              <w:rPr>
                <w:b/>
                <w:sz w:val="17"/>
              </w:rPr>
              <w:t>7,828</w:t>
            </w:r>
          </w:p>
        </w:tc>
        <w:tc>
          <w:tcPr>
            <w:tcW w:type="dxa" w:w="1440"/>
            <w:shd w:fill="FFDCE0" w:val="clear"/>
          </w:tcPr>
          <w:p>
            <w:r>
              <w:rPr>
                <w:sz w:val="17"/>
              </w:rPr>
              <w:t>8,934</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6,642</w:t>
            </w:r>
          </w:p>
        </w:tc>
        <w:tc>
          <w:tcPr>
            <w:tcW w:type="dxa" w:w="1440"/>
            <w:shd w:fill="FFDCE0" w:val="clear"/>
          </w:tcPr>
          <w:p>
            <w:r>
              <w:rPr>
                <w:b/>
                <w:sz w:val="17"/>
              </w:rPr>
              <w:t>7,812</w:t>
            </w:r>
          </w:p>
        </w:tc>
        <w:tc>
          <w:tcPr>
            <w:tcW w:type="dxa" w:w="1440"/>
            <w:shd w:fill="FFDCE0" w:val="clear"/>
          </w:tcPr>
          <w:p>
            <w:r>
              <w:rPr>
                <w:sz w:val="17"/>
              </w:rPr>
              <w:t>8,981</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6,565</w:t>
            </w:r>
          </w:p>
        </w:tc>
        <w:tc>
          <w:tcPr>
            <w:tcW w:type="dxa" w:w="1440"/>
            <w:shd w:fill="FFDCE0" w:val="clear"/>
          </w:tcPr>
          <w:p>
            <w:r>
              <w:rPr>
                <w:b/>
                <w:sz w:val="17"/>
              </w:rPr>
              <w:t>7,795</w:t>
            </w:r>
          </w:p>
        </w:tc>
        <w:tc>
          <w:tcPr>
            <w:tcW w:type="dxa" w:w="1440"/>
            <w:shd w:fill="FFDCE0" w:val="clear"/>
          </w:tcPr>
          <w:p>
            <w:r>
              <w:rPr>
                <w:sz w:val="17"/>
              </w:rPr>
              <w:t>9,026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352,00 Mds FCFA, BOABF s'impose comme une valeur de premier plan de la cote BRVM, figurant parmi les capitalisations les plus significatives du compartiment bancaire régional. Le BPA de 438 FCFA/action signifie que chaque titre génère près de 438 FCFA de bénéfice net, ce qui, rapporté au cours actuel de 8 000 FCFA, donne un PER de 18,3x — nettement supérieur à la moyenne du marché BRVM (généralement située entre 8x et 12x), traduisant une prime de qualité et de leadership sectoriel consentie par les investisseurs. Le ratio P/B de 2,78x confirme cette appréciation : le marché valorise BOABF à près de trois fois sa valeur comptable, ce qui est cohérent avec un ROE de 15,2% (largement supérieur au coût des fonds propres estimé). Enfin, l'EV/EBITDA de 8,1x se situe dans la fourchette raisonnable de 5-10x, indiquant que la valeur d'entreprise reste proportionnée à la capacité opérationnelle de la banque. Globalement, la valorisation apparaît **modérément tendue mais justifiée** par la rentabilité et la position de marché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 enregistré une progression spectaculaire de **+48,15%**, passant d'un plus bas de 5 300 FCFA à un plus haut de 9 090 FCFA, avant de se replier légèrement à 8 000 FCFA (soit -2,44% sur la dernière séance). Ce range de trading de 3 790 FCFA (soit un amplitude de 71,5% entre le plus bas et le plus haut) témoigne d'une dynamique haussière puissante, bien que le repli récent suggère une prise de bénéfices après le rallye. La moyenne du cours sur la période s'établit à 6 840 FCFA, tandis que la médiane et le mode se situent à 7 100 FCFA — l'écart entre moyenne et médiane (260 FCFA) indique une légère asymétrie positive, confirmée par un skewness de 0,341 (distribution quasi-symétrique avec une queue droite légèrement plus épaisse). L'écart-type de 1 240 FCFA, correspondant à un coefficient de variation (CV) de 18,1%, traduit une dispersion modérée du cours autour de sa moyenne. Le kurtosis de -1,218 (distribution platykurtique) signale une faible concentration des rendements autour de la moyenne, avec un risque de pics de volatilité moins prononcé qu'une distribution normale — un élément rassurant pour la gestion du risque. Enfin, la **volatilité annualisée de 35,8%** classe BOABF dans la catégorie des titres à volatilité **élevée** (&gt;30%), ce qui est cohérent avec le rallye récent et appelle à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(8 309,75 FCFA) et la MM50 (7 904,50 FCFA) se situent toutes deux au-dessus du cours actuel (8 000 FCFA) pour la MM20, mais en-dessous pour la MM50 — le cours évolue donc entre ces deux références. La MM20 &gt; MM50 confirme une configuration haussière de fond, mais le fait que le cours soit repassé sous la MM20 indique une perte de momentum à court terme. La décision technique affichée est **Achat**, soutenue par la structure haussière des moyennes, mais la prudence est de mise tant que le cours ne réintègre pas la MM20.</w:t>
      </w:r>
    </w:p>
    <w:p>
      <w:pPr>
        <w:spacing w:after="120" w:line="276" w:lineRule="auto"/>
      </w:pPr>
      <w:r>
        <w:t>**Bandes de Bollinger :** Le cours actuel (8 000 FCFA) se situe dans la partie médiane des bandes, entre la borne inférieure (7 258,60 FCFA) et la borne supérieure (9 360,90 FCFA), plus proche de la borne basse que de la borne haute. L'écart entre les bornes (2 102 FCFA) reflète une volatilité encore significative. La décision **Neutre** est cohérente : le titre n'est ni en situation de survente (proche borne basse) ni de surachat (proche borne haute), offrant un point d'entrée potentiel sans signal extrême.</w:t>
      </w:r>
    </w:p>
    <w:p>
      <w:pPr>
        <w:spacing w:after="120" w:line="276" w:lineRule="auto"/>
      </w:pPr>
      <w:r>
        <w:t>**MACD :** La valeur du MACD (-7,524) est nettement inférieure à son signal (42,087), générant une divergence baissière marquée. Cet écart négatif important indique que le momentum à court terme s'est retourné à la baisse, confirmant le repli récent du cours. La décision **Vente** reflète cette dynamique baissière de court terme, bien qu'elle contraste avec la tendance haussière de fond.</w:t>
      </w:r>
    </w:p>
    <w:p>
      <w:pPr>
        <w:spacing w:after="120" w:line="276" w:lineRule="auto"/>
      </w:pPr>
      <w:r>
        <w:t>**RSI :** À 32,384, le RSI se situe juste au-dessus du seuil de survente (30), dans une zone neutre basse. Cela signifie que le titre n'est pas encore techniquement en survente, mais s'en approche — un niveau qui pourrait attirer les acheteurs à la recherche de points d'entrée. La décision **Neutre** est appropriée : ni signal d'achat fort, ni signal de vente.</w:t>
      </w:r>
    </w:p>
    <w:p>
      <w:pPr>
        <w:spacing w:after="120" w:line="276" w:lineRule="auto"/>
      </w:pPr>
      <w:r>
        <w:t>**Stochastique :** Le %K (46,154) et le %D (48,666) évoluent tous deux en zone neutre, avec un %K légèrement inférieur au %D — configuration qui suggère une absence de croisement significatif et un momentum stable. La décision **Neutre** confirme l'absence de signal directionnel clair à court terme.</w:t>
      </w:r>
    </w:p>
    <w:p>
      <w:pPr>
        <w:spacing w:after="120" w:line="276" w:lineRule="auto"/>
      </w:pPr>
      <w:r>
        <w:t>**Conclusion technique :** Les indicateurs techniques présentent un tableau **mitigé**. La structure des moyennes mobiles reste haussière (MM20 &gt; MM50), mais le MACD génère un signal de vente préoccupant, tandis que le RSI et le stochastique restent neutres. Le cours évolue dans la partie basse des bandes de Bollinger, ce qui pourrait constituer une opportunité d'achat si le support de 7 900 FCFA (MM50) tient. **La convergence des signaux est faible** : la tendance de fond est haussière, mais le momentum court terme est baissier, suggérant une phase de consolidation avant une reprise potentielle.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 généré un Produit Net Bancaire (PNB) de 57 820 Mds FCFA, quasi stable par rapport à 2024 (+0,6%), avec un résultat net de 19 252 Mds FCFA, en recul de -14,1% sur un an. Cette baisse s'explique principalement par un coût du risque qui a quasiment doublé, passant de -4 303 à -8 355 Mds FCFA. Le ROE s'établit à 15,22% (excellent, &gt;15%) et le ROA à 1,68%, confirmant la solidité de la rentabilité malgré le choc des provisions. Le coefficient d'exploitation de 47,19% est excellent (&lt;50%), témoignant d'une grande efficacité opérationnelle. Le ratio dépôts/crédits s'élève à 877 822/474 064 = 1,85x, indiquant une surliquidité confortable mais une transformation crédit limitée. Les créances interbancaires (213 132 Mds FCFA) ont bondi par rapport à 2024, traduisant un repositionnement prudent vers des actifs moins risqués.</w:t>
      </w:r>
    </w:p>
    <w:p>
      <w:pPr>
        <w:spacing w:after="120" w:line="276" w:lineRule="auto"/>
      </w:pPr>
      <w:r>
        <w:t>**Estimations basées sur les rapports trimestriels :** Le rapport du **T1 2026 (31/03/2026)** révèle un PNB de 12 694 Mds FCFA (-10,75% sur un an) et un résultat net de 4 520 Mds FCFA (-12,99%), marquant un début d'année difficile. Cependant, le rapport du **S1 2026 (30/06/2026)** montre un redressement spectaculaire du résultat net à 10 770 Mds FCFA (+31,0% vs S1 2025), porté par une amélioration de 65,2% du coût du risque (-2 396 vs -6 876 Mds FCFA). Le PNB semestriel reste toutefois en repli de -5,2% (27 539 Mds FCFA), et le RBE recule de -12,1%. **On estime donc que l'exercice 2026 devrait afficher un résultat net en hausse significative** (potentiellement +20-30% vs 2025), grâce à la normalisation du coût du risque, mais avec un PNB toujours sous pression. Le rapport du **T1 2026** souligne une progression des dépôts clientèle de +6,3% (933 233 Mds FCFA) et un léger repli des crédits (-1,2%), confirmant la prudence de la banque dans un environnement sécuritaire difficile.</w:t>
      </w:r>
    </w:p>
    <w:p>
      <w:pPr>
        <w:spacing w:after="120" w:line="276" w:lineRule="auto"/>
      </w:pPr>
      <w:r>
        <w:t>**Recommandation fondamentale :** BOABF présente des **fondamentaux solides** (ROE &gt;15%, coefficient d'exploitation &lt;50%, surliquidité), mais fait face à des **défis structurels** : stagnation du PNB, contraction du portefeuille crédit, et dépendance à la normalisation du coût du risque pour soutenir la rentabilité. La recommandation des analystes est **CONSERVER**, avec un risque moyen lié à l'environnement sécuritaire burkinabè et à la faible dynamique commerciale.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apparaît **modérément tendue** (PER 18,3x &gt; moyenne BRVM, P/B 2,78x), mais justifiée par un ROE de 15,2% et une position de leader. Le comportement du cours (Partie 1) est **haussier sur 100 jours (+48,15%)**, avec une volatilité élevée (35,8%) et une distribution platykurtique (faible risque de pics extrêmes), mais le repli récent (-2,44%) et la position sous la MM20 suggèrent une consolidation. Les signaux techniques (Partie 2) sont **mitigés** : structure haussière de fond (MM20 &gt; MM50) mais momentum baissier (MACD négatif), avec un RSI proche de la survente (32,4) qui pourrait attirer des acheteurs. Les fondamentaux (Partie 3) sont **solides mais sous pression** : ROE excellent, coefficient d'exploitation remarquable, mais PNB stagnant et résultat net 2025 en recul de -14,1%, avec une amélioration attendue en 2026 grâce à la normalisation du coût du risque (S1 2026 : résultat net +31,0%). Les **prédictions IA** (J+1 à J+10) anticipent une **légère baisse** du cours de 8 000 à 7 881 FCFA (-1,5%), ce qui **contredit partiellement** les signaux haussiers de fond mais **confirme** le momentum baissier de court terme révélé par le MACD.</w:t>
      </w:r>
    </w:p>
    <w:p>
      <w:pPr>
        <w:spacing w:after="120" w:line="276" w:lineRule="auto"/>
      </w:pPr>
      <w:r>
        <w:t>**Recommandation finale : CONSERVER**</w:t>
      </w:r>
    </w:p>
    <w:p>
      <w:pPr>
        <w:spacing w:after="120" w:line="276" w:lineRule="auto"/>
      </w:pPr>
      <w:r>
        <w:t>Cette recommandation reflète la **divergence** entre des fondamentaux solides (ROE &gt;15%, efficacité opérationnelle) et une valorisation tendue (PER 18,3x), un momentum technique baissier à court terme (MACD, prédictions IA), et un environnement opérationnel difficile (stagnation du PNB, risque sécuritaire). Le titre offre un potentiel de reprise si le support de 7 900 FCFA (MM50) tient et si la normalisation du coût du risque se confirme en 2026, mais les investisseurs devront faire preuve de patience.</w:t>
      </w:r>
    </w:p>
    <w:p>
      <w:pPr>
        <w:spacing w:after="120" w:line="276" w:lineRule="auto"/>
      </w:pPr>
      <w:r>
        <w:t>- **Niveau de confiance : Moyen** (les signaux techniques et fondamentaux ne convergent pas clairement)</w:t>
        <w:br/>
        <w:t>- **Niveau de risque global : Moyen à Élevé** (volatilité 35,8%, exposition au risque sécuritaire burkinabè, dépendance à la normalisation du coût du risque)</w:t>
        <w:br/>
        <w:t>- **Horizon d'investissement optimal : Moyen terme (3-12 mois)** — le temps que la normalisation du coût du risque se matérialise dans les résultats et que la dynamique commerciale (crédits) se redresse.</w:t>
      </w:r>
    </w:p>
    <w:p>
      <w:pPr>
        <w:spacing w:after="120" w:line="276" w:lineRule="auto"/>
      </w:pPr>
      <w:r>
        <w:t>---</w:t>
      </w:r>
    </w:p>
    <w:p>
      <w:pPr>
        <w:spacing w:after="120" w:line="276" w:lineRule="auto"/>
      </w:pPr>
      <w:r>
        <w:t>*Rapport généré le 1er octobre 2026 — Sources : BRVM, états financiers BOABF 2025, rapports trimestriels T1/S1 2026, calendrier dividendes BRVM 2025.*</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459.60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10,855 titres</w:t>
            </w:r>
          </w:p>
        </w:tc>
        <w:tc>
          <w:tcPr>
            <w:tcW w:type="dxa" w:w="2268"/>
            <w:shd w:fill="FFF2CC" w:val="clear"/>
          </w:tcPr>
          <w:p>
            <w:r>
              <w:rPr>
                <w:b/>
                <w:color w:val="503200"/>
                <w:sz w:val="16"/>
              </w:rPr>
              <w:t xml:space="preserve">Cours actuel : </w:t>
            </w:r>
            <w:r>
              <w:rPr>
                <w:color w:val="000000"/>
                <w:sz w:val="17"/>
              </w:rPr>
              <w:t>11,490 FCFA</w:t>
            </w:r>
          </w:p>
          <w:p>
            <w:r>
              <w:rPr>
                <w:b/>
                <w:color w:val="503200"/>
                <w:sz w:val="16"/>
              </w:rPr>
              <w:t xml:space="preserve">Var. 100 jours : </w:t>
            </w:r>
            <w:r>
              <w:rPr>
                <w:b/>
                <w:color w:val="007800"/>
                <w:sz w:val="17"/>
              </w:rPr>
              <w:t>+31.99%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14.86% (Moyenne) — μ=10,530 FCFA, σ=1,565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β=0.7388 (Défensif) — Cov=0.000051, Var(idx)=0.000070, ρ=0.347,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11,169</w:t>
            </w:r>
          </w:p>
        </w:tc>
        <w:tc>
          <w:tcPr>
            <w:tcW w:type="dxa" w:w="1440"/>
            <w:shd w:fill="FAFAFA" w:val="clear"/>
          </w:tcPr>
          <w:p>
            <w:r>
              <w:rPr>
                <w:b/>
                <w:sz w:val="17"/>
              </w:rPr>
              <w:t>11,504</w:t>
            </w:r>
          </w:p>
        </w:tc>
        <w:tc>
          <w:tcPr>
            <w:tcW w:type="dxa" w:w="1440"/>
            <w:shd w:fill="FAFAFA" w:val="clear"/>
          </w:tcPr>
          <w:p>
            <w:r>
              <w:rPr>
                <w:sz w:val="17"/>
              </w:rPr>
              <w:t>11,839</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11,035</w:t>
            </w:r>
          </w:p>
        </w:tc>
        <w:tc>
          <w:tcPr>
            <w:tcW w:type="dxa" w:w="1440"/>
            <w:shd w:fill="FAFAFA" w:val="clear"/>
          </w:tcPr>
          <w:p>
            <w:r>
              <w:rPr>
                <w:b/>
                <w:sz w:val="17"/>
              </w:rPr>
              <w:t>11,509</w:t>
            </w:r>
          </w:p>
        </w:tc>
        <w:tc>
          <w:tcPr>
            <w:tcW w:type="dxa" w:w="1440"/>
            <w:shd w:fill="FAFAFA" w:val="clear"/>
          </w:tcPr>
          <w:p>
            <w:r>
              <w:rPr>
                <w:sz w:val="17"/>
              </w:rPr>
              <w:t>11,982</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10,937</w:t>
            </w:r>
          </w:p>
        </w:tc>
        <w:tc>
          <w:tcPr>
            <w:tcW w:type="dxa" w:w="1440"/>
            <w:shd w:fill="FAFAFA" w:val="clear"/>
          </w:tcPr>
          <w:p>
            <w:r>
              <w:rPr>
                <w:b/>
                <w:sz w:val="17"/>
              </w:rPr>
              <w:t>11,518</w:t>
            </w:r>
          </w:p>
        </w:tc>
        <w:tc>
          <w:tcPr>
            <w:tcW w:type="dxa" w:w="1440"/>
            <w:shd w:fill="FAFAFA" w:val="clear"/>
          </w:tcPr>
          <w:p>
            <w:r>
              <w:rPr>
                <w:sz w:val="17"/>
              </w:rPr>
              <w:t>12,099</w:t>
            </w:r>
          </w:p>
        </w:tc>
        <w:tc>
          <w:tcPr>
            <w:tcW w:type="dxa" w:w="1440"/>
            <w:shd w:fill="FAFAFA" w:val="clear"/>
          </w:tcPr>
          <w:p>
            <w:r>
              <w:rPr>
                <w:b/>
                <w:color w:val="008000"/>
                <w:sz w:val="17"/>
              </w:rPr>
              <w:t>+0.2%</w:t>
            </w:r>
          </w:p>
        </w:tc>
      </w:tr>
      <w:tr>
        <w:tc>
          <w:tcPr>
            <w:tcW w:type="dxa" w:w="1440"/>
            <w:shd w:fill="FAFAFA" w:val="clear"/>
          </w:tcPr>
          <w:p>
            <w:r>
              <w:rPr>
                <w:sz w:val="17"/>
              </w:rPr>
              <w:t>J+4  Moyenne</w:t>
            </w:r>
          </w:p>
        </w:tc>
        <w:tc>
          <w:tcPr>
            <w:tcW w:type="dxa" w:w="1440"/>
            <w:shd w:fill="FAFAFA" w:val="clear"/>
          </w:tcPr>
          <w:p>
            <w:r>
              <w:rPr>
                <w:sz w:val="17"/>
              </w:rPr>
              <w:t>2026-10-07</w:t>
            </w:r>
          </w:p>
        </w:tc>
        <w:tc>
          <w:tcPr>
            <w:tcW w:type="dxa" w:w="1440"/>
            <w:shd w:fill="FAFAFA" w:val="clear"/>
          </w:tcPr>
          <w:p>
            <w:r>
              <w:rPr>
                <w:sz w:val="17"/>
              </w:rPr>
              <w:t>10,856</w:t>
            </w:r>
          </w:p>
        </w:tc>
        <w:tc>
          <w:tcPr>
            <w:tcW w:type="dxa" w:w="1440"/>
            <w:shd w:fill="FAFAFA" w:val="clear"/>
          </w:tcPr>
          <w:p>
            <w:r>
              <w:rPr>
                <w:b/>
                <w:sz w:val="17"/>
              </w:rPr>
              <w:t>11,528</w:t>
            </w:r>
          </w:p>
        </w:tc>
        <w:tc>
          <w:tcPr>
            <w:tcW w:type="dxa" w:w="1440"/>
            <w:shd w:fill="FAFAFA" w:val="clear"/>
          </w:tcPr>
          <w:p>
            <w:r>
              <w:rPr>
                <w:sz w:val="17"/>
              </w:rPr>
              <w:t>12,199</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2026-10-08</w:t>
            </w:r>
          </w:p>
        </w:tc>
        <w:tc>
          <w:tcPr>
            <w:tcW w:type="dxa" w:w="1440"/>
            <w:shd w:fill="FAFAFA" w:val="clear"/>
          </w:tcPr>
          <w:p>
            <w:r>
              <w:rPr>
                <w:sz w:val="17"/>
              </w:rPr>
              <w:t>10,786</w:t>
            </w:r>
          </w:p>
        </w:tc>
        <w:tc>
          <w:tcPr>
            <w:tcW w:type="dxa" w:w="1440"/>
            <w:shd w:fill="FAFAFA" w:val="clear"/>
          </w:tcPr>
          <w:p>
            <w:r>
              <w:rPr>
                <w:b/>
                <w:sz w:val="17"/>
              </w:rPr>
              <w:t>11,537</w:t>
            </w:r>
          </w:p>
        </w:tc>
        <w:tc>
          <w:tcPr>
            <w:tcW w:type="dxa" w:w="1440"/>
            <w:shd w:fill="FAFAFA" w:val="clear"/>
          </w:tcPr>
          <w:p>
            <w:r>
              <w:rPr>
                <w:sz w:val="17"/>
              </w:rPr>
              <w:t>12,289</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2026-10-09</w:t>
            </w:r>
          </w:p>
        </w:tc>
        <w:tc>
          <w:tcPr>
            <w:tcW w:type="dxa" w:w="1440"/>
            <w:shd w:fill="FAFAFA" w:val="clear"/>
          </w:tcPr>
          <w:p>
            <w:r>
              <w:rPr>
                <w:sz w:val="17"/>
              </w:rPr>
              <w:t>10,723</w:t>
            </w:r>
          </w:p>
        </w:tc>
        <w:tc>
          <w:tcPr>
            <w:tcW w:type="dxa" w:w="1440"/>
            <w:shd w:fill="FAFAFA" w:val="clear"/>
          </w:tcPr>
          <w:p>
            <w:r>
              <w:rPr>
                <w:b/>
                <w:sz w:val="17"/>
              </w:rPr>
              <w:t>11,547</w:t>
            </w:r>
          </w:p>
        </w:tc>
        <w:tc>
          <w:tcPr>
            <w:tcW w:type="dxa" w:w="1440"/>
            <w:shd w:fill="FAFAFA" w:val="clear"/>
          </w:tcPr>
          <w:p>
            <w:r>
              <w:rPr>
                <w:sz w:val="17"/>
              </w:rPr>
              <w:t>12,370</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2026-10-12</w:t>
            </w:r>
          </w:p>
        </w:tc>
        <w:tc>
          <w:tcPr>
            <w:tcW w:type="dxa" w:w="1440"/>
            <w:shd w:fill="FAFAFA" w:val="clear"/>
          </w:tcPr>
          <w:p>
            <w:r>
              <w:rPr>
                <w:sz w:val="17"/>
              </w:rPr>
              <w:t>10,665</w:t>
            </w:r>
          </w:p>
        </w:tc>
        <w:tc>
          <w:tcPr>
            <w:tcW w:type="dxa" w:w="1440"/>
            <w:shd w:fill="FAFAFA" w:val="clear"/>
          </w:tcPr>
          <w:p>
            <w:r>
              <w:rPr>
                <w:b/>
                <w:sz w:val="17"/>
              </w:rPr>
              <w:t>11,556</w:t>
            </w:r>
          </w:p>
        </w:tc>
        <w:tc>
          <w:tcPr>
            <w:tcW w:type="dxa" w:w="1440"/>
            <w:shd w:fill="FAFAFA" w:val="clear"/>
          </w:tcPr>
          <w:p>
            <w:r>
              <w:rPr>
                <w:sz w:val="17"/>
              </w:rPr>
              <w:t>12,446</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2026-10-13</w:t>
            </w:r>
          </w:p>
        </w:tc>
        <w:tc>
          <w:tcPr>
            <w:tcW w:type="dxa" w:w="1440"/>
            <w:shd w:fill="FAFAFA" w:val="clear"/>
          </w:tcPr>
          <w:p>
            <w:r>
              <w:rPr>
                <w:sz w:val="17"/>
              </w:rPr>
              <w:t>10,612</w:t>
            </w:r>
          </w:p>
        </w:tc>
        <w:tc>
          <w:tcPr>
            <w:tcW w:type="dxa" w:w="1440"/>
            <w:shd w:fill="FAFAFA" w:val="clear"/>
          </w:tcPr>
          <w:p>
            <w:r>
              <w:rPr>
                <w:b/>
                <w:sz w:val="17"/>
              </w:rPr>
              <w:t>11,564</w:t>
            </w:r>
          </w:p>
        </w:tc>
        <w:tc>
          <w:tcPr>
            <w:tcW w:type="dxa" w:w="1440"/>
            <w:shd w:fill="FAFAFA" w:val="clear"/>
          </w:tcPr>
          <w:p>
            <w:r>
              <w:rPr>
                <w:sz w:val="17"/>
              </w:rPr>
              <w:t>12,517</w:t>
            </w:r>
          </w:p>
        </w:tc>
        <w:tc>
          <w:tcPr>
            <w:tcW w:type="dxa" w:w="1440"/>
            <w:shd w:fill="FAFAFA" w:val="clear"/>
          </w:tcPr>
          <w:p>
            <w:r>
              <w:rPr>
                <w:b/>
                <w:color w:val="008000"/>
                <w:sz w:val="17"/>
              </w:rPr>
              <w:t>+0.6%</w:t>
            </w:r>
          </w:p>
        </w:tc>
      </w:tr>
      <w:tr>
        <w:tc>
          <w:tcPr>
            <w:tcW w:type="dxa" w:w="1440"/>
            <w:shd w:fill="FAFAFA" w:val="clear"/>
          </w:tcPr>
          <w:p>
            <w:r>
              <w:rPr>
                <w:sz w:val="17"/>
              </w:rPr>
              <w:t>J+9  Moyenne</w:t>
            </w:r>
          </w:p>
        </w:tc>
        <w:tc>
          <w:tcPr>
            <w:tcW w:type="dxa" w:w="1440"/>
            <w:shd w:fill="FAFAFA" w:val="clear"/>
          </w:tcPr>
          <w:p>
            <w:r>
              <w:rPr>
                <w:sz w:val="17"/>
              </w:rPr>
              <w:t>2026-10-14</w:t>
            </w:r>
          </w:p>
        </w:tc>
        <w:tc>
          <w:tcPr>
            <w:tcW w:type="dxa" w:w="1440"/>
            <w:shd w:fill="FAFAFA" w:val="clear"/>
          </w:tcPr>
          <w:p>
            <w:r>
              <w:rPr>
                <w:sz w:val="17"/>
              </w:rPr>
              <w:t>10,562</w:t>
            </w:r>
          </w:p>
        </w:tc>
        <w:tc>
          <w:tcPr>
            <w:tcW w:type="dxa" w:w="1440"/>
            <w:shd w:fill="FAFAFA" w:val="clear"/>
          </w:tcPr>
          <w:p>
            <w:r>
              <w:rPr>
                <w:b/>
                <w:sz w:val="17"/>
              </w:rPr>
              <w:t>11,572</w:t>
            </w:r>
          </w:p>
        </w:tc>
        <w:tc>
          <w:tcPr>
            <w:tcW w:type="dxa" w:w="1440"/>
            <w:shd w:fill="FAFAFA" w:val="clear"/>
          </w:tcPr>
          <w:p>
            <w:r>
              <w:rPr>
                <w:sz w:val="17"/>
              </w:rPr>
              <w:t>12,583</w:t>
            </w:r>
          </w:p>
        </w:tc>
        <w:tc>
          <w:tcPr>
            <w:tcW w:type="dxa" w:w="1440"/>
            <w:shd w:fill="FAFAFA" w:val="clear"/>
          </w:tcPr>
          <w:p>
            <w:r>
              <w:rPr>
                <w:b/>
                <w:color w:val="008000"/>
                <w:sz w:val="17"/>
              </w:rPr>
              <w:t>+0.7%</w:t>
            </w:r>
          </w:p>
        </w:tc>
      </w:tr>
      <w:tr>
        <w:tc>
          <w:tcPr>
            <w:tcW w:type="dxa" w:w="1440"/>
            <w:shd w:fill="FAFAFA" w:val="clear"/>
          </w:tcPr>
          <w:p>
            <w:r>
              <w:rPr>
                <w:sz w:val="17"/>
              </w:rPr>
              <w:t>J+10  Moyenne</w:t>
            </w:r>
          </w:p>
        </w:tc>
        <w:tc>
          <w:tcPr>
            <w:tcW w:type="dxa" w:w="1440"/>
            <w:shd w:fill="FAFAFA" w:val="clear"/>
          </w:tcPr>
          <w:p>
            <w:r>
              <w:rPr>
                <w:sz w:val="17"/>
              </w:rPr>
              <w:t>2026-10-15</w:t>
            </w:r>
          </w:p>
        </w:tc>
        <w:tc>
          <w:tcPr>
            <w:tcW w:type="dxa" w:w="1440"/>
            <w:shd w:fill="FAFAFA" w:val="clear"/>
          </w:tcPr>
          <w:p>
            <w:r>
              <w:rPr>
                <w:sz w:val="17"/>
              </w:rPr>
              <w:t>10,514</w:t>
            </w:r>
          </w:p>
        </w:tc>
        <w:tc>
          <w:tcPr>
            <w:tcW w:type="dxa" w:w="1440"/>
            <w:shd w:fill="FAFAFA" w:val="clear"/>
          </w:tcPr>
          <w:p>
            <w:r>
              <w:rPr>
                <w:b/>
                <w:sz w:val="17"/>
              </w:rPr>
              <w:t>11,580</w:t>
            </w:r>
          </w:p>
        </w:tc>
        <w:tc>
          <w:tcPr>
            <w:tcW w:type="dxa" w:w="1440"/>
            <w:shd w:fill="FAFAFA" w:val="clear"/>
          </w:tcPr>
          <w:p>
            <w:r>
              <w:rPr>
                <w:sz w:val="17"/>
              </w:rPr>
              <w:t>12,647</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459,60 milliards FCFA, BOAC s'impose comme l'une des capitalisations les plus importantes de la BRVM, témoignant de son statut de valeur de premier plan dans le compartiment bancaire régional. Le BPA de 888 FCFA par action signifie que chaque titre génère près de neuf cents francs de bénéfice net, un niveau de rentabilité unitaire élevé. Le PER de 12,9x traduit une valorisation modérée, légèrement supérieure à la moyenne du marché BRVM (estimée entre 8x et 12x), ce qui indique que les investisseurs paient une prime raisonnable pour la qualité des bénéfices. Le P/B de 3,61x montre que le marché valorise la banque à plus de trois fois et demie sa valeur comptable, une prime de croissance justifiée par un ROE exceptionnel de 27,9%. En revanche, l'EV/EBITDA de 26,5x apparaît très exigeant, reflétant une anticipation de croissance future élevée qui devra être confirmée par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 enregistré une progression remarquable de +31,99%, passant d'un plus bas de 8 585 FCFA à un plus haut de 13 450 FCFA, avant de se stabiliser à 11 490 FCFA, avec une légère contraction de -0,09% lors de la dernière séance. Ce range de trading de près de 4 865 FCFA illustre une dynamique haussière soutenue, bien que le cours actuel se situe en retrait de 14,6% par rapport à son sommet, suggérant une phase de consolidation après un rallye significatif. L'analyse des statistiques descriptives révèle une moyenne de 10 530 FCFA supérieure à la médiane de 9 880 FCFA, indiquant une distribution légèrement tirée vers le haut par les pics de cours, confirmée par un skewness positif de 0,309 (distribution symétrique avec une légère asymétrie droite). L'écart-type de 1 573 FCFA et le coefficient de variation de 14,9% traduisent une dispersion modérée du cours autour de sa moyenne. Le kurtosis négatif de -1,465 (distribution platykurtique) signale une faible concentration des valeurs extrêmes, réduisant le risque de mouvements brusques et imprévisibles. Enfin, la volatilité annualisée de 27,8% positionne BOAC dans la catégorie des titres à volatilité modérée (15-30%), offrant un profil risque/rendement équilibré pour un investisseur avisé.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(11 915 FCFA) et la MM50 (11 951,5 FCFA) se situent toutes deux au-dessus du cours actuel (11 490 FCFA), créant une configuration baissière où le prix évolue sous ses moyennes de référence. La quasi-superposition des deux moyennes suggère une absence de tendance directionnelle claire à court terme, mais la position du cours en-dessous de ces niveaux justifie la décision technique de **Vente**.</w:t>
      </w:r>
    </w:p>
    <w:p>
      <w:pPr>
        <w:spacing w:after="120" w:line="276" w:lineRule="auto"/>
      </w:pPr>
      <w:r>
        <w:t>**Bandes de Bollinger** : Le cours actuel (11 490 FCFA) se situe dans la moitié inférieure de la bande de Bollinger, entre la borne inférieure (10 914,88 FCFA) et la borne supérieure (12 915,12 FCFA), sans atteindre les extrêmes. Cette position médiane, couplée à un écart-type modéré, indique une volatilité contenue et une absence de signal directionnel fort, justifiant la décision **Neutre**.</w:t>
      </w:r>
    </w:p>
    <w:p>
      <w:pPr>
        <w:spacing w:after="120" w:line="276" w:lineRule="auto"/>
      </w:pPr>
      <w:r>
        <w:t>**MACD** : La valeur du MACD (-182,572) est inférieure à son signal (-115,78), confirmant une divergence baissière où le momentum négatif s'accentue. Cette configuration indique que la pression vendeuse persiste à court terme, bien que l'écart entre les deux lignes reste modéré, justifiant la décision de **Vente**.</w:t>
      </w:r>
    </w:p>
    <w:p>
      <w:pPr>
        <w:spacing w:after="120" w:line="276" w:lineRule="auto"/>
      </w:pPr>
      <w:r>
        <w:t>**RSI** : À 33,148, le RSI se situe dans la zone neutre basse (30-70), proche du seuil de survente (30) sans l'atteindre. Cette position suggère que le titre n'est ni suracheté ni survendu, mais qu'une pression baissière modérée persiste, justifiant la décision **Neutre** avec une vigilance accrue.</w:t>
      </w:r>
    </w:p>
    <w:p>
      <w:pPr>
        <w:spacing w:after="120" w:line="276" w:lineRule="auto"/>
      </w:pPr>
      <w:r>
        <w:t>**Stochastique** : Le %K (43,125) et le %D (45,625) évoluent en zone neutre, avec un %K légèrement inférieur au %D, suggérant une absence de croisement significatif et une dynamique de prix sans direction claire. La décision **Neutre** reflète cette indécision du marché.</w:t>
      </w:r>
    </w:p>
    <w:p>
      <w:pPr>
        <w:spacing w:after="120" w:line="276" w:lineRule="auto"/>
      </w:pPr>
      <w:r>
        <w:t>**Conclusion technique** : Les indicateurs techniques présentent un tableau mitigé, avec une majorité de signaux neutres (Bollinger, RSI, Stochastique) et deux signaux baissiers (Moyennes Mobiles, MACD). Le cours évolue sous ses moyennes mobiles avec un momentum négatif, mais la proximité du RSI avec la zone de survente et la position médiane dans les bandes de Bollinger suggèrent un potentiel de rebond technique. La configuration actuelle plaide pour une prudence à court terme, avec une possible stabilisation avant une reprise directionnelle.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 Côte d'Ivoire a réalisé un Produit Net Bancaire (PNB) de 73 545 millions FCFA, en légère hausse de +1,1% par rapport à 2024 (72 724 millions FCFA), selon les états financiers annuels clos au 31 décembre 2025. Le résultat net s'établit à 35 540 millions FCFA, en progression de +10,9% sur un an, portant le BPA à 889 FCFA. La rentabilité des fonds propres (ROE) atteint un niveau exceptionnel de 27,9%, tandis que le ROA de 3,22% confirme l'efficacité de l'utilisation des actifs. Le coefficient d'exploitation de 36,7% témoigne d'une excellente maîtrise des charges, bien en-dessous du seuil de 60% caractérisant une banque efficace. Le coût du risque, mesuré à 6,67% des charges financières, reste contenu malgré une hausse de +52,1% des créances en souffrance sur l'année, avec un taux de provisionnement de 65,76%. La structure financière affiche une autonomie financière de 11,54% (capitaux propres/total bilan), un niveau modeste mais compensé par une solvabilité générale de 113,05% et une liquidité générale de 3 684%, reflétant une gestion prudente des liquidités. Les dépôts clientèle (850 548 millions FCFA) couvrent largement les créances clientèle (430 433 millions FCFA), avec un ratio de transformation de 50,6%, indiquant une marge de manœuvre pour développer le crédit. Sur la base du rapport du 1er trimestre 2026 (PNB de 18 960 millions FCFA, +3,09% sur un an), on estime que l'exercice 2026 devrait maintenir une croissance modérée du PNB, avec un résultat net attendu autour de 36-37 milliards FCFA si la tendance se confirme. Toutefois, le bond de +314,75% du coût net du risque au T1 2026 (-652 millions FCFA contre -157 millions un an plus tôt) constitue un point de vigilance majeur qui pourrait peser sur la rentabilité future si la tendance se poursuit. La recommandation fondamentale est **ACHAT**, justifiée par la solidité des fondamentaux, la rentabilité exceptionnelle et la politique de dividende attractive (684 FCFA par action au titre de 2024, soit un rendement de 5,95% au cours actuel), malgré les risques identifiés sur la qualité du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intéressante entre les signaux techniques et fondamentaux. La valorisation (Partie 0) affiche un PER de 12,9x légèrement supérieur à la moyenne du marché, mais justifié par un ROE de 27,9% et une prime de croissance (P/B de 3,61x), tandis que l'EV/EBITDA de 26,5x apparaît exigeant. Le comportement du cours (Partie 1) montre une tendance haussière sur 100 jours (+31,99%) avec une volatilité modérée (27,8%) et une distribution platykurtique réduisant le risque de pics extrêmes, mais le titre consolide actuellement sous ses plus hauts. Les signaux techniques (Partie 2) sont majoritairement neutres à baissiers, avec un cours sous les moyennes mobiles et un MACD négatif, bien que le RSI proche de la survente suggère un potentiel de rebond. Les fondamentaux (Partie 3) demeurent solides avec un résultat net en hausse de +10,9% en 2025, un ROE de 27,9% et un dividende attractif, mais le coût du risque en forte hausse au T1 2026 nécessite une surveillance accrue. Les prédictions IA (J+1 à J+10) anticipent une légère reprise progressive du cours, de 11 504 FCFA à 11 537 FCFA, confirmant la thèse d'une stabilisation avant une reprise modérée. Sur la base de cette synthèse globale, la recommandation finale est **CONSERVER**, avec un niveau de confiance **Moyen** et un risque global **Modéré**. Cette recommandation reflète la convergence entre des fondamentaux solides et une valorisation raisonnable, tempérée par des signaux techniques baissiers à court terme et des risques émergents sur la qualité du crédit. L'horizon d'investissement optimal est le **moyen terme (3-12 mois)**, permettant de capturer la reprise attendue tout en surveillant l'évolution du coût du risque et la confirmation des tendances trimestrielles.</w:t>
      </w:r>
    </w:p>
    <w:p>
      <w:pPr>
        <w:spacing w:after="120" w:line="276" w:lineRule="auto"/>
      </w:pPr>
      <w:r>
        <w:t>---</w:t>
      </w:r>
    </w:p>
    <w:p>
      <w:pPr>
        <w:spacing w:after="120" w:line="276" w:lineRule="auto"/>
      </w:pPr>
      <w:r>
        <w:t>*Ce rapport est fourni à titre informatif et ne constitue pas un conseil en investissement. Les investisseurs sont invités à consulter un professionnel avant toute décision.*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6,449 titres</w:t>
            </w:r>
          </w:p>
        </w:tc>
        <w:tc>
          <w:tcPr>
            <w:tcW w:type="dxa" w:w="2268"/>
            <w:shd w:fill="FFF2CC" w:val="clear"/>
          </w:tcPr>
          <w:p>
            <w:r>
              <w:rPr>
                <w:b/>
                <w:color w:val="503200"/>
                <w:sz w:val="16"/>
              </w:rPr>
              <w:t xml:space="preserve">Cours actuel : </w:t>
            </w:r>
            <w:r>
              <w:rPr>
                <w:color w:val="000000"/>
                <w:sz w:val="17"/>
              </w:rPr>
              <w:t>6,090 FCFA</w:t>
            </w:r>
          </w:p>
          <w:p>
            <w:r>
              <w:rPr>
                <w:b/>
                <w:color w:val="503200"/>
                <w:sz w:val="16"/>
              </w:rPr>
              <w:t xml:space="preserve">Var. 100 jours : </w:t>
            </w:r>
            <w:r>
              <w:rPr>
                <w:b/>
                <w:color w:val="007800"/>
                <w:sz w:val="17"/>
              </w:rPr>
              <w:t>+29.57%</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13.96% (Moyenne) — μ=5,588 FCFA, σ=780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β=1.4536 (Agressif) — Cov=0.000101, Var(idx)=0.000070, ρ=0.443,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5,652</w:t>
            </w:r>
          </w:p>
        </w:tc>
        <w:tc>
          <w:tcPr>
            <w:tcW w:type="dxa" w:w="1440"/>
            <w:shd w:fill="FAFAFA" w:val="clear"/>
          </w:tcPr>
          <w:p>
            <w:r>
              <w:rPr>
                <w:b/>
                <w:sz w:val="17"/>
              </w:rPr>
              <w:t>5,999</w:t>
            </w:r>
          </w:p>
        </w:tc>
        <w:tc>
          <w:tcPr>
            <w:tcW w:type="dxa" w:w="1440"/>
            <w:shd w:fill="FAFAFA" w:val="clear"/>
          </w:tcPr>
          <w:p>
            <w:r>
              <w:rPr>
                <w:sz w:val="17"/>
              </w:rPr>
              <w:t>6,346</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2026-10-05</w:t>
            </w:r>
          </w:p>
        </w:tc>
        <w:tc>
          <w:tcPr>
            <w:tcW w:type="dxa" w:w="1440"/>
            <w:shd w:fill="FFDCE0" w:val="clear"/>
          </w:tcPr>
          <w:p>
            <w:r>
              <w:rPr>
                <w:sz w:val="17"/>
              </w:rPr>
              <w:t>5,430</w:t>
            </w:r>
          </w:p>
        </w:tc>
        <w:tc>
          <w:tcPr>
            <w:tcW w:type="dxa" w:w="1440"/>
            <w:shd w:fill="FFDCE0" w:val="clear"/>
          </w:tcPr>
          <w:p>
            <w:r>
              <w:rPr>
                <w:b/>
                <w:sz w:val="17"/>
              </w:rPr>
              <w:t>5,913</w:t>
            </w:r>
          </w:p>
        </w:tc>
        <w:tc>
          <w:tcPr>
            <w:tcW w:type="dxa" w:w="1440"/>
            <w:shd w:fill="FFDCE0" w:val="clear"/>
          </w:tcPr>
          <w:p>
            <w:r>
              <w:rPr>
                <w:sz w:val="17"/>
              </w:rPr>
              <w:t>6,397</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2026-10-06</w:t>
            </w:r>
          </w:p>
        </w:tc>
        <w:tc>
          <w:tcPr>
            <w:tcW w:type="dxa" w:w="1440"/>
            <w:shd w:fill="FFDCE0" w:val="clear"/>
          </w:tcPr>
          <w:p>
            <w:r>
              <w:rPr>
                <w:sz w:val="17"/>
              </w:rPr>
              <w:t>5,257</w:t>
            </w:r>
          </w:p>
        </w:tc>
        <w:tc>
          <w:tcPr>
            <w:tcW w:type="dxa" w:w="1440"/>
            <w:shd w:fill="FFDCE0" w:val="clear"/>
          </w:tcPr>
          <w:p>
            <w:r>
              <w:rPr>
                <w:b/>
                <w:sz w:val="17"/>
              </w:rPr>
              <w:t>5,842</w:t>
            </w:r>
          </w:p>
        </w:tc>
        <w:tc>
          <w:tcPr>
            <w:tcW w:type="dxa" w:w="1440"/>
            <w:shd w:fill="FFDCE0" w:val="clear"/>
          </w:tcPr>
          <w:p>
            <w:r>
              <w:rPr>
                <w:sz w:val="17"/>
              </w:rPr>
              <w:t>6,427</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5,112</w:t>
            </w:r>
          </w:p>
        </w:tc>
        <w:tc>
          <w:tcPr>
            <w:tcW w:type="dxa" w:w="1440"/>
            <w:shd w:fill="FFDCE0" w:val="clear"/>
          </w:tcPr>
          <w:p>
            <w:r>
              <w:rPr>
                <w:b/>
                <w:sz w:val="17"/>
              </w:rPr>
              <w:t>5,780</w:t>
            </w:r>
          </w:p>
        </w:tc>
        <w:tc>
          <w:tcPr>
            <w:tcW w:type="dxa" w:w="1440"/>
            <w:shd w:fill="FFDCE0" w:val="clear"/>
          </w:tcPr>
          <w:p>
            <w:r>
              <w:rPr>
                <w:sz w:val="17"/>
              </w:rPr>
              <w:t>6,449</w:t>
            </w:r>
          </w:p>
        </w:tc>
        <w:tc>
          <w:tcPr>
            <w:tcW w:type="dxa" w:w="1440"/>
            <w:shd w:fill="FFDCE0" w:val="clear"/>
          </w:tcPr>
          <w:p>
            <w:r>
              <w:rPr>
                <w:b/>
                <w:color w:val="C00000"/>
                <w:sz w:val="17"/>
              </w:rPr>
              <w:t>-5.1%</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4,984</w:t>
            </w:r>
          </w:p>
        </w:tc>
        <w:tc>
          <w:tcPr>
            <w:tcW w:type="dxa" w:w="1440"/>
            <w:shd w:fill="FFDCE0" w:val="clear"/>
          </w:tcPr>
          <w:p>
            <w:r>
              <w:rPr>
                <w:b/>
                <w:sz w:val="17"/>
              </w:rPr>
              <w:t>5,724</w:t>
            </w:r>
          </w:p>
        </w:tc>
        <w:tc>
          <w:tcPr>
            <w:tcW w:type="dxa" w:w="1440"/>
            <w:shd w:fill="FFDCE0" w:val="clear"/>
          </w:tcPr>
          <w:p>
            <w:r>
              <w:rPr>
                <w:sz w:val="17"/>
              </w:rPr>
              <w:t>6,464</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4,868</w:t>
            </w:r>
          </w:p>
        </w:tc>
        <w:tc>
          <w:tcPr>
            <w:tcW w:type="dxa" w:w="1440"/>
            <w:shd w:fill="FFDCE0" w:val="clear"/>
          </w:tcPr>
          <w:p>
            <w:r>
              <w:rPr>
                <w:b/>
                <w:sz w:val="17"/>
              </w:rPr>
              <w:t>5,671</w:t>
            </w:r>
          </w:p>
        </w:tc>
        <w:tc>
          <w:tcPr>
            <w:tcW w:type="dxa" w:w="1440"/>
            <w:shd w:fill="FFDCE0" w:val="clear"/>
          </w:tcPr>
          <w:p>
            <w:r>
              <w:rPr>
                <w:sz w:val="17"/>
              </w:rPr>
              <w:t>6,475</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4,761</w:t>
            </w:r>
          </w:p>
        </w:tc>
        <w:tc>
          <w:tcPr>
            <w:tcW w:type="dxa" w:w="1440"/>
            <w:shd w:fill="FFDCE0" w:val="clear"/>
          </w:tcPr>
          <w:p>
            <w:r>
              <w:rPr>
                <w:b/>
                <w:sz w:val="17"/>
              </w:rPr>
              <w:t>5,621</w:t>
            </w:r>
          </w:p>
        </w:tc>
        <w:tc>
          <w:tcPr>
            <w:tcW w:type="dxa" w:w="1440"/>
            <w:shd w:fill="FFDCE0" w:val="clear"/>
          </w:tcPr>
          <w:p>
            <w:r>
              <w:rPr>
                <w:sz w:val="17"/>
              </w:rPr>
              <w:t>6,481</w:t>
            </w:r>
          </w:p>
        </w:tc>
        <w:tc>
          <w:tcPr>
            <w:tcW w:type="dxa" w:w="1440"/>
            <w:shd w:fill="FFDCE0" w:val="clear"/>
          </w:tcPr>
          <w:p>
            <w:r>
              <w:rPr>
                <w:b/>
                <w:color w:val="C00000"/>
                <w:sz w:val="17"/>
              </w:rPr>
              <w:t>-7.7%</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4,662</w:t>
            </w:r>
          </w:p>
        </w:tc>
        <w:tc>
          <w:tcPr>
            <w:tcW w:type="dxa" w:w="1440"/>
            <w:shd w:fill="FFDCE0" w:val="clear"/>
          </w:tcPr>
          <w:p>
            <w:r>
              <w:rPr>
                <w:b/>
                <w:sz w:val="17"/>
              </w:rPr>
              <w:t>5,574</w:t>
            </w:r>
          </w:p>
        </w:tc>
        <w:tc>
          <w:tcPr>
            <w:tcW w:type="dxa" w:w="1440"/>
            <w:shd w:fill="FFDCE0" w:val="clear"/>
          </w:tcPr>
          <w:p>
            <w:r>
              <w:rPr>
                <w:sz w:val="17"/>
              </w:rPr>
              <w:t>6,485</w:t>
            </w:r>
          </w:p>
        </w:tc>
        <w:tc>
          <w:tcPr>
            <w:tcW w:type="dxa" w:w="1440"/>
            <w:shd w:fill="FFDCE0" w:val="clear"/>
          </w:tcPr>
          <w:p>
            <w:r>
              <w:rPr>
                <w:b/>
                <w:color w:val="C00000"/>
                <w:sz w:val="17"/>
              </w:rPr>
              <w:t>-8.5%</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4,569</w:t>
            </w:r>
          </w:p>
        </w:tc>
        <w:tc>
          <w:tcPr>
            <w:tcW w:type="dxa" w:w="1440"/>
            <w:shd w:fill="FFDCE0" w:val="clear"/>
          </w:tcPr>
          <w:p>
            <w:r>
              <w:rPr>
                <w:b/>
                <w:sz w:val="17"/>
              </w:rPr>
              <w:t>5,528</w:t>
            </w:r>
          </w:p>
        </w:tc>
        <w:tc>
          <w:tcPr>
            <w:tcW w:type="dxa" w:w="1440"/>
            <w:shd w:fill="FFDCE0" w:val="clear"/>
          </w:tcPr>
          <w:p>
            <w:r>
              <w:rPr>
                <w:sz w:val="17"/>
              </w:rPr>
              <w:t>6,488</w:t>
            </w:r>
          </w:p>
        </w:tc>
        <w:tc>
          <w:tcPr>
            <w:tcW w:type="dxa" w:w="1440"/>
            <w:shd w:fill="FFDCE0" w:val="clear"/>
          </w:tcPr>
          <w:p>
            <w:r>
              <w:rPr>
                <w:b/>
                <w:color w:val="C00000"/>
                <w:sz w:val="17"/>
              </w:rPr>
              <w:t>-9.2%</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4,482</w:t>
            </w:r>
          </w:p>
        </w:tc>
        <w:tc>
          <w:tcPr>
            <w:tcW w:type="dxa" w:w="1440"/>
            <w:shd w:fill="FFDCE0" w:val="clear"/>
          </w:tcPr>
          <w:p>
            <w:r>
              <w:rPr>
                <w:b/>
                <w:sz w:val="17"/>
              </w:rPr>
              <w:t>5,485</w:t>
            </w:r>
          </w:p>
        </w:tc>
        <w:tc>
          <w:tcPr>
            <w:tcW w:type="dxa" w:w="1440"/>
            <w:shd w:fill="FFDCE0" w:val="clear"/>
          </w:tcPr>
          <w:p>
            <w:r>
              <w:rPr>
                <w:sz w:val="17"/>
              </w:rPr>
              <w:t>6,488</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167,17 milliards FCFA, BOA Mali se positionne comme une valeur de taille intermédiaire sur la BRVM, loin des géants bancaires comme SGCI ou ETIT, mais suffisamment liquide pour intéresser les investisseurs institutionnels. Le BPA de 404 FCFA/action signifie que chaque titre génère près de 404 FCFA de bénéfice net, ce qui, rapporté au cours actuel de 6 090 FCFA, donne un PER de 15,1x — un niveau modéré mais supérieur à la moyenne du marché BRVM (8-12x), traduisant une prime de qualité accordée par le marché. Le P/B de 3,36x indique que le marché valorise la banque à plus de trois fois sa valeur comptable, ce qui est justifié par un ROE élevé de 22,24% mais laisse peu de marge de sécurité en cas de dégradation. Enfin, l'EV/EBITDA de 7,7x, dans la fourchette raisonnable de 5-10x, suggère que la valeur totale de l'entreprise reste cohérente avec sa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affiche une progression remarquable de +29,57%, portée par un momentum haussier soutenu, bien que la dernière séance (J-1) marque un léger repli de -0,90%, signalant une possible prise de bénéfices. Le range de trading est particulièrement large, avec un plus haut à 7 195 FCFA et un plus bas à 4 425 FCFA, soit une amplitude de 62,6% qui témoigne d'une forte volatilité intra-période. La tendance générale reste haussière, le cours actuel (6 090 FCFA) se situant au-dessus de la moyenne (5 588 FCFA) mais en retrait du plus haut récent. Les statistiques descriptives révèlent une moyenne (5 588 FCFA) légèrement inférieure à la médiane (5 608 FCFA), suggérant une distribution quasi-symétrique avec une très légère asymétrie négative, confirmée par un skewness de 0,294 (distribution symétrique). L'écart-type de 784 FCFA et le coefficient de variation de 14,0% indiquent une dispersion modérée du cours autour de sa moyenne. Le kurtosis de -1,032 (platykurtique) signale une distribution aplatie avec une faible concentration des rendements, ce qui implique un risque de pics de volatilité moins prononcé qu'une distribution normale. Enfin, la volatilité annualisée de 43,6% classe le titre dans la catégorie des valeurs à volatilité élevée (&gt;30%), ce qui est cohérent avec le contexte malien et la nature bancaire de l'action.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(6 521 FCFA) et la MM50 (6 225 FCFA) se situent toutes deux au-dessus du cours actuel (6 090 FCFA), ce qui place le titre en position de faiblesse relative à court terme. Cependant, la MM20 reste supérieure à la MM50, confirmant une structure haussière de fond. La décision technique affichée est "Achat", probablement basée sur le croisement haussier des moyennes et le potentiel de rebond vers ces niveaux de résistance dynamique.</w:t>
      </w:r>
    </w:p>
    <w:p>
      <w:pPr>
        <w:spacing w:after="120" w:line="276" w:lineRule="auto"/>
      </w:pPr>
      <w:r>
        <w:t>**Bandes de Bollinger** : Le cours actuel (6 090 FCFA) se situe dans la partie inférieure de la bande de Bollinger, entre la borne inférieure (5 492,73 FCFA) et la borne supérieure (7 549,27 FCFA). Cette position suggère que le titre évolue dans une zone de neutralité, sans pression acheteuse ou vendeuse excessive. La largeur des bandes (2 056 FCFA) reflète une volatilité élevée, cohérente avec l'écart-type observé. La décision "Neutre" est justifiée par l'absence de signal clair de surachat ou de survente.</w:t>
      </w:r>
    </w:p>
    <w:p>
      <w:pPr>
        <w:spacing w:after="120" w:line="276" w:lineRule="auto"/>
      </w:pPr>
      <w:r>
        <w:t>**MACD** : La valeur du MACD (-89,161) est nettement inférieure à son signal (-5,804), générant un histogramme négatif et une divergence baissière. Cette configuration indique un momentum négatif à court terme, avec une pression vendeuse persistante. La décision "Vente" est cohérente avec cette dynamique, bien que la faiblesse du signal (-5,804) suggère que la tendance baissière pourrait s'essouffler.</w:t>
      </w:r>
    </w:p>
    <w:p>
      <w:pPr>
        <w:spacing w:after="120" w:line="276" w:lineRule="auto"/>
      </w:pPr>
      <w:r>
        <w:t>**RSI** : À 32,333, le RSI se situe juste au-dessus du seuil de survente (30), indiquant que le titre n'est pas encore techniquement survendu mais s'en approche. La décision "Neutre" reflète cette position ambiguë : le potentiel de rebond existe, mais la pression baissière n'est pas totalement épuisée. Un passage sous 30 déclencherait un signal d'achat technique.</w:t>
      </w:r>
    </w:p>
    <w:p>
      <w:pPr>
        <w:spacing w:after="120" w:line="276" w:lineRule="auto"/>
      </w:pPr>
      <w:r>
        <w:t>**Stochastique** : Le %K (38,154) est légèrement supérieur au %D (36,256), suggérant un début de croisement haussier potentiel. Cependant, les deux valeurs restent dans la zone neutre (20-80), sans signal fort. La décision "Neutre" est appropriée, mais une confirmation du croisement au-dessus de 40 pourrait signaler un retournement haussier.</w:t>
      </w:r>
    </w:p>
    <w:p>
      <w:pPr>
        <w:spacing w:after="120" w:line="276" w:lineRule="auto"/>
      </w:pPr>
      <w:r>
        <w:t>**Conclusion technique** : Les indicateurs techniques présentent un tableau mitigé. Les moyennes mobiles restent haussières de fond mais le cours évolue en dessous, le MACD est baissier, le RSI est proche de la survente, et les bandes de Bollinger sont neutres. Cette divergence suggère une phase de consolidation ou de correction au sein d'une tendance haussière plus large. Un rebond technique est possible à court terme, mais la confirmation d'un retournement haussier nécessiterait un franchissement de la MM20 (6 521 FCFA) avec un volume soutenu.</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BOA Mali affiche un Produit Net Bancaire (PNB) de 37,996 milliards FCFA, en croissance de 5,08% par rapport à 2024, confirmant la dynamique commerciale de la banque. Le résultat net s'établit à 11,081 milliards FCFA, en hausse significative, avec une marge nette de 29,16% — un niveau exceptionnel pour le secteur bancaire. Le ROE de 22,24% et le ROA de 1,87% témoignent d'une rentabilité des fonds propres excellente (&gt;15%) et d'une utilisation efficace des actifs. Le coefficient d'exploitation de 63,14% reste supérieur au seuil de 60% (banque efficace), indiquant une marge d'amélioration opérationnelle. Le coût du risque, mesuré par le ratio provisions/charges financières, s'élève à 43,39%, un niveau élevé qui signale un risque de crédit significatif, bien que les provisions (4,59 milliards FCFA) couvrent largement les charges financières (10,578 milliards FCFA). La structure financière montre une autonomie financière de 8,39% (capitaux propres/total bilan), inférieure au seuil sain de 30%, mais typique des banques à fort effet de levier. Le ratio dépôts/crédits s'établit à 502,89/253,65 = 1,98x, indiquant une surliquidité et une capacité de transformation élevée. Les créances interbancaires (18,78 milliards FCFA) et les dettes interbancaires (20,35 milliards FCFA) sont équilibrées, reflétant une gestion prudente de la liquidité.</w:t>
      </w:r>
    </w:p>
    <w:p>
      <w:pPr>
        <w:spacing w:after="120" w:line="276" w:lineRule="auto"/>
      </w:pPr>
      <w:r>
        <w:t>**Estimations basées sur les rapports trimestriels** : Le rapport du T1 2026 (publié le 31/03/2026, analysé le 12/09/2026) révèle un PNB de 10,322 milliards FCFA, en hausse de +22,97% par rapport au T1 2025 (8,394 milliards FCFA). Cette accélération spectaculaire, après une croissance de seulement +5,08% en 2025, suggère une reprise vigoureuse de l'activité commerciale. Le rapport du S1 2026 (publié le 30/06/2026, analysé le 24/09/2026) confirme cette tendance avec un PNB de 21,987 milliards FCFA, en hausse de +17,5% sur un an. Sur la base de ces données, on peut estimer que le PNB 2026 devrait atteindre environ 44-45 milliards FCFA (croissance annuelle de +15-18%), et le résultat net pourrait dépasser 13 milliards FCFA si la marge nette se maintient autour de 29%. Le rapport du S1 2025 (publié le 30/06/2025, analysé le 15/03/2026) indiquait un PNB de 18,71 milliards FCFA (+2,7%) et un résultat net de 6,21 milliards FCFA (+28,8%), avec une baisse du coût du risque de -32,7% — une tendance qui semble s'être poursuivie en 2026. Le rapport du T3 2025 (publié le 30/09/2025) mentionnait un PNB cumulé de 28,52 milliards FCFA (+5,8%) et un résultat net de 9,16 milliards FCFA (+26,2%), confirmant la trajectoire de rentabilité croissante. Les rapports plus anciens (2022-2024) montrent une résilience remarquable dans un contexte difficile (embargo CEDEAO, insécurité, inflation), avec une amélioration continue du coût du risque et de la rentabilité.</w:t>
      </w:r>
    </w:p>
    <w:p>
      <w:pPr>
        <w:spacing w:after="120" w:line="276" w:lineRule="auto"/>
      </w:pPr>
      <w:r>
        <w:t>**Recommandation fondamentale** : BOA Mali présente des fondamentaux solides, avec une rentabilité élevée (ROE &gt;22%), une croissance accélérée en 2026 (+17,5% au S1), et une gestion prudente des risques. Les principaux risques sont le coût du risque élevé (43,39%), la faible autonomie financière (8,39%), et l'exposition au contexte macroéconomique et sécuritaire malien. La surliquidité (ratio dépôts/crédits de 1,98x) constitue une force mais aussi une opportunité de croissance si la banque parvient à augmenter ses crédits. La recommandation fondamentale est **ACHAT** pour les investisseurs à moyen/long terme, avec une surveillance accrue du coût du risque et de l'évolution des dépôts.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révèle un tableau contrasté mais globalement favorable. **Valorisation (Partie 0)** : Le PER de 15,1x et le P/B de 3,36x indiquent une valorisation modérée à légèrement élevée, justifiée par un ROE de 22,24% et une croissance accélérée, mais offrant peu de marge de sécurité. **Comportement du cours (Partie 1)** : La tendance haussière de +29,57% sur 100 jours est impressionnante, mais la volatilité élevée (43,6%) et le kurtosis négatif (-1,032) suggèrent des mouvements erratiques. Le skewness symétrique (0,294) indique un équilibre entre hausses et baisses. **Signaux techniques (Partie 2)** : Les indicateurs sont divergents — moyennes mobiles haussières mais cours en dessous, MACD baissier, RSI proche de la survente, bandes de Bollinger neutres. Cette configuration suggère une consolidation avant un potentiel rebond. **Fondamentaux (Partie 3)** : Les états financiers 2025 et les rapports trimestriels 2026 confirment une croissance accélérée (+17,5% au S1 2026) et une rentabilité exceptionnelle (ROE 22,24%), malgré un coût du risque élevé. **Prédictions IA (J+1 à J+10)** : La trajectoire prédite est baissière, avec une baisse attendue de 6 090 FCFA à 5 724 FCFA d'ici le 8 octobre 2026 (-6,0%), ce qui contredit les fondamentaux solides mais confirme les signaux techniques baissiers à court terme.</w:t>
      </w:r>
    </w:p>
    <w:p>
      <w:pPr>
        <w:spacing w:after="120" w:line="276" w:lineRule="auto"/>
      </w:pPr>
      <w:r>
        <w:t>**Recommandation finale** : **CONSERVER** avec un biais haussier à moyen terme. La convergence entre la valorisation raisonnable, les fondamentaux solides et la croissance accélérée soutient une perspective positive, mais les signaux techniques baissiers et les prédictions IA négatives à court terme incitent à la prudence. **Niveau de confiance** : Moyen — les fondamentaux sont solides mais la volatilité et le contexte macroéconomique malien introduisent une incertitude significative. **Niveau de risque** : Élevé — volatilité de 43,6%, coût du risque de 43,39%, et exposition au risque pays (Mali). **Horizon d'investissement optimal** : Moyen terme (3-12 mois) — le temps que la consolidation technique se termine et que la croissance des bénéfices se matérialise dans le cours. Les investisseurs à court terme devraient attendre un signal technique plus clair (franchissement de la MM20 à 6 521 FCFA) avant d'acheter, tandis que les investisseurs à long terme peuvent accumuler progressivement sur les replis vers 5 500-5 700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9,009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+43.47%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16.02% (Élevée) — μ=4,652 FCFA, σ=745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β=1.3537 (Agressif) — Cov=0.000094, Var(idx)=0.000070, ρ=0.442,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2026-10-02</w:t>
            </w:r>
          </w:p>
        </w:tc>
        <w:tc>
          <w:tcPr>
            <w:tcW w:type="dxa" w:w="1440"/>
            <w:shd w:fill="C6EFCE" w:val="clear"/>
          </w:tcPr>
          <w:p>
            <w:r>
              <w:rPr>
                <w:sz w:val="17"/>
              </w:rPr>
              <w:t>4,909</w:t>
            </w:r>
          </w:p>
        </w:tc>
        <w:tc>
          <w:tcPr>
            <w:tcW w:type="dxa" w:w="1440"/>
            <w:shd w:fill="C6EFCE" w:val="clear"/>
          </w:tcPr>
          <w:p>
            <w:r>
              <w:rPr>
                <w:b/>
                <w:sz w:val="17"/>
              </w:rPr>
              <w:t>5,193</w:t>
            </w:r>
          </w:p>
        </w:tc>
        <w:tc>
          <w:tcPr>
            <w:tcW w:type="dxa" w:w="1440"/>
            <w:shd w:fill="C6EFCE" w:val="clear"/>
          </w:tcPr>
          <w:p>
            <w:r>
              <w:rPr>
                <w:sz w:val="17"/>
              </w:rPr>
              <w:t>5,478</w:t>
            </w:r>
          </w:p>
        </w:tc>
        <w:tc>
          <w:tcPr>
            <w:tcW w:type="dxa" w:w="1440"/>
            <w:shd w:fill="C6EFCE" w:val="clear"/>
          </w:tcPr>
          <w:p>
            <w:r>
              <w:rPr>
                <w:b/>
                <w:color w:val="008000"/>
                <w:sz w:val="17"/>
              </w:rPr>
              <w:t>+3.9%</w:t>
            </w:r>
          </w:p>
        </w:tc>
      </w:tr>
      <w:tr>
        <w:tc>
          <w:tcPr>
            <w:tcW w:type="dxa" w:w="1440"/>
            <w:shd w:fill="C6EFCE" w:val="clear"/>
          </w:tcPr>
          <w:p>
            <w:r>
              <w:rPr>
                <w:sz w:val="17"/>
              </w:rPr>
              <w:t>J+2  ⭐</w:t>
            </w:r>
          </w:p>
        </w:tc>
        <w:tc>
          <w:tcPr>
            <w:tcW w:type="dxa" w:w="1440"/>
            <w:shd w:fill="C6EFCE" w:val="clear"/>
          </w:tcPr>
          <w:p>
            <w:r>
              <w:rPr>
                <w:sz w:val="17"/>
              </w:rPr>
              <w:t>2026-10-05</w:t>
            </w:r>
          </w:p>
        </w:tc>
        <w:tc>
          <w:tcPr>
            <w:tcW w:type="dxa" w:w="1440"/>
            <w:shd w:fill="C6EFCE" w:val="clear"/>
          </w:tcPr>
          <w:p>
            <w:r>
              <w:rPr>
                <w:sz w:val="17"/>
              </w:rPr>
              <w:t>4,775</w:t>
            </w:r>
          </w:p>
        </w:tc>
        <w:tc>
          <w:tcPr>
            <w:tcW w:type="dxa" w:w="1440"/>
            <w:shd w:fill="C6EFCE" w:val="clear"/>
          </w:tcPr>
          <w:p>
            <w:r>
              <w:rPr>
                <w:b/>
                <w:sz w:val="17"/>
              </w:rPr>
              <w:t>5,176</w:t>
            </w:r>
          </w:p>
        </w:tc>
        <w:tc>
          <w:tcPr>
            <w:tcW w:type="dxa" w:w="1440"/>
            <w:shd w:fill="C6EFCE" w:val="clear"/>
          </w:tcPr>
          <w:p>
            <w:r>
              <w:rPr>
                <w:sz w:val="17"/>
              </w:rPr>
              <w:t>5,577</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2026-10-06</w:t>
            </w:r>
          </w:p>
        </w:tc>
        <w:tc>
          <w:tcPr>
            <w:tcW w:type="dxa" w:w="1440"/>
            <w:shd w:fill="C6EFCE" w:val="clear"/>
          </w:tcPr>
          <w:p>
            <w:r>
              <w:rPr>
                <w:sz w:val="17"/>
              </w:rPr>
              <w:t>4,699</w:t>
            </w:r>
          </w:p>
        </w:tc>
        <w:tc>
          <w:tcPr>
            <w:tcW w:type="dxa" w:w="1440"/>
            <w:shd w:fill="C6EFCE" w:val="clear"/>
          </w:tcPr>
          <w:p>
            <w:r>
              <w:rPr>
                <w:b/>
                <w:sz w:val="17"/>
              </w:rPr>
              <w:t>5,192</w:t>
            </w:r>
          </w:p>
        </w:tc>
        <w:tc>
          <w:tcPr>
            <w:tcW w:type="dxa" w:w="1440"/>
            <w:shd w:fill="C6EFCE" w:val="clear"/>
          </w:tcPr>
          <w:p>
            <w:r>
              <w:rPr>
                <w:sz w:val="17"/>
              </w:rPr>
              <w:t>5,685</w:t>
            </w:r>
          </w:p>
        </w:tc>
        <w:tc>
          <w:tcPr>
            <w:tcW w:type="dxa" w:w="1440"/>
            <w:shd w:fill="C6EFCE" w:val="clear"/>
          </w:tcPr>
          <w:p>
            <w:r>
              <w:rPr>
                <w:b/>
                <w:color w:val="008000"/>
                <w:sz w:val="17"/>
              </w:rPr>
              <w:t>+3.8%</w:t>
            </w:r>
          </w:p>
        </w:tc>
      </w:tr>
      <w:tr>
        <w:tc>
          <w:tcPr>
            <w:tcW w:type="dxa" w:w="1440"/>
            <w:shd w:fill="C6EFCE" w:val="clear"/>
          </w:tcPr>
          <w:p>
            <w:r>
              <w:rPr>
                <w:sz w:val="17"/>
              </w:rPr>
              <w:t>J+4  ⭐</w:t>
            </w:r>
          </w:p>
        </w:tc>
        <w:tc>
          <w:tcPr>
            <w:tcW w:type="dxa" w:w="1440"/>
            <w:shd w:fill="C6EFCE" w:val="clear"/>
          </w:tcPr>
          <w:p>
            <w:r>
              <w:rPr>
                <w:sz w:val="17"/>
              </w:rPr>
              <w:t>2026-10-07</w:t>
            </w:r>
          </w:p>
        </w:tc>
        <w:tc>
          <w:tcPr>
            <w:tcW w:type="dxa" w:w="1440"/>
            <w:shd w:fill="C6EFCE" w:val="clear"/>
          </w:tcPr>
          <w:p>
            <w:r>
              <w:rPr>
                <w:sz w:val="17"/>
              </w:rPr>
              <w:t>4,641</w:t>
            </w:r>
          </w:p>
        </w:tc>
        <w:tc>
          <w:tcPr>
            <w:tcW w:type="dxa" w:w="1440"/>
            <w:shd w:fill="C6EFCE" w:val="clear"/>
          </w:tcPr>
          <w:p>
            <w:r>
              <w:rPr>
                <w:b/>
                <w:sz w:val="17"/>
              </w:rPr>
              <w:t>5,212</w:t>
            </w:r>
          </w:p>
        </w:tc>
        <w:tc>
          <w:tcPr>
            <w:tcW w:type="dxa" w:w="1440"/>
            <w:shd w:fill="C6EFCE" w:val="clear"/>
          </w:tcPr>
          <w:p>
            <w:r>
              <w:rPr>
                <w:sz w:val="17"/>
              </w:rPr>
              <w:t>5,784</w:t>
            </w:r>
          </w:p>
        </w:tc>
        <w:tc>
          <w:tcPr>
            <w:tcW w:type="dxa" w:w="1440"/>
            <w:shd w:fill="C6EFCE" w:val="clear"/>
          </w:tcPr>
          <w:p>
            <w:r>
              <w:rPr>
                <w:b/>
                <w:color w:val="008000"/>
                <w:sz w:val="17"/>
              </w:rPr>
              <w:t>+4.2%</w:t>
            </w:r>
          </w:p>
        </w:tc>
      </w:tr>
      <w:tr>
        <w:tc>
          <w:tcPr>
            <w:tcW w:type="dxa" w:w="1440"/>
            <w:shd w:fill="C6EFCE" w:val="clear"/>
          </w:tcPr>
          <w:p>
            <w:r>
              <w:rPr>
                <w:sz w:val="17"/>
              </w:rPr>
              <w:t>J+5  ⭐</w:t>
            </w:r>
          </w:p>
        </w:tc>
        <w:tc>
          <w:tcPr>
            <w:tcW w:type="dxa" w:w="1440"/>
            <w:shd w:fill="C6EFCE" w:val="clear"/>
          </w:tcPr>
          <w:p>
            <w:r>
              <w:rPr>
                <w:sz w:val="17"/>
              </w:rPr>
              <w:t>2026-10-08</w:t>
            </w:r>
          </w:p>
        </w:tc>
        <w:tc>
          <w:tcPr>
            <w:tcW w:type="dxa" w:w="1440"/>
            <w:shd w:fill="C6EFCE" w:val="clear"/>
          </w:tcPr>
          <w:p>
            <w:r>
              <w:rPr>
                <w:sz w:val="17"/>
              </w:rPr>
              <w:t>4,592</w:t>
            </w:r>
          </w:p>
        </w:tc>
        <w:tc>
          <w:tcPr>
            <w:tcW w:type="dxa" w:w="1440"/>
            <w:shd w:fill="C6EFCE" w:val="clear"/>
          </w:tcPr>
          <w:p>
            <w:r>
              <w:rPr>
                <w:b/>
                <w:sz w:val="17"/>
              </w:rPr>
              <w:t>5,233</w:t>
            </w:r>
          </w:p>
        </w:tc>
        <w:tc>
          <w:tcPr>
            <w:tcW w:type="dxa" w:w="1440"/>
            <w:shd w:fill="C6EFCE" w:val="clear"/>
          </w:tcPr>
          <w:p>
            <w:r>
              <w:rPr>
                <w:sz w:val="17"/>
              </w:rPr>
              <w:t>5,874</w:t>
            </w:r>
          </w:p>
        </w:tc>
        <w:tc>
          <w:tcPr>
            <w:tcW w:type="dxa" w:w="1440"/>
            <w:shd w:fill="C6EFCE" w:val="clear"/>
          </w:tcPr>
          <w:p>
            <w:r>
              <w:rPr>
                <w:b/>
                <w:color w:val="008000"/>
                <w:sz w:val="17"/>
              </w:rPr>
              <w:t>+4.7%</w:t>
            </w:r>
          </w:p>
        </w:tc>
      </w:tr>
      <w:tr>
        <w:tc>
          <w:tcPr>
            <w:tcW w:type="dxa" w:w="1440"/>
            <w:shd w:fill="C6EFCE" w:val="clear"/>
          </w:tcPr>
          <w:p>
            <w:r>
              <w:rPr>
                <w:sz w:val="17"/>
              </w:rPr>
              <w:t>J+6  ⭐</w:t>
            </w:r>
          </w:p>
        </w:tc>
        <w:tc>
          <w:tcPr>
            <w:tcW w:type="dxa" w:w="1440"/>
            <w:shd w:fill="C6EFCE" w:val="clear"/>
          </w:tcPr>
          <w:p>
            <w:r>
              <w:rPr>
                <w:sz w:val="17"/>
              </w:rPr>
              <w:t>2026-10-09</w:t>
            </w:r>
          </w:p>
        </w:tc>
        <w:tc>
          <w:tcPr>
            <w:tcW w:type="dxa" w:w="1440"/>
            <w:shd w:fill="C6EFCE" w:val="clear"/>
          </w:tcPr>
          <w:p>
            <w:r>
              <w:rPr>
                <w:sz w:val="17"/>
              </w:rPr>
              <w:t>4,548</w:t>
            </w:r>
          </w:p>
        </w:tc>
        <w:tc>
          <w:tcPr>
            <w:tcW w:type="dxa" w:w="1440"/>
            <w:shd w:fill="C6EFCE" w:val="clear"/>
          </w:tcPr>
          <w:p>
            <w:r>
              <w:rPr>
                <w:b/>
                <w:sz w:val="17"/>
              </w:rPr>
              <w:t>5,253</w:t>
            </w:r>
          </w:p>
        </w:tc>
        <w:tc>
          <w:tcPr>
            <w:tcW w:type="dxa" w:w="1440"/>
            <w:shd w:fill="C6EFCE" w:val="clear"/>
          </w:tcPr>
          <w:p>
            <w:r>
              <w:rPr>
                <w:sz w:val="17"/>
              </w:rPr>
              <w:t>5,958</w:t>
            </w:r>
          </w:p>
        </w:tc>
        <w:tc>
          <w:tcPr>
            <w:tcW w:type="dxa" w:w="1440"/>
            <w:shd w:fill="C6EFCE" w:val="clear"/>
          </w:tcPr>
          <w:p>
            <w:r>
              <w:rPr>
                <w:b/>
                <w:color w:val="008000"/>
                <w:sz w:val="17"/>
              </w:rPr>
              <w:t>+5.1%</w:t>
            </w:r>
          </w:p>
        </w:tc>
      </w:tr>
      <w:tr>
        <w:tc>
          <w:tcPr>
            <w:tcW w:type="dxa" w:w="1440"/>
            <w:shd w:fill="C6EFCE" w:val="clear"/>
          </w:tcPr>
          <w:p>
            <w:r>
              <w:rPr>
                <w:sz w:val="17"/>
              </w:rPr>
              <w:t>J+7  ⭐</w:t>
            </w:r>
          </w:p>
        </w:tc>
        <w:tc>
          <w:tcPr>
            <w:tcW w:type="dxa" w:w="1440"/>
            <w:shd w:fill="C6EFCE" w:val="clear"/>
          </w:tcPr>
          <w:p>
            <w:r>
              <w:rPr>
                <w:sz w:val="17"/>
              </w:rPr>
              <w:t>2026-10-12</w:t>
            </w:r>
          </w:p>
        </w:tc>
        <w:tc>
          <w:tcPr>
            <w:tcW w:type="dxa" w:w="1440"/>
            <w:shd w:fill="C6EFCE" w:val="clear"/>
          </w:tcPr>
          <w:p>
            <w:r>
              <w:rPr>
                <w:sz w:val="17"/>
              </w:rPr>
              <w:t>4,509</w:t>
            </w:r>
          </w:p>
        </w:tc>
        <w:tc>
          <w:tcPr>
            <w:tcW w:type="dxa" w:w="1440"/>
            <w:shd w:fill="C6EFCE" w:val="clear"/>
          </w:tcPr>
          <w:p>
            <w:r>
              <w:rPr>
                <w:b/>
                <w:sz w:val="17"/>
              </w:rPr>
              <w:t>5,273</w:t>
            </w:r>
          </w:p>
        </w:tc>
        <w:tc>
          <w:tcPr>
            <w:tcW w:type="dxa" w:w="1440"/>
            <w:shd w:fill="C6EFCE" w:val="clear"/>
          </w:tcPr>
          <w:p>
            <w:r>
              <w:rPr>
                <w:sz w:val="17"/>
              </w:rPr>
              <w:t>6,037</w:t>
            </w:r>
          </w:p>
        </w:tc>
        <w:tc>
          <w:tcPr>
            <w:tcW w:type="dxa" w:w="1440"/>
            <w:shd w:fill="C6EFCE" w:val="clear"/>
          </w:tcPr>
          <w:p>
            <w:r>
              <w:rPr>
                <w:b/>
                <w:color w:val="008000"/>
                <w:sz w:val="17"/>
              </w:rPr>
              <w:t>+5.5%</w:t>
            </w:r>
          </w:p>
        </w:tc>
      </w:tr>
      <w:tr>
        <w:tc>
          <w:tcPr>
            <w:tcW w:type="dxa" w:w="1440"/>
            <w:shd w:fill="C6EFCE" w:val="clear"/>
          </w:tcPr>
          <w:p>
            <w:r>
              <w:rPr>
                <w:sz w:val="17"/>
              </w:rPr>
              <w:t>J+8  ⭐</w:t>
            </w:r>
          </w:p>
        </w:tc>
        <w:tc>
          <w:tcPr>
            <w:tcW w:type="dxa" w:w="1440"/>
            <w:shd w:fill="C6EFCE" w:val="clear"/>
          </w:tcPr>
          <w:p>
            <w:r>
              <w:rPr>
                <w:sz w:val="17"/>
              </w:rPr>
              <w:t>2026-10-13</w:t>
            </w:r>
          </w:p>
        </w:tc>
        <w:tc>
          <w:tcPr>
            <w:tcW w:type="dxa" w:w="1440"/>
            <w:shd w:fill="C6EFCE" w:val="clear"/>
          </w:tcPr>
          <w:p>
            <w:r>
              <w:rPr>
                <w:sz w:val="17"/>
              </w:rPr>
              <w:t>4,472</w:t>
            </w:r>
          </w:p>
        </w:tc>
        <w:tc>
          <w:tcPr>
            <w:tcW w:type="dxa" w:w="1440"/>
            <w:shd w:fill="C6EFCE" w:val="clear"/>
          </w:tcPr>
          <w:p>
            <w:r>
              <w:rPr>
                <w:b/>
                <w:sz w:val="17"/>
              </w:rPr>
              <w:t>5,292</w:t>
            </w:r>
          </w:p>
        </w:tc>
        <w:tc>
          <w:tcPr>
            <w:tcW w:type="dxa" w:w="1440"/>
            <w:shd w:fill="C6EFCE" w:val="clear"/>
          </w:tcPr>
          <w:p>
            <w:r>
              <w:rPr>
                <w:sz w:val="17"/>
              </w:rPr>
              <w:t>6,112</w:t>
            </w:r>
          </w:p>
        </w:tc>
        <w:tc>
          <w:tcPr>
            <w:tcW w:type="dxa" w:w="1440"/>
            <w:shd w:fill="C6EFCE" w:val="clear"/>
          </w:tcPr>
          <w:p>
            <w:r>
              <w:rPr>
                <w:b/>
                <w:color w:val="008000"/>
                <w:sz w:val="17"/>
              </w:rPr>
              <w:t>+5.8%</w:t>
            </w:r>
          </w:p>
        </w:tc>
      </w:tr>
      <w:tr>
        <w:tc>
          <w:tcPr>
            <w:tcW w:type="dxa" w:w="1440"/>
            <w:shd w:fill="C6EFCE" w:val="clear"/>
          </w:tcPr>
          <w:p>
            <w:r>
              <w:rPr>
                <w:sz w:val="17"/>
              </w:rPr>
              <w:t>J+9  ⭐</w:t>
            </w:r>
          </w:p>
        </w:tc>
        <w:tc>
          <w:tcPr>
            <w:tcW w:type="dxa" w:w="1440"/>
            <w:shd w:fill="C6EFCE" w:val="clear"/>
          </w:tcPr>
          <w:p>
            <w:r>
              <w:rPr>
                <w:sz w:val="17"/>
              </w:rPr>
              <w:t>2026-10-14</w:t>
            </w:r>
          </w:p>
        </w:tc>
        <w:tc>
          <w:tcPr>
            <w:tcW w:type="dxa" w:w="1440"/>
            <w:shd w:fill="C6EFCE" w:val="clear"/>
          </w:tcPr>
          <w:p>
            <w:r>
              <w:rPr>
                <w:sz w:val="17"/>
              </w:rPr>
              <w:t>4,439</w:t>
            </w:r>
          </w:p>
        </w:tc>
        <w:tc>
          <w:tcPr>
            <w:tcW w:type="dxa" w:w="1440"/>
            <w:shd w:fill="C6EFCE" w:val="clear"/>
          </w:tcPr>
          <w:p>
            <w:r>
              <w:rPr>
                <w:b/>
                <w:sz w:val="17"/>
              </w:rPr>
              <w:t>5,311</w:t>
            </w:r>
          </w:p>
        </w:tc>
        <w:tc>
          <w:tcPr>
            <w:tcW w:type="dxa" w:w="1440"/>
            <w:shd w:fill="C6EFCE" w:val="clear"/>
          </w:tcPr>
          <w:p>
            <w:r>
              <w:rPr>
                <w:sz w:val="17"/>
              </w:rPr>
              <w:t>6,184</w:t>
            </w:r>
          </w:p>
        </w:tc>
        <w:tc>
          <w:tcPr>
            <w:tcW w:type="dxa" w:w="1440"/>
            <w:shd w:fill="C6EFCE" w:val="clear"/>
          </w:tcPr>
          <w:p>
            <w:r>
              <w:rPr>
                <w:b/>
                <w:color w:val="008000"/>
                <w:sz w:val="17"/>
              </w:rPr>
              <w:t>+6.2%</w:t>
            </w:r>
          </w:p>
        </w:tc>
      </w:tr>
      <w:tr>
        <w:tc>
          <w:tcPr>
            <w:tcW w:type="dxa" w:w="1440"/>
            <w:shd w:fill="C6EFCE" w:val="clear"/>
          </w:tcPr>
          <w:p>
            <w:r>
              <w:rPr>
                <w:sz w:val="17"/>
              </w:rPr>
              <w:t>J+10  ⭐</w:t>
            </w:r>
          </w:p>
        </w:tc>
        <w:tc>
          <w:tcPr>
            <w:tcW w:type="dxa" w:w="1440"/>
            <w:shd w:fill="C6EFCE" w:val="clear"/>
          </w:tcPr>
          <w:p>
            <w:r>
              <w:rPr>
                <w:sz w:val="17"/>
              </w:rPr>
              <w:t>2026-10-15</w:t>
            </w:r>
          </w:p>
        </w:tc>
        <w:tc>
          <w:tcPr>
            <w:tcW w:type="dxa" w:w="1440"/>
            <w:shd w:fill="C6EFCE" w:val="clear"/>
          </w:tcPr>
          <w:p>
            <w:r>
              <w:rPr>
                <w:sz w:val="17"/>
              </w:rPr>
              <w:t>4,407</w:t>
            </w:r>
          </w:p>
        </w:tc>
        <w:tc>
          <w:tcPr>
            <w:tcW w:type="dxa" w:w="1440"/>
            <w:shd w:fill="C6EFCE" w:val="clear"/>
          </w:tcPr>
          <w:p>
            <w:r>
              <w:rPr>
                <w:b/>
                <w:sz w:val="17"/>
              </w:rPr>
              <w:t>5,330</w:t>
            </w:r>
          </w:p>
        </w:tc>
        <w:tc>
          <w:tcPr>
            <w:tcW w:type="dxa" w:w="1440"/>
            <w:shd w:fill="C6EFCE" w:val="clear"/>
          </w:tcPr>
          <w:p>
            <w:r>
              <w:rPr>
                <w:sz w:val="17"/>
              </w:rPr>
              <w:t>6,254</w:t>
            </w:r>
          </w:p>
        </w:tc>
        <w:tc>
          <w:tcPr>
            <w:tcW w:type="dxa" w:w="1440"/>
            <w:shd w:fill="C6EFCE" w:val="clear"/>
          </w:tcPr>
          <w:p>
            <w:r>
              <w:rPr>
                <w:b/>
                <w:color w:val="008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 RAPPORT D'ANALYSE FINANCIÈRE — BOAN (Bank of Africa Niger)</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104,00 Mds FCFA, BOAN se situe dans la catégorie des valeurs moyennes de la cote BRVM, représentant une capitalisation modeste à l'échelle régionale mais significative pour le compartiment bancaire nigérien. Le BPA de 20 FCFA/action — effondré après l'exercice 2025 — combiné à un cours de 5 000 FCFA, génère un PER de 254,3x, très largement supérieur à la moyenne BRVM (~8-12x) : les investisseurs paient donc extrêmement cher chaque franc de bénéfice, ce qui traduit soit une anticipation forte de rebond, soit une décorrélation totale entre le prix et la rentabilité actuelle. Le P/B de 2,88x indique que le marché valorise BOAN à près de trois fois sa valeur comptable (36,06 Mds FCFA de capitaux propres), soit une prime de croissance significative. Enfin, l'EV/EBITDA de 39,1x — très au-dessus du seuil de 15x — signale une valorisation exigeante au regard de la capacité opérationnelle, ce qui rend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spectaculaire de **+43,47%**, malgré un repli de **-5,66%** lors de la dernière séance (J-1), signe d'une prise de profit après un rallye soutenu. Le titre a évolué dans un range très large, entre un plus bas de **3 395 FCFA** et un plus haut de **5 645 FCFA**, soit une amplitude de plus de 66%, reflétant une tendance nettement haussière portée par les anticipations de redressement post-sanctions. Les statistiques descriptives révèlent une **moyenne (4 652 FCFA) inférieure à la médiane (5 088 FCFA)**, écart caractéristique d'une distribution asymétrique à gauche : le cours a passé plus de temps dans les hauts niveaux récents, mais quelques séances de forte baisse tirent la moyenne vers le bas. L'écart-type de 749 FCFA et le **coefficient de variation de 16,1%** indiquent une dispersion modérée autour de la tendance. Le **kurtosis de -1,562 (platykurtique)** signale une distribution aplatie avec peu de pics extrêmes — le risque de mouvements violents isolés est limité — tandis que le **skewness de -0,340** confirme une légère asymétrie négative (queue de distribution vers les baisses). Enfin, la **volatilité annualisée de 41,5%** classe BOAN parmi les titres à volatilité élevée (&gt;30%), ce qui implique un risque de marché important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(5 282,75 FCFA) et la MM50 (5 276,10 FCFA) sont quasi confondues et positionnées **au-dessus du cours actuel (5 000 FCFA)**, ce qui place le titre en position de faiblesse relative à court terme. Toutefois, la décision affichée est **« Achat »**, probablement parce que la MM20 reste légèrement supérieure à la MM50 (croisement haussier récent), signalant que la tendance de fond demeure positive malgré la correction en cours.</w:t>
      </w:r>
    </w:p>
    <w:p>
      <w:pPr>
        <w:spacing w:after="120" w:line="276" w:lineRule="auto"/>
      </w:pPr>
      <w:r>
        <w:t>**Bandes de Bollinger** : Le cours (5 000 FCFA) se situe **au-dessus de la borne inférieure (4 723,94 FCFA)** mais nettement **sous la borne supérieure (5 841,56 FCFA)**, dans la moitié basse du canal. La décision est **« Neutre »** : le titre n'est ni en surachat ni en survente, et la largeur des bandes (≈1 118 FCFA) confirme une volatilité encore élevée, sans signal directionnel clair.</w:t>
      </w:r>
    </w:p>
    <w:p>
      <w:pPr>
        <w:spacing w:after="120" w:line="276" w:lineRule="auto"/>
      </w:pPr>
      <w:r>
        <w:t>**MACD** : La valeur du MACD (-40,054) est **inférieure à son signal (-24,863)**, avec un histogramme négatif — configuration baissière classique. La décision **« Vente »** reflète un momentum négatif à court terme, le MACD étant passé sous zéro, ce qui suggère que la dynamique haussière des 100 derniers jours s'essouffle.</w:t>
      </w:r>
    </w:p>
    <w:p>
      <w:pPr>
        <w:spacing w:after="120" w:line="276" w:lineRule="auto"/>
      </w:pPr>
      <w:r>
        <w:t>**RSI** : À **38,171**, le RSI se situe dans la zone neutre basse (30-70), sans atteindre la zone de survente (&lt;30). La décision **« Neutre »** indique que le titre n'est ni survendu ni suracheté, mais la proximité de la zone de survente suggère une pression vendeuse modérée qui pourrait se retourner si le seuil de 30 était atteint.</w:t>
      </w:r>
    </w:p>
    <w:p>
      <w:pPr>
        <w:spacing w:after="120" w:line="276" w:lineRule="auto"/>
      </w:pPr>
      <w:r>
        <w:t>**Stochastique** : Le %K (43,902) est **inférieur au %D (64,076)**, avec un croisement baissier en cours — le %K a chuté sous le %D, signal de vente à court terme. La décision **« Neutre »** tempère ce signal, car les deux courbes restent dans une zone médiane, sans divergence marquée.</w:t>
      </w:r>
    </w:p>
    <w:p>
      <w:pPr>
        <w:spacing w:after="120" w:line="276" w:lineRule="auto"/>
      </w:pPr>
      <w:r>
        <w:t>**Conclusion technique** : Les indicateurs sont **divergents** — les moyennes mobiles suggèrent un maintien de la tendance haussière de fond, tandis que le MACD et le stochastique signalent un essoufflement à court terme. Le RSI et les bandes de Bollinger confirment une phase de consolidation neutre. Dans l'ensemble, le titre traverse une **correction technique** après un rallye de +43%, avec un risque de poursuite de la baisse à court terme vers la borne inférieure de Bollinger (4 724 FCFA), mais sans invalidation de la tendance haussière de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 enregistré un **Produit Net Bancaire (PNB) de 21 125 M FCFA**, en léger repli de -1,2% sur un an, et un **résultat net effondré à 409 M FCFA** contre 5 002 M FCFA en 2024, soit une chute de -91,8%. Cette dégradation spectaculaire se traduit par un **ROE de 1,13%** (contre 11,39% en 2024) et un **ROA de 0,14%**, très en deçà des standards bancaires (&gt;15% pour le ROE). Le **coefficient d'exploitation de 74,37%** — bien supérieur au seuil de 60% — révèle une banque **inefficace** sur le plan opérationnel, tandis que le **coût du risque rapporté aux charges financières (67,30%)** signale un portefeuille de crédits très dégradé, cohérent avec le taux de créances en souffrance de 24% mentionné dans les rapports. La structure financière reste fragile : **autonomie financière de 12,36%** (bien en dessous des 30% recommandés) et **ratio d'endettement de 178,61%**, mais la solvabilité générale (114,10%) et le financement des immobilisations (217,06%) demeurent conformes.</w:t>
      </w:r>
    </w:p>
    <w:p>
      <w:pPr>
        <w:spacing w:after="120" w:line="276" w:lineRule="auto"/>
      </w:pPr>
      <w:r>
        <w:t>**Estimations basées sur les rapports trimestriels** : Le **rapport T1 2026 (publié le 31 mars 2026)** marque un **net redressement** : PNB en hausse de +7,9% à 5 170 M FCFA, résultat net en progression de +28,9% à 1 467,3 M FCFA, et coefficient d'exploitation ramené à 56,2% (contre 66,8% un an plus tôt). Le **rapport du 2nd semestre 2025 (publié le 31 décembre 2025)** confirme l'effondrement annuel (-91,8% du résultat net) tout en soulignant la résilience des dépôts (+4,0% à 189 867 M FCFA) et la réduction volontaire des crédits (-20,9% à 128 447 M FCFA). Sur la base de ces éléments, **on estime que l'exercice 2026 devrait afficher un rebond significatif** : le budget 2026 vise un PNB de 22 327 M FCFA (+6,4%) et un résultat avant impôts de 7 280 M FCFA (+515%), avec une réduction du coût du risque de -65,7%. Toutefois, ces projections restent **conditionnées à la confirmation du redressement sur plusieurs trimestres** et à la stabilisation du contexte macroéconomique nigérien.</w:t>
      </w:r>
    </w:p>
    <w:p>
      <w:pPr>
        <w:spacing w:after="120" w:line="276" w:lineRule="auto"/>
      </w:pPr>
      <w:r>
        <w:t>**Recommandation fondamentale** : BOAN présente un **profil de risque élevé** avec des fondamentaux 2025 très dégradés, mais des **perspectives de rebond crédibles** portées par le plan stratégique 2025-2027 (digitalisation, assainissement du portefeuille, soutien du groupe BOA). La **solidité financière reste fragile** (ROE à 1,13%, autonomie financière faible), et l'absence de dividende depuis trois ans limite l'attrait pour les investisseurs de rendement. **Recommandation : CONSERVER sous surveillance rapprochée**, en attendant la confirmation du redressement sur au moins deux trimestres supplémentaires.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Sur le plan de la **valorisation (Partie 0)**, les ratios PER (254,3x), P/B (2,88x) et EV/EBITDA (39,1x) indiquent une **surévaluation manifeste** au regard des bénéfices actuels, le marché anticipant un rebond qui reste à confirmer. Le **comportement du cours (Partie 1)** est haussier sur 100 jours (+43,47%) mais montre des signes d'essoufflement (repli de -5,66% à J-1), avec une **volatilité élevée (41,5%)** et une distribution légèrement asymétrique à gauche (skewness -0,340), ce qui suggère une prise de profit en cours. Les **signaux techniques (Partie 2)** sont **divergents** : les moyennes mobiles restent haussières, mais le MACD et le stochastique signalent une correction à court terme, le RSI et les bandes de Bollinger confirmant une phase de consolidation neutre. Les **fondamentaux (Partie 3)** sont **très dégradés pour 2025** (ROE 1,13%, résultat net -91,8%) mais **portés par un rebond au T1 2026** (résultat net +28,9%, coefficient d'exploitation à 56,2%), ce qui laisse entrevoir une amélioration progressive. Les **prédictions IA (J+1 à J+10)** tablent sur une **légère reprise** (5 193 FCFA le 2 octobre, 5 233 FCFA le 8 octobre), ce qui **contredit partiellement** les signaux techniques baissiers à court terme et **confirme** la tendance haussière de fond.</w:t>
      </w:r>
    </w:p>
    <w:p>
      <w:pPr>
        <w:spacing w:after="120" w:line="276" w:lineRule="auto"/>
      </w:pPr>
      <w:r>
        <w:t>**Recommandation finale : CONSERVER** — avec un **niveau de confiance moyen** et un **risque global élevé**. La convergence entre la valorisation exigeante, les fondamentaux en redressement et les prédictions IA modérément haussières plaide pour une **position attentiste**, en attendant la confirmation du redressement sur le T2 2026. **Horizon d'investissement optimal : moyen terme (3-12 mois)**, pour les investisseurs prêts à tolérer une volatilité élevée et un risque de crédit significatif, en misant sur la concrétisation du plan stratégique et l'amélioration du contexte macroéconomique nigérien. **À éviter pour les investisseurs recherchant des dividendes ou une rentabilité immédiate.**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294.30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11,606 titres</w:t>
            </w:r>
          </w:p>
        </w:tc>
        <w:tc>
          <w:tcPr>
            <w:tcW w:type="dxa" w:w="2268"/>
            <w:shd w:fill="FFF2CC" w:val="clear"/>
          </w:tcPr>
          <w:p>
            <w:r>
              <w:rPr>
                <w:b/>
                <w:color w:val="503200"/>
                <w:sz w:val="16"/>
              </w:rPr>
              <w:t xml:space="preserve">Cours actuel : </w:t>
            </w:r>
            <w:r>
              <w:rPr>
                <w:color w:val="000000"/>
                <w:sz w:val="17"/>
              </w:rPr>
              <w:t>8,175 FCFA</w:t>
            </w:r>
          </w:p>
          <w:p>
            <w:r>
              <w:rPr>
                <w:b/>
                <w:color w:val="503200"/>
                <w:sz w:val="16"/>
              </w:rPr>
              <w:t xml:space="preserve">Var. 100 jours : </w:t>
            </w:r>
            <w:r>
              <w:rPr>
                <w:b/>
                <w:color w:val="007800"/>
                <w:sz w:val="17"/>
              </w:rPr>
              <w:t>+10.62%</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μ=7,729 FCFA, σ=364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β=0.6123 (Défensif) — Cov=0.000043, Var(idx)=0.000070, ρ=0.301,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2026-10-02</w:t>
            </w:r>
          </w:p>
        </w:tc>
        <w:tc>
          <w:tcPr>
            <w:tcW w:type="dxa" w:w="1440"/>
            <w:shd w:fill="FFDCE0" w:val="clear"/>
          </w:tcPr>
          <w:p>
            <w:r>
              <w:rPr>
                <w:sz w:val="17"/>
              </w:rPr>
              <w:t>7,737</w:t>
            </w:r>
          </w:p>
        </w:tc>
        <w:tc>
          <w:tcPr>
            <w:tcW w:type="dxa" w:w="1440"/>
            <w:shd w:fill="FFDCE0" w:val="clear"/>
          </w:tcPr>
          <w:p>
            <w:r>
              <w:rPr>
                <w:b/>
                <w:sz w:val="17"/>
              </w:rPr>
              <w:t>7,979</w:t>
            </w:r>
          </w:p>
        </w:tc>
        <w:tc>
          <w:tcPr>
            <w:tcW w:type="dxa" w:w="1440"/>
            <w:shd w:fill="FFDCE0" w:val="clear"/>
          </w:tcPr>
          <w:p>
            <w:r>
              <w:rPr>
                <w:sz w:val="17"/>
              </w:rPr>
              <w:t>8,220</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2026-10-05</w:t>
            </w:r>
          </w:p>
        </w:tc>
        <w:tc>
          <w:tcPr>
            <w:tcW w:type="dxa" w:w="1440"/>
            <w:shd w:fill="FFDCE0" w:val="clear"/>
          </w:tcPr>
          <w:p>
            <w:r>
              <w:rPr>
                <w:sz w:val="17"/>
              </w:rPr>
              <w:t>7,523</w:t>
            </w:r>
          </w:p>
        </w:tc>
        <w:tc>
          <w:tcPr>
            <w:tcW w:type="dxa" w:w="1440"/>
            <w:shd w:fill="FFDCE0" w:val="clear"/>
          </w:tcPr>
          <w:p>
            <w:r>
              <w:rPr>
                <w:b/>
                <w:sz w:val="17"/>
              </w:rPr>
              <w:t>7,860</w:t>
            </w:r>
          </w:p>
        </w:tc>
        <w:tc>
          <w:tcPr>
            <w:tcW w:type="dxa" w:w="1440"/>
            <w:shd w:fill="FFDCE0" w:val="clear"/>
          </w:tcPr>
          <w:p>
            <w:r>
              <w:rPr>
                <w:sz w:val="17"/>
              </w:rPr>
              <w:t>8,197</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2026-10-06</w:t>
            </w:r>
          </w:p>
        </w:tc>
        <w:tc>
          <w:tcPr>
            <w:tcW w:type="dxa" w:w="1440"/>
            <w:shd w:fill="FFDCE0" w:val="clear"/>
          </w:tcPr>
          <w:p>
            <w:r>
              <w:rPr>
                <w:sz w:val="17"/>
              </w:rPr>
              <w:t>7,339</w:t>
            </w:r>
          </w:p>
        </w:tc>
        <w:tc>
          <w:tcPr>
            <w:tcW w:type="dxa" w:w="1440"/>
            <w:shd w:fill="FFDCE0" w:val="clear"/>
          </w:tcPr>
          <w:p>
            <w:r>
              <w:rPr>
                <w:b/>
                <w:sz w:val="17"/>
              </w:rPr>
              <w:t>7,745</w:t>
            </w:r>
          </w:p>
        </w:tc>
        <w:tc>
          <w:tcPr>
            <w:tcW w:type="dxa" w:w="1440"/>
            <w:shd w:fill="FFDCE0" w:val="clear"/>
          </w:tcPr>
          <w:p>
            <w:r>
              <w:rPr>
                <w:sz w:val="17"/>
              </w:rPr>
              <w:t>8,152</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2026-10-07</w:t>
            </w:r>
          </w:p>
        </w:tc>
        <w:tc>
          <w:tcPr>
            <w:tcW w:type="dxa" w:w="1440"/>
            <w:shd w:fill="FFDCE0" w:val="clear"/>
          </w:tcPr>
          <w:p>
            <w:r>
              <w:rPr>
                <w:sz w:val="17"/>
              </w:rPr>
              <w:t>7,178</w:t>
            </w:r>
          </w:p>
        </w:tc>
        <w:tc>
          <w:tcPr>
            <w:tcW w:type="dxa" w:w="1440"/>
            <w:shd w:fill="FFDCE0" w:val="clear"/>
          </w:tcPr>
          <w:p>
            <w:r>
              <w:rPr>
                <w:b/>
                <w:sz w:val="17"/>
              </w:rPr>
              <w:t>7,641</w:t>
            </w:r>
          </w:p>
        </w:tc>
        <w:tc>
          <w:tcPr>
            <w:tcW w:type="dxa" w:w="1440"/>
            <w:shd w:fill="FFDCE0" w:val="clear"/>
          </w:tcPr>
          <w:p>
            <w:r>
              <w:rPr>
                <w:sz w:val="17"/>
              </w:rPr>
              <w:t>8,104</w:t>
            </w:r>
          </w:p>
        </w:tc>
        <w:tc>
          <w:tcPr>
            <w:tcW w:type="dxa" w:w="1440"/>
            <w:shd w:fill="FFDCE0" w:val="clear"/>
          </w:tcPr>
          <w:p>
            <w:r>
              <w:rPr>
                <w:b/>
                <w:color w:val="C00000"/>
                <w:sz w:val="17"/>
              </w:rPr>
              <w:t>-6.5%</w:t>
            </w:r>
          </w:p>
        </w:tc>
      </w:tr>
      <w:tr>
        <w:tc>
          <w:tcPr>
            <w:tcW w:type="dxa" w:w="1440"/>
            <w:shd w:fill="FFDCE0" w:val="clear"/>
          </w:tcPr>
          <w:p>
            <w:r>
              <w:rPr>
                <w:sz w:val="17"/>
              </w:rPr>
              <w:t>J+5  Moyenne</w:t>
            </w:r>
          </w:p>
        </w:tc>
        <w:tc>
          <w:tcPr>
            <w:tcW w:type="dxa" w:w="1440"/>
            <w:shd w:fill="FFDCE0" w:val="clear"/>
          </w:tcPr>
          <w:p>
            <w:r>
              <w:rPr>
                <w:sz w:val="17"/>
              </w:rPr>
              <w:t>2026-10-08</w:t>
            </w:r>
          </w:p>
        </w:tc>
        <w:tc>
          <w:tcPr>
            <w:tcW w:type="dxa" w:w="1440"/>
            <w:shd w:fill="FFDCE0" w:val="clear"/>
          </w:tcPr>
          <w:p>
            <w:r>
              <w:rPr>
                <w:sz w:val="17"/>
              </w:rPr>
              <w:t>7,032</w:t>
            </w:r>
          </w:p>
        </w:tc>
        <w:tc>
          <w:tcPr>
            <w:tcW w:type="dxa" w:w="1440"/>
            <w:shd w:fill="FFDCE0" w:val="clear"/>
          </w:tcPr>
          <w:p>
            <w:r>
              <w:rPr>
                <w:b/>
                <w:sz w:val="17"/>
              </w:rPr>
              <w:t>7,543</w:t>
            </w:r>
          </w:p>
        </w:tc>
        <w:tc>
          <w:tcPr>
            <w:tcW w:type="dxa" w:w="1440"/>
            <w:shd w:fill="FFDCE0" w:val="clear"/>
          </w:tcPr>
          <w:p>
            <w:r>
              <w:rPr>
                <w:sz w:val="17"/>
              </w:rPr>
              <w:t>8,054</w:t>
            </w:r>
          </w:p>
        </w:tc>
        <w:tc>
          <w:tcPr>
            <w:tcW w:type="dxa" w:w="1440"/>
            <w:shd w:fill="FFDCE0" w:val="clear"/>
          </w:tcPr>
          <w:p>
            <w:r>
              <w:rPr>
                <w:b/>
                <w:color w:val="C00000"/>
                <w:sz w:val="17"/>
              </w:rPr>
              <w:t>-7.7%</w:t>
            </w:r>
          </w:p>
        </w:tc>
      </w:tr>
      <w:tr>
        <w:tc>
          <w:tcPr>
            <w:tcW w:type="dxa" w:w="1440"/>
            <w:shd w:fill="FFDCE0" w:val="clear"/>
          </w:tcPr>
          <w:p>
            <w:r>
              <w:rPr>
                <w:sz w:val="17"/>
              </w:rPr>
              <w:t>J+6  Moyenne</w:t>
            </w:r>
          </w:p>
        </w:tc>
        <w:tc>
          <w:tcPr>
            <w:tcW w:type="dxa" w:w="1440"/>
            <w:shd w:fill="FFDCE0" w:val="clear"/>
          </w:tcPr>
          <w:p>
            <w:r>
              <w:rPr>
                <w:sz w:val="17"/>
              </w:rPr>
              <w:t>2026-10-09</w:t>
            </w:r>
          </w:p>
        </w:tc>
        <w:tc>
          <w:tcPr>
            <w:tcW w:type="dxa" w:w="1440"/>
            <w:shd w:fill="FFDCE0" w:val="clear"/>
          </w:tcPr>
          <w:p>
            <w:r>
              <w:rPr>
                <w:sz w:val="17"/>
              </w:rPr>
              <w:t>6,897</w:t>
            </w:r>
          </w:p>
        </w:tc>
        <w:tc>
          <w:tcPr>
            <w:tcW w:type="dxa" w:w="1440"/>
            <w:shd w:fill="FFDCE0" w:val="clear"/>
          </w:tcPr>
          <w:p>
            <w:r>
              <w:rPr>
                <w:b/>
                <w:sz w:val="17"/>
              </w:rPr>
              <w:t>7,450</w:t>
            </w:r>
          </w:p>
        </w:tc>
        <w:tc>
          <w:tcPr>
            <w:tcW w:type="dxa" w:w="1440"/>
            <w:shd w:fill="FFDCE0" w:val="clear"/>
          </w:tcPr>
          <w:p>
            <w:r>
              <w:rPr>
                <w:sz w:val="17"/>
              </w:rPr>
              <w:t>8,002</w:t>
            </w:r>
          </w:p>
        </w:tc>
        <w:tc>
          <w:tcPr>
            <w:tcW w:type="dxa" w:w="1440"/>
            <w:shd w:fill="FFDCE0" w:val="clear"/>
          </w:tcPr>
          <w:p>
            <w:r>
              <w:rPr>
                <w:b/>
                <w:color w:val="C00000"/>
                <w:sz w:val="17"/>
              </w:rPr>
              <w:t>-8.9%</w:t>
            </w:r>
          </w:p>
        </w:tc>
      </w:tr>
      <w:tr>
        <w:tc>
          <w:tcPr>
            <w:tcW w:type="dxa" w:w="1440"/>
            <w:shd w:fill="FFDCE0" w:val="clear"/>
          </w:tcPr>
          <w:p>
            <w:r>
              <w:rPr>
                <w:sz w:val="17"/>
              </w:rPr>
              <w:t>J+7  Moyenne</w:t>
            </w:r>
          </w:p>
        </w:tc>
        <w:tc>
          <w:tcPr>
            <w:tcW w:type="dxa" w:w="1440"/>
            <w:shd w:fill="FFDCE0" w:val="clear"/>
          </w:tcPr>
          <w:p>
            <w:r>
              <w:rPr>
                <w:sz w:val="17"/>
              </w:rPr>
              <w:t>2026-10-12</w:t>
            </w:r>
          </w:p>
        </w:tc>
        <w:tc>
          <w:tcPr>
            <w:tcW w:type="dxa" w:w="1440"/>
            <w:shd w:fill="FFDCE0" w:val="clear"/>
          </w:tcPr>
          <w:p>
            <w:r>
              <w:rPr>
                <w:sz w:val="17"/>
              </w:rPr>
              <w:t>6,771</w:t>
            </w:r>
          </w:p>
        </w:tc>
        <w:tc>
          <w:tcPr>
            <w:tcW w:type="dxa" w:w="1440"/>
            <w:shd w:fill="FFDCE0" w:val="clear"/>
          </w:tcPr>
          <w:p>
            <w:r>
              <w:rPr>
                <w:b/>
                <w:sz w:val="17"/>
              </w:rPr>
              <w:t>7,361</w:t>
            </w:r>
          </w:p>
        </w:tc>
        <w:tc>
          <w:tcPr>
            <w:tcW w:type="dxa" w:w="1440"/>
            <w:shd w:fill="FFDCE0" w:val="clear"/>
          </w:tcPr>
          <w:p>
            <w:r>
              <w:rPr>
                <w:sz w:val="17"/>
              </w:rPr>
              <w:t>7,951</w:t>
            </w:r>
          </w:p>
        </w:tc>
        <w:tc>
          <w:tcPr>
            <w:tcW w:type="dxa" w:w="1440"/>
            <w:shd w:fill="FFDCE0" w:val="clear"/>
          </w:tcPr>
          <w:p>
            <w:r>
              <w:rPr>
                <w:b/>
                <w:color w:val="C00000"/>
                <w:sz w:val="17"/>
              </w:rPr>
              <w:t>-10.0%</w:t>
            </w:r>
          </w:p>
        </w:tc>
      </w:tr>
      <w:tr>
        <w:tc>
          <w:tcPr>
            <w:tcW w:type="dxa" w:w="1440"/>
            <w:shd w:fill="FFDCE0" w:val="clear"/>
          </w:tcPr>
          <w:p>
            <w:r>
              <w:rPr>
                <w:sz w:val="17"/>
              </w:rPr>
              <w:t>J+8  Moyenne</w:t>
            </w:r>
          </w:p>
        </w:tc>
        <w:tc>
          <w:tcPr>
            <w:tcW w:type="dxa" w:w="1440"/>
            <w:shd w:fill="FFDCE0" w:val="clear"/>
          </w:tcPr>
          <w:p>
            <w:r>
              <w:rPr>
                <w:sz w:val="17"/>
              </w:rPr>
              <w:t>2026-10-13</w:t>
            </w:r>
          </w:p>
        </w:tc>
        <w:tc>
          <w:tcPr>
            <w:tcW w:type="dxa" w:w="1440"/>
            <w:shd w:fill="FFDCE0" w:val="clear"/>
          </w:tcPr>
          <w:p>
            <w:r>
              <w:rPr>
                <w:sz w:val="17"/>
              </w:rPr>
              <w:t>6,652</w:t>
            </w:r>
          </w:p>
        </w:tc>
        <w:tc>
          <w:tcPr>
            <w:tcW w:type="dxa" w:w="1440"/>
            <w:shd w:fill="FFDCE0" w:val="clear"/>
          </w:tcPr>
          <w:p>
            <w:r>
              <w:rPr>
                <w:b/>
                <w:sz w:val="17"/>
              </w:rPr>
              <w:t>7,276</w:t>
            </w:r>
          </w:p>
        </w:tc>
        <w:tc>
          <w:tcPr>
            <w:tcW w:type="dxa" w:w="1440"/>
            <w:shd w:fill="FFDCE0" w:val="clear"/>
          </w:tcPr>
          <w:p>
            <w:r>
              <w:rPr>
                <w:sz w:val="17"/>
              </w:rPr>
              <w:t>7,899</w:t>
            </w:r>
          </w:p>
        </w:tc>
        <w:tc>
          <w:tcPr>
            <w:tcW w:type="dxa" w:w="1440"/>
            <w:shd w:fill="FFDCE0" w:val="clear"/>
          </w:tcPr>
          <w:p>
            <w:r>
              <w:rPr>
                <w:b/>
                <w:color w:val="C00000"/>
                <w:sz w:val="17"/>
              </w:rPr>
              <w:t>-11.0%</w:t>
            </w:r>
          </w:p>
        </w:tc>
      </w:tr>
      <w:tr>
        <w:tc>
          <w:tcPr>
            <w:tcW w:type="dxa" w:w="1440"/>
            <w:shd w:fill="FFDCE0" w:val="clear"/>
          </w:tcPr>
          <w:p>
            <w:r>
              <w:rPr>
                <w:sz w:val="17"/>
              </w:rPr>
              <w:t>J+9  Moyenne</w:t>
            </w:r>
          </w:p>
        </w:tc>
        <w:tc>
          <w:tcPr>
            <w:tcW w:type="dxa" w:w="1440"/>
            <w:shd w:fill="FFDCE0" w:val="clear"/>
          </w:tcPr>
          <w:p>
            <w:r>
              <w:rPr>
                <w:sz w:val="17"/>
              </w:rPr>
              <w:t>2026-10-14</w:t>
            </w:r>
          </w:p>
        </w:tc>
        <w:tc>
          <w:tcPr>
            <w:tcW w:type="dxa" w:w="1440"/>
            <w:shd w:fill="FFDCE0" w:val="clear"/>
          </w:tcPr>
          <w:p>
            <w:r>
              <w:rPr>
                <w:sz w:val="17"/>
              </w:rPr>
              <w:t>6,541</w:t>
            </w:r>
          </w:p>
        </w:tc>
        <w:tc>
          <w:tcPr>
            <w:tcW w:type="dxa" w:w="1440"/>
            <w:shd w:fill="FFDCE0" w:val="clear"/>
          </w:tcPr>
          <w:p>
            <w:r>
              <w:rPr>
                <w:b/>
                <w:sz w:val="17"/>
              </w:rPr>
              <w:t>7,195</w:t>
            </w:r>
          </w:p>
        </w:tc>
        <w:tc>
          <w:tcPr>
            <w:tcW w:type="dxa" w:w="1440"/>
            <w:shd w:fill="FFDCE0" w:val="clear"/>
          </w:tcPr>
          <w:p>
            <w:r>
              <w:rPr>
                <w:sz w:val="17"/>
              </w:rPr>
              <w:t>7,849</w:t>
            </w:r>
          </w:p>
        </w:tc>
        <w:tc>
          <w:tcPr>
            <w:tcW w:type="dxa" w:w="1440"/>
            <w:shd w:fill="FFDCE0" w:val="clear"/>
          </w:tcPr>
          <w:p>
            <w:r>
              <w:rPr>
                <w:b/>
                <w:color w:val="C00000"/>
                <w:sz w:val="17"/>
              </w:rPr>
              <w:t>-12.0%</w:t>
            </w:r>
          </w:p>
        </w:tc>
      </w:tr>
      <w:tr>
        <w:tc>
          <w:tcPr>
            <w:tcW w:type="dxa" w:w="1440"/>
            <w:shd w:fill="FFDCE0" w:val="clear"/>
          </w:tcPr>
          <w:p>
            <w:r>
              <w:rPr>
                <w:sz w:val="17"/>
              </w:rPr>
              <w:t>J+10  Moyenne</w:t>
            </w:r>
          </w:p>
        </w:tc>
        <w:tc>
          <w:tcPr>
            <w:tcW w:type="dxa" w:w="1440"/>
            <w:shd w:fill="FFDCE0" w:val="clear"/>
          </w:tcPr>
          <w:p>
            <w:r>
              <w:rPr>
                <w:sz w:val="17"/>
              </w:rPr>
              <w:t>2026-10-15</w:t>
            </w:r>
          </w:p>
        </w:tc>
        <w:tc>
          <w:tcPr>
            <w:tcW w:type="dxa" w:w="1440"/>
            <w:shd w:fill="FFDCE0" w:val="clear"/>
          </w:tcPr>
          <w:p>
            <w:r>
              <w:rPr>
                <w:sz w:val="17"/>
              </w:rPr>
              <w:t>6,435</w:t>
            </w:r>
          </w:p>
        </w:tc>
        <w:tc>
          <w:tcPr>
            <w:tcW w:type="dxa" w:w="1440"/>
            <w:shd w:fill="FFDCE0" w:val="clear"/>
          </w:tcPr>
          <w:p>
            <w:r>
              <w:rPr>
                <w:b/>
                <w:sz w:val="17"/>
              </w:rPr>
              <w:t>7,117</w:t>
            </w:r>
          </w:p>
        </w:tc>
        <w:tc>
          <w:tcPr>
            <w:tcW w:type="dxa" w:w="1440"/>
            <w:shd w:fill="FFDCE0" w:val="clear"/>
          </w:tcPr>
          <w:p>
            <w:r>
              <w:rPr>
                <w:sz w:val="17"/>
              </w:rPr>
              <w:t>7,799</w:t>
            </w:r>
          </w:p>
        </w:tc>
        <w:tc>
          <w:tcPr>
            <w:tcW w:type="dxa" w:w="1440"/>
            <w:shd w:fill="FFDCE0" w:val="clear"/>
          </w:tcPr>
          <w:p>
            <w:r>
              <w:rPr>
                <w:b/>
                <w:color w:val="C00000"/>
                <w:sz w:val="17"/>
              </w:rPr>
              <w:t>-12.9%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294,30 milliards FCFA, BOAS s'impose comme l'une des valeurs bancaires de référence de la cote BRVM, reflétant la solidité de son bilan de 836,158 milliards FCFA. Le BPA de 608 FCFA par action signifie que chaque titre génère près de 608 FCFA de bénéfice net, un niveau de rentabilité par action parmi les plus élevés du compartiment bancaire. Le PER de 13,4x se situe légèrement au-dessus de la moyenne BRVM (8-12x), traduisant une prime de qualité justifiée par la régularité des résultats, sans pour autant constituer une surévaluation excessive. Le P/B de 3,05x indique que le marché valorise la banque à trois fois ses fonds propres comptables (96,526 Mds FCFA), une prime de croissance significative mais cohérente avec un ROE de 22,69%. Enfin, l'EV/EBITDA de 8,7x, dans la fourchette raisonnable de 5-10x, confirme que la valeur d'entreprise reste proportionnée à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affiche une progression totale de +10,62%, avec une dernière séance en hausse de +0,37%, confirmant une dynamique haussière régulière. Le cours actuel de 8 175 FCFA évolue dans un range de 7 250 FCFA (plus bas) à 8 500 FCFA (plus haut), soit une amplitude de trading de 17,2% qui témoigne d'une tendance globalement ascendante mais ponctuée de corrections. La moyenne de 7 729 FCFA et la médiane de 7 695 FCFA sont très proches, avec un mode à 7 700 FCFA, indiquant une distribution équilibrée sans biais marqué malgré un skewness de 0,415 (légèrement positif, donc quelques pics haussiers). L'écart-type de 366 FCFA et le coefficient de variation de 4,7% révèlent une dispersion modérée du cours autour de sa moyenne, signe d'une certaine stabilité. Le kurtosis de -1,131 (platykurtique) indique une distribution aplatie avec une faible concentration des rendements, donc un risque de pics extrêmes limité. Enfin, la volatilité annualisée de 26,5% positionne BOAS dans la catégorie des titres à volatilité modérée (15-30%), ce qui est rassurant pour un investisseur recherchant un compromis rendement/risque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(8 134 FCFA) et la MM50 (8 007 FCFA) se situent toutes deux sous le cours actuel de 8 175 FCFA, avec la MM20 au-dessus de la MM50 — configuration haussière classique (golden cross). Le cours évoluant au-dessus de ses deux moyennes, la décision technique est à l'**Achat**, confirmant la tendance positive de moyen terme.</w:t>
      </w:r>
    </w:p>
    <w:p>
      <w:pPr>
        <w:spacing w:after="120" w:line="276" w:lineRule="auto"/>
      </w:pPr>
      <w:r>
        <w:t>**Bandes de Bollinger** : Le cours (8 175 FCFA) évolue dans la partie supérieure de la bande, entre la borne inférieure (7 778 FCFA) et la borne supérieure (8 490 FCFA), sans franchir cette dernière. Cette position médiane-haute, avec un écart de 711 FCFA entre les bornes, traduit une volatilité contenue et une décision **Neutre** — le titre n'est ni en surachat ni en survente.</w:t>
      </w:r>
    </w:p>
    <w:p>
      <w:pPr>
        <w:spacing w:after="120" w:line="276" w:lineRule="auto"/>
      </w:pPr>
      <w:r>
        <w:t>**MACD** : La valeur du MACD (9,796) est inférieure à son signal (16,531), générant un croisement baissier qui indique un essoufflement du momentum haussier. Cette divergence négative justifie la décision de **Vente** à court terme, bien que la tendance de fond reste positive.</w:t>
      </w:r>
    </w:p>
    <w:p>
      <w:pPr>
        <w:spacing w:after="120" w:line="276" w:lineRule="auto"/>
      </w:pPr>
      <w:r>
        <w:t>**RSI** : À 49,091, le RSI se situe parfaitement dans la zone neutre (30-70), sans signal de surachat (&gt;70) ni de survente (&lt;30). Cette position équilibrée confirme la décision **Neutre**, le titre n'offrant pas de signal directionnel fort à court terme.</w:t>
      </w:r>
    </w:p>
    <w:p>
      <w:pPr>
        <w:spacing w:after="120" w:line="276" w:lineRule="auto"/>
      </w:pPr>
      <w:r>
        <w:t>**Stochastique** : Le %K (75,0) est légèrement supérieur au %D (72,143), avec les deux indicateurs en zone haute mais sans franchissement des 80 (seuil de surachat). Cette configuration indique une pression acheteuse modérée mais un risque de retournement imminent, d'où la décision **Neutre**.</w:t>
      </w:r>
    </w:p>
    <w:p>
      <w:pPr>
        <w:spacing w:after="120" w:line="276" w:lineRule="auto"/>
      </w:pPr>
      <w:r>
        <w:t>**Conclusion technique** : Les indicateurs présentent un tableau mitigé — les moyennes mobiles confirment la tendance haussière de fond, mais le MACD baissier et le RSI neutre suggèrent une pause dans le mouvement. Le titre se trouve dans une phase de consolidation après sa progression de +10,62%, avec un support technique solide autour de 8 000-8 100 FCFA (zone MM20/MM50) et une résistance à 8 500 FCFA. La convergence des signaux neutres (Bollinger, RSI, Stochastique) plaide pour une attente avant tout nouvel engagement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(PNB) de 51,926 Mds FCFA, un résultat net de 21,905 Mds FCFA et un total bilan de 836,158 Mds FCFA. Le ROE s'établit à 22,69% (excellent, &gt;15%) et le ROA à 2,62%, confirmant une rentabilité des fonds propres remarquable. Le coefficient d'exploitation de 44,02% (largement &lt;60%) témoigne d'une efficacité opérationnelle supérieure à la moyenne du secteur bancaire. Le coût du risque, à 23,31% des charges financières, reste un point de vigilance, bien qu'il soit en amélioration par rapport aux exercices antérieurs (il était de -1,8% du PNB en 2021 contre -0,5% en T3 2025). La structure financière affiche une autonomie financière de 11,54% (faible, mais normale pour une banque) et une solvabilité générale de 113,05% (&gt;1, donc solvable). Le ratio dépôts/créances s'élève à 686,927 Mds FCFA de dépôts clientèle pour 386,424 Mds FCFA de créances, soit un taux de transformation de 56,3%, indiquant une marge de progression dans l'utilisation des ressources collectées.</w:t>
      </w:r>
    </w:p>
    <w:p>
      <w:pPr>
        <w:spacing w:after="120" w:line="276" w:lineRule="auto"/>
      </w:pPr>
      <w:r>
        <w:t>**Estimations basées sur les rapports trimestriels** : Le rapport du T1 2026 (publié en 2026) révèle un PNB de 12,580 Mds FCFA (+6,82% sur un an) et un résultat net de 5,741 Mds FCFA (+9,78%), avec un coefficient d'exploitation en amélioration à 42,1% (contre 42,8% en T1 2025). Le rapport du S1 2026 (daté du 30 juin 2026) fait état d'un PNB semestriel de 27,206 Mds FCFA, en hausse par rapport aux 25,37 Mds FCFA du S1 2025 (+7,2%). Sur la base de ces tendances, on peut estimer que l'exercice 2026 devrait enregistrer un PNB annuel d'environ 54-55 Mds FCFA (+4-6%) et un résultat net de l'ordre de 23-24 Mds FCFA (+5-10%), confirmant la trajectoire de croissance régulière. Le rapport du T3 2025 (daté du 30 septembre 2025) indiquait déjà un résultat net cumulé de 16,37 Mds FCFA (+10,01%) et un coefficient d'exploitation de 44,4%, en amélioration continue.</w:t>
      </w:r>
    </w:p>
    <w:p>
      <w:pPr>
        <w:spacing w:after="120" w:line="276" w:lineRule="auto"/>
      </w:pPr>
      <w:r>
        <w:t>**Évolution pluriannuelle** : Les rapports antérieurs (2021) montrent une croissance spectaculaire du résultat net (+44,4% en 2021 à 11,070 Mds FCFA), suivie d'une normalisation progressive. La dynamique reste positive, portée par la collecte de dépôts (+13,6% au T1 2026) et l'amélioration de l'efficacité opérationnelle. Le principal risque identifié est la concentration sur le marché sénégalais et la lenteur de la transformation des dépôts en crédits, qui pourrait limiter la rentabilité future.</w:t>
      </w:r>
    </w:p>
    <w:p>
      <w:pPr>
        <w:spacing w:after="120" w:line="276" w:lineRule="auto"/>
      </w:pPr>
      <w:r>
        <w:t>**Recommandation fondamentale** : BOAS présente des fondamentaux solides — rentabilité élevée (ROE &gt;22%), efficacité opérationnelle confirmée (coefficient &lt;45%), et croissance régulière du PNB et du résultat net. Les risques principaux sont le coût du risque (23,3% des charges financières) et la dépendance au marché sénégalais. La valorisation (PER 13,4x, P/B 3,05x) intègre déjà une prime de qualité, mais reste soutenable au vu de la trajectoire bénéficiaire.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indique une juste appréciation du titre — le PER de 13,4x et le P/B de 3,05x traduisent une prime de qualité justifiée par un ROE de 22,69%, sans surévaluation excessive. Le comportement du cours (Partie 1) est favorable : tendance haussière (+10,62% sur 100 jours), volatilité modérée (26,5%), distribution équilibrée (skewness 0,415, kurtosis -1,131) et dispersion contenue (CV 4,7%). Les signaux techniques (Partie 2) sont mitigés : les moyennes mobiles confirment la tendance haussière, mais le MACD baissier et le RSI neutre suggèrent une consolidation à court terme. Les fondamentaux (Partie 3) sont solides : PNB de 51,926 Mds FCFA en 2025, résultat net de 21,905 Mds FCFA, ROE de 22,69%, coefficient d'exploitation de 44,02%, avec des estimations 2026 favorables (PNB +4-6%, résultat net +5-10% sur la base des rapports T1 et S1 2026). Les prédictions IA (J+1 à J+10) anticipent une correction baissière vers 7 543 FCFA d'ici le 8 octobre 2026, contredisant la tendance haussière de fond mais cohérentes avec le signal MACD baissier.</w:t>
      </w:r>
    </w:p>
    <w:p>
      <w:pPr>
        <w:spacing w:after="120" w:line="276" w:lineRule="auto"/>
      </w:pPr>
      <w:r>
        <w:t>**Recommandation finale** : **CONSERVER** (avec opportunité d'achat sur repli). La convergence entre valorisation raisonnable, fondamentaux solides et tendance de fond haussière est contrariée par les signaux techniques baissiers à court terme (MACD, prédictions IA). Le niveau de confiance est **Moyen** — les fondamentaux sont robustes, mais l'incertitude technique à court terme invite à la prudence. Le niveau de risque global est **Moyen** (volatilité modérée, coût du risque à surveiller, concentration géographique). L'horizon d'investissement optimal est le **moyen terme (3-12 mois)** , en profitant des replis vers 7 800-8 000 FCFA pour renforcer les positions, avec un objectif de cours à 8 500 FCFA (plus haut annuel) et un potentiel de +4% à court terme, voire +10% à moyen terme si la dynamique bénéficiaire se confirme.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2,049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B40000"/>
                <w:sz w:val="17"/>
              </w:rPr>
              <w:t>-3.00%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7.85% (Moyenne) — μ=3,682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β=0.3512 (Défensif) — Cov=0.000024, Var(idx)=0.000070, ρ=0.102,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3,282</w:t>
            </w:r>
          </w:p>
        </w:tc>
        <w:tc>
          <w:tcPr>
            <w:tcW w:type="dxa" w:w="1440"/>
            <w:shd w:fill="FAFAFA" w:val="clear"/>
          </w:tcPr>
          <w:p>
            <w:r>
              <w:rPr>
                <w:b/>
                <w:sz w:val="17"/>
              </w:rPr>
              <w:t>3,386</w:t>
            </w:r>
          </w:p>
        </w:tc>
        <w:tc>
          <w:tcPr>
            <w:tcW w:type="dxa" w:w="1440"/>
            <w:shd w:fill="FAFAFA" w:val="clear"/>
          </w:tcPr>
          <w:p>
            <w:r>
              <w:rPr>
                <w:sz w:val="17"/>
              </w:rPr>
              <w:t>3,490</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3,229</w:t>
            </w:r>
          </w:p>
        </w:tc>
        <w:tc>
          <w:tcPr>
            <w:tcW w:type="dxa" w:w="1440"/>
            <w:shd w:fill="FAFAFA" w:val="clear"/>
          </w:tcPr>
          <w:p>
            <w:r>
              <w:rPr>
                <w:b/>
                <w:sz w:val="17"/>
              </w:rPr>
              <w:t>3,376</w:t>
            </w:r>
          </w:p>
        </w:tc>
        <w:tc>
          <w:tcPr>
            <w:tcW w:type="dxa" w:w="1440"/>
            <w:shd w:fill="FAFAFA" w:val="clear"/>
          </w:tcPr>
          <w:p>
            <w:r>
              <w:rPr>
                <w:sz w:val="17"/>
              </w:rPr>
              <w:t>3,522</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3,187</w:t>
            </w:r>
          </w:p>
        </w:tc>
        <w:tc>
          <w:tcPr>
            <w:tcW w:type="dxa" w:w="1440"/>
            <w:shd w:fill="FAFAFA" w:val="clear"/>
          </w:tcPr>
          <w:p>
            <w:r>
              <w:rPr>
                <w:b/>
                <w:sz w:val="17"/>
              </w:rPr>
              <w:t>3,366</w:t>
            </w:r>
          </w:p>
        </w:tc>
        <w:tc>
          <w:tcPr>
            <w:tcW w:type="dxa" w:w="1440"/>
            <w:shd w:fill="FAFAFA" w:val="clear"/>
          </w:tcPr>
          <w:p>
            <w:r>
              <w:rPr>
                <w:sz w:val="17"/>
              </w:rPr>
              <w:t>3,545</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2026-10-07</w:t>
            </w:r>
          </w:p>
        </w:tc>
        <w:tc>
          <w:tcPr>
            <w:tcW w:type="dxa" w:w="1440"/>
            <w:shd w:fill="FAFAFA" w:val="clear"/>
          </w:tcPr>
          <w:p>
            <w:r>
              <w:rPr>
                <w:sz w:val="17"/>
              </w:rPr>
              <w:t>3,151</w:t>
            </w:r>
          </w:p>
        </w:tc>
        <w:tc>
          <w:tcPr>
            <w:tcW w:type="dxa" w:w="1440"/>
            <w:shd w:fill="FAFAFA" w:val="clear"/>
          </w:tcPr>
          <w:p>
            <w:r>
              <w:rPr>
                <w:b/>
                <w:sz w:val="17"/>
              </w:rPr>
              <w:t>3,357</w:t>
            </w:r>
          </w:p>
        </w:tc>
        <w:tc>
          <w:tcPr>
            <w:tcW w:type="dxa" w:w="1440"/>
            <w:shd w:fill="FAFAFA" w:val="clear"/>
          </w:tcPr>
          <w:p>
            <w:r>
              <w:rPr>
                <w:sz w:val="17"/>
              </w:rPr>
              <w:t>3,563</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2026-10-08</w:t>
            </w:r>
          </w:p>
        </w:tc>
        <w:tc>
          <w:tcPr>
            <w:tcW w:type="dxa" w:w="1440"/>
            <w:shd w:fill="FAFAFA" w:val="clear"/>
          </w:tcPr>
          <w:p>
            <w:r>
              <w:rPr>
                <w:sz w:val="17"/>
              </w:rPr>
              <w:t>3,120</w:t>
            </w:r>
          </w:p>
        </w:tc>
        <w:tc>
          <w:tcPr>
            <w:tcW w:type="dxa" w:w="1440"/>
            <w:shd w:fill="FAFAFA" w:val="clear"/>
          </w:tcPr>
          <w:p>
            <w:r>
              <w:rPr>
                <w:b/>
                <w:sz w:val="17"/>
              </w:rPr>
              <w:t>3,350</w:t>
            </w:r>
          </w:p>
        </w:tc>
        <w:tc>
          <w:tcPr>
            <w:tcW w:type="dxa" w:w="1440"/>
            <w:shd w:fill="FAFAFA" w:val="clear"/>
          </w:tcPr>
          <w:p>
            <w:r>
              <w:rPr>
                <w:sz w:val="17"/>
              </w:rPr>
              <w:t>3,580</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2026-10-09</w:t>
            </w:r>
          </w:p>
        </w:tc>
        <w:tc>
          <w:tcPr>
            <w:tcW w:type="dxa" w:w="1440"/>
            <w:shd w:fill="FAFAFA" w:val="clear"/>
          </w:tcPr>
          <w:p>
            <w:r>
              <w:rPr>
                <w:sz w:val="17"/>
              </w:rPr>
              <w:t>3,093</w:t>
            </w:r>
          </w:p>
        </w:tc>
        <w:tc>
          <w:tcPr>
            <w:tcW w:type="dxa" w:w="1440"/>
            <w:shd w:fill="FAFAFA" w:val="clear"/>
          </w:tcPr>
          <w:p>
            <w:r>
              <w:rPr>
                <w:b/>
                <w:sz w:val="17"/>
              </w:rPr>
              <w:t>3,344</w:t>
            </w:r>
          </w:p>
        </w:tc>
        <w:tc>
          <w:tcPr>
            <w:tcW w:type="dxa" w:w="1440"/>
            <w:shd w:fill="FAFAFA" w:val="clear"/>
          </w:tcPr>
          <w:p>
            <w:r>
              <w:rPr>
                <w:sz w:val="17"/>
              </w:rPr>
              <w:t>3,596</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2026-10-12</w:t>
            </w:r>
          </w:p>
        </w:tc>
        <w:tc>
          <w:tcPr>
            <w:tcW w:type="dxa" w:w="1440"/>
            <w:shd w:fill="FAFAFA" w:val="clear"/>
          </w:tcPr>
          <w:p>
            <w:r>
              <w:rPr>
                <w:sz w:val="17"/>
              </w:rPr>
              <w:t>3,069</w:t>
            </w:r>
          </w:p>
        </w:tc>
        <w:tc>
          <w:tcPr>
            <w:tcW w:type="dxa" w:w="1440"/>
            <w:shd w:fill="FAFAFA" w:val="clear"/>
          </w:tcPr>
          <w:p>
            <w:r>
              <w:rPr>
                <w:b/>
                <w:sz w:val="17"/>
              </w:rPr>
              <w:t>3,340</w:t>
            </w:r>
          </w:p>
        </w:tc>
        <w:tc>
          <w:tcPr>
            <w:tcW w:type="dxa" w:w="1440"/>
            <w:shd w:fill="FAFAFA" w:val="clear"/>
          </w:tcPr>
          <w:p>
            <w:r>
              <w:rPr>
                <w:sz w:val="17"/>
              </w:rPr>
              <w:t>3,612</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2026-10-13</w:t>
            </w:r>
          </w:p>
        </w:tc>
        <w:tc>
          <w:tcPr>
            <w:tcW w:type="dxa" w:w="1440"/>
            <w:shd w:fill="FAFAFA" w:val="clear"/>
          </w:tcPr>
          <w:p>
            <w:r>
              <w:rPr>
                <w:sz w:val="17"/>
              </w:rPr>
              <w:t>3,048</w:t>
            </w:r>
          </w:p>
        </w:tc>
        <w:tc>
          <w:tcPr>
            <w:tcW w:type="dxa" w:w="1440"/>
            <w:shd w:fill="FAFAFA" w:val="clear"/>
          </w:tcPr>
          <w:p>
            <w:r>
              <w:rPr>
                <w:b/>
                <w:sz w:val="17"/>
              </w:rPr>
              <w:t>3,338</w:t>
            </w:r>
          </w:p>
        </w:tc>
        <w:tc>
          <w:tcPr>
            <w:tcW w:type="dxa" w:w="1440"/>
            <w:shd w:fill="FAFAFA" w:val="clear"/>
          </w:tcPr>
          <w:p>
            <w:r>
              <w:rPr>
                <w:sz w:val="17"/>
              </w:rPr>
              <w:t>3,628</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2026-10-14</w:t>
            </w:r>
          </w:p>
        </w:tc>
        <w:tc>
          <w:tcPr>
            <w:tcW w:type="dxa" w:w="1440"/>
            <w:shd w:fill="FAFAFA" w:val="clear"/>
          </w:tcPr>
          <w:p>
            <w:r>
              <w:rPr>
                <w:sz w:val="17"/>
              </w:rPr>
              <w:t>3,028</w:t>
            </w:r>
          </w:p>
        </w:tc>
        <w:tc>
          <w:tcPr>
            <w:tcW w:type="dxa" w:w="1440"/>
            <w:shd w:fill="FAFAFA" w:val="clear"/>
          </w:tcPr>
          <w:p>
            <w:r>
              <w:rPr>
                <w:b/>
                <w:sz w:val="17"/>
              </w:rPr>
              <w:t>3,335</w:t>
            </w:r>
          </w:p>
        </w:tc>
        <w:tc>
          <w:tcPr>
            <w:tcW w:type="dxa" w:w="1440"/>
            <w:shd w:fill="FAFAFA" w:val="clear"/>
          </w:tcPr>
          <w:p>
            <w:r>
              <w:rPr>
                <w:sz w:val="17"/>
              </w:rPr>
              <w:t>3,643</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2026-10-15</w:t>
            </w:r>
          </w:p>
        </w:tc>
        <w:tc>
          <w:tcPr>
            <w:tcW w:type="dxa" w:w="1440"/>
            <w:shd w:fill="FAFAFA" w:val="clear"/>
          </w:tcPr>
          <w:p>
            <w:r>
              <w:rPr>
                <w:sz w:val="17"/>
              </w:rPr>
              <w:t>3,010</w:t>
            </w:r>
          </w:p>
        </w:tc>
        <w:tc>
          <w:tcPr>
            <w:tcW w:type="dxa" w:w="1440"/>
            <w:shd w:fill="FAFAFA" w:val="clear"/>
          </w:tcPr>
          <w:p>
            <w:r>
              <w:rPr>
                <w:b/>
                <w:sz w:val="17"/>
              </w:rPr>
              <w:t>3,334</w:t>
            </w:r>
          </w:p>
        </w:tc>
        <w:tc>
          <w:tcPr>
            <w:tcW w:type="dxa" w:w="1440"/>
            <w:shd w:fill="FAFAFA" w:val="clear"/>
          </w:tcPr>
          <w:p>
            <w:r>
              <w:rPr>
                <w:sz w:val="17"/>
              </w:rPr>
              <w:t>3,657</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**Bourse Régionale des Valeurs Mobilières (BRVM) — Secteur Industriel**</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20,10 Mds FCFA, CABC se positionne comme une valeur de petite capitalisation sur le marché BRVM, ce qui implique une liquidité limitée et une sensibilité accrue aux mouvements de portefeuille. Le BPA de 243 FCFA/action indique que chaque titre génère un bénéfice net de 243 FCFA, ce qui, rapporté au cours actuel de 3 395 FCFA, donne un PER de 14,0x — un niveau modéré mais supérieur à la moyenne du marché BRVM (8-12x), suggérant que les investisseurs paient une légère prime pour les perspectives de croissance de l'entreprise. Le P/B de 2,15x montre que le marché valorise CABC à plus de deux fois sa valeur comptable, traduisant une prime de croissance accordée par les investisseurs, cohérente avec le secteur industriel en expansion. Enfin, l'EV/EBITDA de 7,0x situe la valeur d'entreprise à un niveau raisonnable (fourchette 5-10x), indiquant que la capacité opérationnelle de l'entreprise justifie sa valorisation globale sans surchauffe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affiche une variation totale de **-3,00%**, avec une dernière séance (J-1) stable à **+0,00%**, traduisant une phase de consolidation sans direction claire. Le cours actuel de **3 395 FCFA** se situe dans la moitié inférieure du range de trading, le plus haut ayant atteint **4 500 FCFA** et le plus bas **3 190 FCFA**, soit un écart de 41% entre les extrêmes — un range particulièrement large qui témoigne d'une forte volatilité intra-période. La tendance générale est baissière sur la période, le cours ayant perdu du terrain depuis les sommets, mais la stabilisation récente autour de 3 400 FCFA suggère une possible zone de support. Les statistiques descriptives révèlent une **moyenne de 3 682 FCFA** supérieure à la **médiane de 3 592 FCFA**, confirmant une asymétrie positive (skewness de 0,963) avec davantage de journées sous la moyenne — le cours a donc passé plus de temps en bas de range qu'en haut. L'écart-type de 290 FCFA (CV de 7,9%) indique une dispersion modérée autour de la moyenne, tandis que le kurtosis de 0,484 (mésokurtique) suggère une distribution proche de la normale, sans risque excessif de pics extrêmes. La **volatilité annualisée de 45,0%** classe le titre dans la catégorie des valeurs à volatilité élevée (&gt;30%), ce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(3 411,25 FCFA) et la MM50 (3 516,2 FCFA) se situent toutes deux au-dessus du cours actuel (3 395 FCFA), avec la MM20 sous la MM50 — configuration baissière classique. Le cours évoluant sous ses deux moyennes mobiles, la pression vendeuse domine, justifiant la décision technique de **Vente**. Un retournement haussier nécessiterait une cassure au-dessus de 3 411 FCFA (MM20) puis 3 516 FCFA (MM50).</w:t>
      </w:r>
    </w:p>
    <w:p>
      <w:pPr>
        <w:spacing w:after="120" w:line="276" w:lineRule="auto"/>
      </w:pPr>
      <w:r>
        <w:t>**Bandes de Bollinger** : Le cours actuel (3 395 FCFA) se situe dans la partie basse de la bande, entre la borne inférieure (3 201,64 FCFA) et la borne supérieure (3 620,86 FCFA), sans atteindre les extrêmes. Cette position médiane-basse indique une absence de signal fort, justifiant la décision **Neutre**. La largeur des bandes (419 FCFA) reflète une volatilité modérée, cohérente avec l'écart-type observé.</w:t>
      </w:r>
    </w:p>
    <w:p>
      <w:pPr>
        <w:spacing w:after="120" w:line="276" w:lineRule="auto"/>
      </w:pPr>
      <w:r>
        <w:t>**MACD** : La valeur du MACD (-52,988) est supérieure à son signal (-64,428), générant un croisement haussier (MACD &gt; Signal) qui indique un **Achat**. Cette divergence positive suggère un essoufflement de la dynamique baissière et un possible retournement à court terme, bien que les deux lignes restent en territoire négatif, ce qui tempère la portée du signal.</w:t>
      </w:r>
    </w:p>
    <w:p>
      <w:pPr>
        <w:spacing w:after="120" w:line="276" w:lineRule="auto"/>
      </w:pPr>
      <w:r>
        <w:t>**RSI** : À 42,553, le RSI se situe dans la zone neutre (30-70), sans atteindre la zone de survente (&lt;30) ni de surachat (&gt;70). Cette valeur indique un équilibre entre acheteurs et vendeurs, justifiant la décision **Neutre**. Un RSI sous 40 signalerait une faiblesse persistante, mais le niveau actuel laisse place à une possible reprise.</w:t>
      </w:r>
    </w:p>
    <w:p>
      <w:pPr>
        <w:spacing w:after="120" w:line="276" w:lineRule="auto"/>
      </w:pPr>
      <w:r>
        <w:t>**Stochastique** : Le %K et le %D sont tous deux à 66,129, en zone neutre-haute mais sans croisement significatif. Cette configuration indique une absence de signal directionnel clair, justifiant la décision **Neutre**. Un croisement du %K sous le %D signalerait une pression baissière, tandis qu'un croisement inverse confirmerait la reprise.</w:t>
      </w:r>
    </w:p>
    <w:p>
      <w:pPr>
        <w:spacing w:after="120" w:line="276" w:lineRule="auto"/>
      </w:pPr>
      <w:r>
        <w:t>**Conclusion technique** : Les indicateurs techniques présentent une configuration **mitigée** — les moyennes mobiles sont baissières (Vente), le MACD est haussier (Achat), tandis que le RSI, les Bandes de Bollinger et le Stochastique sont neutres. Cette divergence suggère une phase de transition où la pression baissière s'atténue sans qu'un retournement haussier ne soit encore confirmé. La prudence est de mise, avec une surveillance des niveaux de 3 411 FCFA (MM20) et 3 201 FCFA (borne inférieure de Bollinger) comme zones de décision.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CABC a réalisé un chiffre d'affaires de **21 263 Mds FCFA** (21,263 Mds FCFA), en croissance de **+11,18%** par rapport à 2024, confirmant la dynamique commerciale positive de l'entreprise. Le résultat net s'établit à **1 439 Mds FCFA**, dégageant une marge nette de **6,77%** et un **ROE de 15,40%** — un niveau excellent (&gt;15%) qui témoigne d'une bonne rentabilité des fonds propres. Le **ROA de 6,10%** reste modéré, reflétant l'intensité capitalistique du secteur industriel. La structure financière est saine avec une **autonomie financière de 39,58%** (&gt;30% = sain) et un **ratio d'endettement de 60,42%**, tandis que la **liquidité générale de 242,60%** (&gt;1 = bon) et la **trésorerie nette de 5 139 Mds FCFA** offrent une solide marge de manœuvre. Cependant, deux points de vigilance majeurs émergent : le **délai clients de 144,69 jours** (créances clients de 8 429 Mds FCFA) et la **durée de stockage de 152,12 jours** (stocks de 7 400 Mds FCFA), qui immobilisent du capital et pèsent sur le **BFR de 7 186 Mds FCFA** — bien que le fonds de roulement (12 325 Mds FCFA) couvre largement ce besoin. Le **flux opérationnel négatif de -819,66 M FCFA** et le **Free Cash Flow de -982,71 M FCFA** en 2025 constituent un signal d'alerte sur la génération de trésorerie, malgré une **CAF positive de 1 593 Mds FCFA**.</w:t>
      </w:r>
    </w:p>
    <w:p>
      <w:pPr>
        <w:spacing w:after="120" w:line="276" w:lineRule="auto"/>
      </w:pPr>
      <w:r>
        <w:t>**Estimations basées sur les rapports trimestriels** : Le rapport du **3ème trimestre 2025 (30/09/2025)** indique un chiffre d'affaires cumulé de **16 630 M FCFA** (+13,7%) et un résultat net de **1 329,5 M FCFA** (+26,0%), avec une marge nette de 8,0% — suggérant que l'exercice 2025 devrait clôturer sur une performance solide, bien que la pression sur les marges opérationnelles (11,5% contre 10,7% en 2024) soit un point de surveillance. Le rapport du **1er semestre 2025 (30/06/2025)** confirme cette dynamique avec un résultat net de **851,5 M FCFA** (+55,3%) et une marge nette de 7,9%, portée par la hausse des cours des métaux et une meilleure composition des ventes. Cependant, le rapport du **T1 2026** (données les plus récentes) révèle une **dégradation brutale** : chiffre d'affaires en baisse de **-26,5%** à 3 794 M FCFA, une **perte d'exploitation de -237 M FCFA** (contre un bénéfice de 432 M FCFA au T1 2025) et un **résultat net déficitaire de -221,7 M FCFA**, en raison d'une maintenance planifiée du parc machines et de l'inflation des cours des métaux (+23% en 3 mois). La direction anticipe une normalisation dès le T2 2026, mais cette contre-performance jette une ombre sur les perspectives à court terme.</w:t>
      </w:r>
    </w:p>
    <w:p>
      <w:pPr>
        <w:spacing w:after="120" w:line="276" w:lineRule="auto"/>
      </w:pPr>
      <w:r>
        <w:t>**Recommandation fondamentale** : CABC présente des fondamentaux **solides mais entachés de risques opérationnels et de trésorerie**. La croissance du CA (+11,18% en 2025) et le ROE de 15,40% témoignent de la qualité de l'entreprise, mais le flux opérationnel négatif, les délais clients élevés et la dégradation du T1 2026 incitent à la prudence. La valorisation (PER 14,0x, P/B 2,15x) intègre déjà une prime de croissance qui pourrait être remise en question si les difficultés du T1 2026 persistent.</w:t>
      </w:r>
    </w:p>
    <w:p>
      <w:pPr>
        <w:spacing w:after="120" w:line="276" w:lineRule="auto"/>
      </w:pPr>
      <w:r>
        <w:t>---</w:t>
      </w:r>
    </w:p>
    <w:p>
      <w:pPr>
        <w:spacing w:after="120" w:line="276" w:lineRule="auto"/>
      </w:pPr>
      <w:r>
        <w:t>## PARTIE 4 : CONCLUSION D'INVESTISSEMENT</w:t>
      </w:r>
    </w:p>
    <w:p>
      <w:pPr>
        <w:spacing w:after="120" w:line="276" w:lineRule="auto"/>
      </w:pPr>
      <w:r>
        <w:t>La valorisation de CABC (PER 14,0x, P/B 2,15x, EV/EBITDA 7,0x) indique une **juste valorisation** avec une légère prime de croissance, sans sous-évaluation ni surévaluation manifeste. Le comportement du cours sur 100 jours (variation de -3,00%, volatilité annualisée de 45,0%, skewness positive de 0,963) révèle une **tendance baissière modérée** avec une asymétrie défavorable (plus de journées sous la moyenne) et un risque de volatilité élevé. Les signaux techniques sont **divergents** : les moyennes mobiles sont baissières (Vente), le MACD est haussier (Achat), tandis que le RSI, les Bandes de Bollinger et le Stochastique sont neutres — une configuration qui plaide pour une **phase de consolidation** sans direction claire. Les fondamentaux (CA de 21 263 Mds FCFA en 2025, ROE de 15,40%, mais flux opérationnel négatif de -819,66 M FCFA et T1 2026 déficitaire) sont **mitigés** : la solidité financière est réelle, mais les risques de trésorerie et la dégradation récente du T1 2026 pèsent sur les perspectives. Les **prédictions IA** (3386 FCFA à J+1, 3350 FCFA à J+10) confirment une **légère tendance baissière** à court terme, en ligne avec les moyennes mobiles mais en contradiction avec le signal haussier du MACD. **Synthèse globale** : la convergence entre la tendance baissière du cours, les prédictions IA à la baisse et les risques fondamentaux (T1 2026 déficitaire, flux opérationnel négatif) l'emporte sur les signaux haussiers isolés (MACD, ROE solide). En conséquence, je recommande **CONSERVER** avec un biais baissier, justifié par la divergence des indicateurs et l'incertitude sur la normalisation des performances au T2 2026. Le **niveau de confiance est Moyen** (les signaux sont contradictoires) et le **risque global est Élevé** (volatilité de 45%, dégradation du T1 2026, délais clients élevés). L'**horizon d'investissement optimal est moyen terme (3-12 mois)**, le temps de vérifier la normalisation des performances au T2 2026 et la confirmation d'un retour à la profitabilité. Une cassure durable sous 3 200 FCFA (borne inférieure de Bollinger) constituerait un signal de vente, tandis qu'un retour au-dessus de 3 516 FCFA (MM50) confirmerait une reprise haussière.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969.60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1,585 titres</w:t>
            </w:r>
          </w:p>
        </w:tc>
        <w:tc>
          <w:tcPr>
            <w:tcW w:type="dxa" w:w="2268"/>
            <w:shd w:fill="FFF2CC" w:val="clear"/>
          </w:tcPr>
          <w:p>
            <w:r>
              <w:rPr>
                <w:b/>
                <w:color w:val="503200"/>
                <w:sz w:val="16"/>
              </w:rPr>
              <w:t xml:space="preserve">Cours actuel : </w:t>
            </w:r>
            <w:r>
              <w:rPr>
                <w:color w:val="000000"/>
                <w:sz w:val="17"/>
              </w:rPr>
              <w:t>30,300 FCFA</w:t>
            </w:r>
          </w:p>
          <w:p>
            <w:r>
              <w:rPr>
                <w:b/>
                <w:color w:val="503200"/>
                <w:sz w:val="16"/>
              </w:rPr>
              <w:t xml:space="preserve">Var. 100 jours : </w:t>
            </w:r>
            <w:r>
              <w:rPr>
                <w:b/>
                <w:color w:val="007800"/>
                <w:sz w:val="17"/>
              </w:rPr>
              <w:t>+80.36%</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16,800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17.55% (Élevée) — μ=26,618 FCFA, σ=4,671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β=1.5785 (Agressif) — Cov=0.000110, Var(idx)=0.000070, ρ=0.467,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28,375</w:t>
            </w:r>
          </w:p>
        </w:tc>
        <w:tc>
          <w:tcPr>
            <w:tcW w:type="dxa" w:w="1440"/>
            <w:shd w:fill="FAFAFA" w:val="clear"/>
          </w:tcPr>
          <w:p>
            <w:r>
              <w:rPr>
                <w:b/>
                <w:sz w:val="17"/>
              </w:rPr>
              <w:t>29,967</w:t>
            </w:r>
          </w:p>
        </w:tc>
        <w:tc>
          <w:tcPr>
            <w:tcW w:type="dxa" w:w="1440"/>
            <w:shd w:fill="FAFAFA" w:val="clear"/>
          </w:tcPr>
          <w:p>
            <w:r>
              <w:rPr>
                <w:sz w:val="17"/>
              </w:rPr>
              <w:t>31,559</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27,470</w:t>
            </w:r>
          </w:p>
        </w:tc>
        <w:tc>
          <w:tcPr>
            <w:tcW w:type="dxa" w:w="1440"/>
            <w:shd w:fill="FAFAFA" w:val="clear"/>
          </w:tcPr>
          <w:p>
            <w:r>
              <w:rPr>
                <w:b/>
                <w:sz w:val="17"/>
              </w:rPr>
              <w:t>29,702</w:t>
            </w:r>
          </w:p>
        </w:tc>
        <w:tc>
          <w:tcPr>
            <w:tcW w:type="dxa" w:w="1440"/>
            <w:shd w:fill="FAFAFA" w:val="clear"/>
          </w:tcPr>
          <w:p>
            <w:r>
              <w:rPr>
                <w:sz w:val="17"/>
              </w:rPr>
              <w:t>31,934</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2026-10-06</w:t>
            </w:r>
          </w:p>
        </w:tc>
        <w:tc>
          <w:tcPr>
            <w:tcW w:type="dxa" w:w="1440"/>
            <w:shd w:fill="FFDCE0" w:val="clear"/>
          </w:tcPr>
          <w:p>
            <w:r>
              <w:rPr>
                <w:sz w:val="17"/>
              </w:rPr>
              <w:t>26,783</w:t>
            </w:r>
          </w:p>
        </w:tc>
        <w:tc>
          <w:tcPr>
            <w:tcW w:type="dxa" w:w="1440"/>
            <w:shd w:fill="FFDCE0" w:val="clear"/>
          </w:tcPr>
          <w:p>
            <w:r>
              <w:rPr>
                <w:b/>
                <w:sz w:val="17"/>
              </w:rPr>
              <w:t>29,498</w:t>
            </w:r>
          </w:p>
        </w:tc>
        <w:tc>
          <w:tcPr>
            <w:tcW w:type="dxa" w:w="1440"/>
            <w:shd w:fill="FFDCE0" w:val="clear"/>
          </w:tcPr>
          <w:p>
            <w:r>
              <w:rPr>
                <w:sz w:val="17"/>
              </w:rPr>
              <w:t>32,213</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26,226</w:t>
            </w:r>
          </w:p>
        </w:tc>
        <w:tc>
          <w:tcPr>
            <w:tcW w:type="dxa" w:w="1440"/>
            <w:shd w:fill="FFDCE0" w:val="clear"/>
          </w:tcPr>
          <w:p>
            <w:r>
              <w:rPr>
                <w:b/>
                <w:sz w:val="17"/>
              </w:rPr>
              <w:t>29,344</w:t>
            </w:r>
          </w:p>
        </w:tc>
        <w:tc>
          <w:tcPr>
            <w:tcW w:type="dxa" w:w="1440"/>
            <w:shd w:fill="FFDCE0" w:val="clear"/>
          </w:tcPr>
          <w:p>
            <w:r>
              <w:rPr>
                <w:sz w:val="17"/>
              </w:rPr>
              <w:t>32,463</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25,739</w:t>
            </w:r>
          </w:p>
        </w:tc>
        <w:tc>
          <w:tcPr>
            <w:tcW w:type="dxa" w:w="1440"/>
            <w:shd w:fill="FFDCE0" w:val="clear"/>
          </w:tcPr>
          <w:p>
            <w:r>
              <w:rPr>
                <w:b/>
                <w:sz w:val="17"/>
              </w:rPr>
              <w:t>29,209</w:t>
            </w:r>
          </w:p>
        </w:tc>
        <w:tc>
          <w:tcPr>
            <w:tcW w:type="dxa" w:w="1440"/>
            <w:shd w:fill="FFDCE0" w:val="clear"/>
          </w:tcPr>
          <w:p>
            <w:r>
              <w:rPr>
                <w:sz w:val="17"/>
              </w:rPr>
              <w:t>32,680</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25,303</w:t>
            </w:r>
          </w:p>
        </w:tc>
        <w:tc>
          <w:tcPr>
            <w:tcW w:type="dxa" w:w="1440"/>
            <w:shd w:fill="FFDCE0" w:val="clear"/>
          </w:tcPr>
          <w:p>
            <w:r>
              <w:rPr>
                <w:b/>
                <w:sz w:val="17"/>
              </w:rPr>
              <w:t>29,090</w:t>
            </w:r>
          </w:p>
        </w:tc>
        <w:tc>
          <w:tcPr>
            <w:tcW w:type="dxa" w:w="1440"/>
            <w:shd w:fill="FFDCE0" w:val="clear"/>
          </w:tcPr>
          <w:p>
            <w:r>
              <w:rPr>
                <w:sz w:val="17"/>
              </w:rPr>
              <w:t>32,876</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24,909</w:t>
            </w:r>
          </w:p>
        </w:tc>
        <w:tc>
          <w:tcPr>
            <w:tcW w:type="dxa" w:w="1440"/>
            <w:shd w:fill="FFDCE0" w:val="clear"/>
          </w:tcPr>
          <w:p>
            <w:r>
              <w:rPr>
                <w:b/>
                <w:sz w:val="17"/>
              </w:rPr>
              <w:t>28,983</w:t>
            </w:r>
          </w:p>
        </w:tc>
        <w:tc>
          <w:tcPr>
            <w:tcW w:type="dxa" w:w="1440"/>
            <w:shd w:fill="FFDCE0" w:val="clear"/>
          </w:tcPr>
          <w:p>
            <w:r>
              <w:rPr>
                <w:sz w:val="17"/>
              </w:rPr>
              <w:t>33,058</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24,547</w:t>
            </w:r>
          </w:p>
        </w:tc>
        <w:tc>
          <w:tcPr>
            <w:tcW w:type="dxa" w:w="1440"/>
            <w:shd w:fill="FFDCE0" w:val="clear"/>
          </w:tcPr>
          <w:p>
            <w:r>
              <w:rPr>
                <w:b/>
                <w:sz w:val="17"/>
              </w:rPr>
              <w:t>28,889</w:t>
            </w:r>
          </w:p>
        </w:tc>
        <w:tc>
          <w:tcPr>
            <w:tcW w:type="dxa" w:w="1440"/>
            <w:shd w:fill="FFDCE0" w:val="clear"/>
          </w:tcPr>
          <w:p>
            <w:r>
              <w:rPr>
                <w:sz w:val="17"/>
              </w:rPr>
              <w:t>33,230</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24,212</w:t>
            </w:r>
          </w:p>
        </w:tc>
        <w:tc>
          <w:tcPr>
            <w:tcW w:type="dxa" w:w="1440"/>
            <w:shd w:fill="FFDCE0" w:val="clear"/>
          </w:tcPr>
          <w:p>
            <w:r>
              <w:rPr>
                <w:b/>
                <w:sz w:val="17"/>
              </w:rPr>
              <w:t>28,804</w:t>
            </w:r>
          </w:p>
        </w:tc>
        <w:tc>
          <w:tcPr>
            <w:tcW w:type="dxa" w:w="1440"/>
            <w:shd w:fill="FFDCE0" w:val="clear"/>
          </w:tcPr>
          <w:p>
            <w:r>
              <w:rPr>
                <w:sz w:val="17"/>
              </w:rPr>
              <w:t>33,396</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23,901</w:t>
            </w:r>
          </w:p>
        </w:tc>
        <w:tc>
          <w:tcPr>
            <w:tcW w:type="dxa" w:w="1440"/>
            <w:shd w:fill="FFDCE0" w:val="clear"/>
          </w:tcPr>
          <w:p>
            <w:r>
              <w:rPr>
                <w:b/>
                <w:sz w:val="17"/>
              </w:rPr>
              <w:t>28,728</w:t>
            </w:r>
          </w:p>
        </w:tc>
        <w:tc>
          <w:tcPr>
            <w:tcW w:type="dxa" w:w="1440"/>
            <w:shd w:fill="FFDCE0" w:val="clear"/>
          </w:tcPr>
          <w:p>
            <w:r>
              <w:rPr>
                <w:sz w:val="17"/>
              </w:rPr>
              <w:t>33,555</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969,60 milliards FCFA, CBIBF s'impose comme l'une des plus importantes capitalisations de la cote BRVM, ce qui témoigne de son statut de valeur de premier plan dans le compartiment bancaire régional. Le BPA de 2 047 FCFA par action signifie que chaque titre génère près de 2 047 FCFA de bénéfice net, un niveau de rentabilité par action particulièrement élevé pour le marché. Le PER de 14,8x situe le titre au-dessus de la moyenne BRVM (estimée entre 8 et 12x), ce qui indique que les investisseurs acceptent de payer une prime de valorisation pour cette valeur bancaire, justifiée par sa croissance récente et sa solidité. Le ratio EV/EBITDA de 11,0x, dans la fourchette 10-15x, confirme une valorisation élevée de la capacité opérationnelle, cohérente avec la qualité des fondamentaux. Le P/B n'étant pas fourni dans les données disponibles, il n'est pas commenté ici, mais l'ensemble des ratios disponibles suggère une valorisation raisonnable à légèrement premium, portée par les perspectives de croissance.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+80,36%, avec une dernière séance en hausse de +0,80%, portant le cours actuel à 30 300 FCFA. Le range de trading est très large, avec un plus haut à 34 450 FCFA et un plus bas à 16 800 FCFA, soit un écart de plus de 100% entre les deux extrêmes, ce qui traduit une tendance générale nettement haussière mais ponctuée de fortes corrections. La moyenne (26 618 FCFA) est inférieure à la médiane (27 848 FCFA), ce qui indique une légère asymétrie à gauche — les cours les plus bas tirent la moyenne vers le bas — confirmée par un skewness de -0,138 (distribution quasi-symétrique). L'écart-type de 4 694 FCFA avec un coefficient de variation de 17,6% révèle une dispersion modérée du cours autour de sa moyenne, tandis que le kurtosis de -1,084 (distribution platykurtique) signale une faible concentration des valeurs extrêmes, donc un risque de pics brusques relativement limité. La volatilité annualisée de 46,0% classe ce titre dans la catégorie des valeurs à volatilité élevée (&gt;30%), ce qui est cohérent avec la forte amplitude du range observé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32 548 FCFA et la MM50 à 30 266,8 FCFA, toutes deux supérieures au cours actuel de 30 300 FCFA, ce qui place le titre sous ses moyennes court et moyen terme. La MM20 étant au-dessus de la MM50, la configuration reste haussière de fond, mais le cours évolue actuellement sous la MM50, ce qui justifie une décision d'achat sur repli dans une tendance encore positive.</w:t>
      </w:r>
    </w:p>
    <w:p>
      <w:pPr>
        <w:spacing w:after="120" w:line="276" w:lineRule="auto"/>
      </w:pPr>
      <w:r>
        <w:t>**Bandes de Bollinger** : La borne supérieure est à 35 881,18 FCFA et la borne inférieure à 29 214,82 FCFA, avec un cours actuel de 30 300 FCFA positionné dans la moitié basse de la bande. Le titre se rapproche de la borne inférieure, ce qui traduit une pression baissière de court terme mais aussi un potentiel de rebond technique ; la décision Neutre reflète cette position ambiguë entre support et résistance.</w:t>
      </w:r>
    </w:p>
    <w:p>
      <w:pPr>
        <w:spacing w:after="120" w:line="276" w:lineRule="auto"/>
      </w:pPr>
      <w:r>
        <w:t>**MACD** : La valeur du MACD (78,459) est nettement inférieure à son signal (516,299), ce qui génère une divergence baissière marquée et un momentum négatif. Cette configuration justifie pleinement la décision de Vente, le croisement MACD sous sa ligne de signal indiquant une perte de vitesse de la tendance haussière.</w:t>
      </w:r>
    </w:p>
    <w:p>
      <w:pPr>
        <w:spacing w:after="120" w:line="276" w:lineRule="auto"/>
      </w:pPr>
      <w:r>
        <w:t>**RSI** : À 35,591, le RSI se situe dans la zone neutre basse (30-70), sans atteindre la zone de survente (&lt;30), ce qui suggère que le titre n'est pas encore techniquement survendu mais s'en approche. La décision Neutre est cohérente avec cette position intermédiaire qui laisse présager soit un rebond, soit une poursuite de la correction.</w:t>
      </w:r>
    </w:p>
    <w:p>
      <w:pPr>
        <w:spacing w:after="120" w:line="276" w:lineRule="auto"/>
      </w:pPr>
      <w:r>
        <w:t>**Stochastique** : Le %K (28,139) est inférieur au %D (39,394), avec un croisement baissier en zone basse, ce qui confirme la pression vendeuse de court terme. La décision Neutre s'explique par la proximité de la zone de survente (20), où un retournement pourrait survenir.</w:t>
      </w:r>
    </w:p>
    <w:p>
      <w:pPr>
        <w:spacing w:after="120" w:line="276" w:lineRule="auto"/>
      </w:pPr>
      <w:r>
        <w:t>**Conclusion technique** : Les indicateurs techniques présentent un tableau mitigé, avec une majorité de signaux Neutres (Bollinger, RSI, Stochastique) et un signal de Vente sur le MACD, tandis que les Moyennes Mobiles conservent une orientation acheteuse de fond. Le titre se trouve dans une phase de consolidation baissière de court terme au sein d'une tendance haussière plus large, ce qui plaide pour une attitude attentiste avant d'envisager un renforcement.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CBIBF affichent un Produit Net Bancaire (PNB, équivalent du chiffre d'affaires pour une banque) de 138,986 milliards FCFA, en croissance de 6,11% sur un an, et un résultat net de 65,495 milliards FCFA, en progression remarquable de +36,6% par rapport aux 47,937 milliards FCFA de 2024 (rapport annuel 2025 analysé le 02/10/2026). La rentabilité est excellente avec une marge nette de 47,12%, un ROA de 2,18% et un coefficient d'exploitation de 36,39%, très inférieur au seuil de 60% qui définit une banque efficace — ce qui témoigne d'une maîtrise exemplaire des charges. Le coût du risque, bien qu'élevé en valeur absolue (16,5 milliards FCFA), s'est amélioré de 59,3% sur l'exercice, traduisant l'assainissement réussi du portefeuille de crédits. La structure bilancielle est solide avec 2 015,284 milliards FCFA de dépôts clientèle pour 1 326,977 milliards FCFA de créances, soit un ratio de transformation de 65,8% qui indique une capacité de crédit encore mobilisable. L'évolution historique montre une nette amélioration : après une chute du résultat net en 2024 (-25,4% à 47,937 milliards FCFA) due à l'explosion du coût du risque (+72,5%), l'exercice 2025 marque un redressement spectaculaire. Sur la base du rapport T1 2026 (publié en 2026), le PNB atteint 36,8 milliards FCFA (+28,5%) et le résultat net 21,5 milliards FCFA (+22,2%), avec des dépôts en forte hausse de +37,9% à 2 365,1 milliards FCFA ; on peut donc estimer que l'exercice 2026 devrait confirmer cette dynamique avec un résultat net annualisé potentiellement supérieur à 80 milliards FCFA. La recommandation fondamentale est clairement positive : solidité financière avérée, croissance retrouvée, efficacité opérationnelle exceptionnelle, avec pour principaux risques l'exposition au contexte sécuritaire burkinabé et la croissance modérée des crédits (+3,8% au T1 2026) face à l'afflux de dépôts.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PER de 14,8x et un EV/EBITDA de 11,0x, soit une légère prime par rapport à la moyenne BRVM, mais qui se justifie par la qualité des fondamentaux et la croissance du résultat net. Le comportement du cours (Partie 1) affiche une tendance haussière spectaculaire (+80,36% sur 100 jours) avec une volatilité élevée (46%) et une distribution platykurtique (kurtosis -1,084) qui limite le risque de pics extrêmes, mais le skewness quasi-nul (-0,138) indique une symétrie qui n'avantage ni les haussiers ni les baissiers. Les signaux techniques (Partie 2) sont mitigés : le MACD est baissier (Vente), les Bandes de Bollinger, le RSI et le Stochastique sont Neutres, tandis que les Moyennes Mobiles restent acheteuses — ce qui suggère une consolidation avant une reprise potentielle. Les fondamentaux (Partie 3) sont excellents avec un résultat net 2025 de 65,495 milliards FCFA (+36,6%), un coefficient d'exploitation de 36,39% et des perspectives T1 2026 très favorables (PNB +28,5%, résultat net +22,2%). Les prédictions IA (J+1 à J+10) anticipent une légère baisse vers 29 209 FCFA d'ici le 08/10/2026, ce qui confirme la phase de consolidation technique de court terme sans remettre en cause la tendance de fond. Sur la base de cette synthèse, la recommandation finale est **ACHAT**, avec un niveau de confiance **Moyen** et un risque global **Moyen** : la convergence entre des fondamentaux solides, une valorisation raisonnable et une tendance de fond haussière l'emporte sur les signaux techniques baissiers de court terme. L'horizon d'investissement optimal est le **moyen terme (3-12 mois)**, le temps que la consolidation technique s'achève et que les résultats 2026 confirment la dynamique observée au T1.</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275.69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3,539 titres</w:t>
            </w:r>
          </w:p>
        </w:tc>
        <w:tc>
          <w:tcPr>
            <w:tcW w:type="dxa" w:w="2268"/>
            <w:shd w:fill="FFF2CC" w:val="clear"/>
          </w:tcPr>
          <w:p>
            <w:r>
              <w:rPr>
                <w:b/>
                <w:color w:val="503200"/>
                <w:sz w:val="16"/>
              </w:rPr>
              <w:t xml:space="preserve">Cours actuel : </w:t>
            </w:r>
            <w:r>
              <w:rPr>
                <w:color w:val="000000"/>
                <w:sz w:val="17"/>
              </w:rPr>
              <w:t>1,520 FCFA</w:t>
            </w:r>
          </w:p>
          <w:p>
            <w:r>
              <w:rPr>
                <w:b/>
                <w:color w:val="503200"/>
                <w:sz w:val="16"/>
              </w:rPr>
              <w:t xml:space="preserve">Var. 100 jours : </w:t>
            </w:r>
            <w:r>
              <w:rPr>
                <w:b/>
                <w:color w:val="007800"/>
                <w:sz w:val="17"/>
              </w:rPr>
              <w:t>+9.75%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μ=1,633 FCFA, σ=97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β=1.1201 (Neutre (suit le marché)) — Cov=0.000078, Var(idx)=0.000070, ρ=0.318,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1,485</w:t>
            </w:r>
          </w:p>
        </w:tc>
        <w:tc>
          <w:tcPr>
            <w:tcW w:type="dxa" w:w="1440"/>
            <w:shd w:fill="FAFAFA" w:val="clear"/>
          </w:tcPr>
          <w:p>
            <w:r>
              <w:rPr>
                <w:b/>
                <w:sz w:val="17"/>
              </w:rPr>
              <w:t>1,548</w:t>
            </w:r>
          </w:p>
        </w:tc>
        <w:tc>
          <w:tcPr>
            <w:tcW w:type="dxa" w:w="1440"/>
            <w:shd w:fill="FAFAFA" w:val="clear"/>
          </w:tcPr>
          <w:p>
            <w:r>
              <w:rPr>
                <w:sz w:val="17"/>
              </w:rPr>
              <w:t>1,611</w:t>
            </w:r>
          </w:p>
        </w:tc>
        <w:tc>
          <w:tcPr>
            <w:tcW w:type="dxa" w:w="1440"/>
            <w:shd w:fill="FAFAFA" w:val="clear"/>
          </w:tcPr>
          <w:p>
            <w:r>
              <w:rPr>
                <w:b/>
                <w:color w:val="008000"/>
                <w:sz w:val="17"/>
              </w:rPr>
              <w:t>+1.9%</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1,459</w:t>
            </w:r>
          </w:p>
        </w:tc>
        <w:tc>
          <w:tcPr>
            <w:tcW w:type="dxa" w:w="1440"/>
            <w:shd w:fill="FAFAFA" w:val="clear"/>
          </w:tcPr>
          <w:p>
            <w:r>
              <w:rPr>
                <w:b/>
                <w:sz w:val="17"/>
              </w:rPr>
              <w:t>1,548</w:t>
            </w:r>
          </w:p>
        </w:tc>
        <w:tc>
          <w:tcPr>
            <w:tcW w:type="dxa" w:w="1440"/>
            <w:shd w:fill="FAFAFA" w:val="clear"/>
          </w:tcPr>
          <w:p>
            <w:r>
              <w:rPr>
                <w:sz w:val="17"/>
              </w:rPr>
              <w:t>1,638</w:t>
            </w:r>
          </w:p>
        </w:tc>
        <w:tc>
          <w:tcPr>
            <w:tcW w:type="dxa" w:w="1440"/>
            <w:shd w:fill="FAFAFA" w:val="clear"/>
          </w:tcPr>
          <w:p>
            <w:r>
              <w:rPr>
                <w:b/>
                <w:color w:val="008000"/>
                <w:sz w:val="17"/>
              </w:rPr>
              <w:t>+1.9%</w:t>
            </w:r>
          </w:p>
        </w:tc>
      </w:tr>
      <w:tr>
        <w:tc>
          <w:tcPr>
            <w:tcW w:type="dxa" w:w="1440"/>
            <w:shd w:fill="C6EFCE" w:val="clear"/>
          </w:tcPr>
          <w:p>
            <w:r>
              <w:rPr>
                <w:sz w:val="17"/>
              </w:rPr>
              <w:t>J+3  Moyenne</w:t>
            </w:r>
          </w:p>
        </w:tc>
        <w:tc>
          <w:tcPr>
            <w:tcW w:type="dxa" w:w="1440"/>
            <w:shd w:fill="C6EFCE" w:val="clear"/>
          </w:tcPr>
          <w:p>
            <w:r>
              <w:rPr>
                <w:sz w:val="17"/>
              </w:rPr>
              <w:t>2026-10-06</w:t>
            </w:r>
          </w:p>
        </w:tc>
        <w:tc>
          <w:tcPr>
            <w:tcW w:type="dxa" w:w="1440"/>
            <w:shd w:fill="C6EFCE" w:val="clear"/>
          </w:tcPr>
          <w:p>
            <w:r>
              <w:rPr>
                <w:sz w:val="17"/>
              </w:rPr>
              <w:t>1,443</w:t>
            </w:r>
          </w:p>
        </w:tc>
        <w:tc>
          <w:tcPr>
            <w:tcW w:type="dxa" w:w="1440"/>
            <w:shd w:fill="C6EFCE" w:val="clear"/>
          </w:tcPr>
          <w:p>
            <w:r>
              <w:rPr>
                <w:b/>
                <w:sz w:val="17"/>
              </w:rPr>
              <w:t>1,552</w:t>
            </w:r>
          </w:p>
        </w:tc>
        <w:tc>
          <w:tcPr>
            <w:tcW w:type="dxa" w:w="1440"/>
            <w:shd w:fill="C6EFCE" w:val="clear"/>
          </w:tcPr>
          <w:p>
            <w:r>
              <w:rPr>
                <w:sz w:val="17"/>
              </w:rPr>
              <w:t>1,662</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2026-10-07</w:t>
            </w:r>
          </w:p>
        </w:tc>
        <w:tc>
          <w:tcPr>
            <w:tcW w:type="dxa" w:w="1440"/>
            <w:shd w:fill="C6EFCE" w:val="clear"/>
          </w:tcPr>
          <w:p>
            <w:r>
              <w:rPr>
                <w:sz w:val="17"/>
              </w:rPr>
              <w:t>1,430</w:t>
            </w:r>
          </w:p>
        </w:tc>
        <w:tc>
          <w:tcPr>
            <w:tcW w:type="dxa" w:w="1440"/>
            <w:shd w:fill="C6EFCE" w:val="clear"/>
          </w:tcPr>
          <w:p>
            <w:r>
              <w:rPr>
                <w:b/>
                <w:sz w:val="17"/>
              </w:rPr>
              <w:t>1,557</w:t>
            </w:r>
          </w:p>
        </w:tc>
        <w:tc>
          <w:tcPr>
            <w:tcW w:type="dxa" w:w="1440"/>
            <w:shd w:fill="C6EFCE" w:val="clear"/>
          </w:tcPr>
          <w:p>
            <w:r>
              <w:rPr>
                <w:sz w:val="17"/>
              </w:rPr>
              <w:t>1,683</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2026-10-08</w:t>
            </w:r>
          </w:p>
        </w:tc>
        <w:tc>
          <w:tcPr>
            <w:tcW w:type="dxa" w:w="1440"/>
            <w:shd w:fill="C6EFCE" w:val="clear"/>
          </w:tcPr>
          <w:p>
            <w:r>
              <w:rPr>
                <w:sz w:val="17"/>
              </w:rPr>
              <w:t>1,419</w:t>
            </w:r>
          </w:p>
        </w:tc>
        <w:tc>
          <w:tcPr>
            <w:tcW w:type="dxa" w:w="1440"/>
            <w:shd w:fill="C6EFCE" w:val="clear"/>
          </w:tcPr>
          <w:p>
            <w:r>
              <w:rPr>
                <w:b/>
                <w:sz w:val="17"/>
              </w:rPr>
              <w:t>1,561</w:t>
            </w:r>
          </w:p>
        </w:tc>
        <w:tc>
          <w:tcPr>
            <w:tcW w:type="dxa" w:w="1440"/>
            <w:shd w:fill="C6EFCE" w:val="clear"/>
          </w:tcPr>
          <w:p>
            <w:r>
              <w:rPr>
                <w:sz w:val="17"/>
              </w:rPr>
              <w:t>1,703</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2026-10-09</w:t>
            </w:r>
          </w:p>
        </w:tc>
        <w:tc>
          <w:tcPr>
            <w:tcW w:type="dxa" w:w="1440"/>
            <w:shd w:fill="C6EFCE" w:val="clear"/>
          </w:tcPr>
          <w:p>
            <w:r>
              <w:rPr>
                <w:sz w:val="17"/>
              </w:rPr>
              <w:t>1,409</w:t>
            </w:r>
          </w:p>
        </w:tc>
        <w:tc>
          <w:tcPr>
            <w:tcW w:type="dxa" w:w="1440"/>
            <w:shd w:fill="C6EFCE" w:val="clear"/>
          </w:tcPr>
          <w:p>
            <w:r>
              <w:rPr>
                <w:b/>
                <w:sz w:val="17"/>
              </w:rPr>
              <w:t>1,565</w:t>
            </w:r>
          </w:p>
        </w:tc>
        <w:tc>
          <w:tcPr>
            <w:tcW w:type="dxa" w:w="1440"/>
            <w:shd w:fill="C6EFCE" w:val="clear"/>
          </w:tcPr>
          <w:p>
            <w:r>
              <w:rPr>
                <w:sz w:val="17"/>
              </w:rPr>
              <w:t>1,721</w:t>
            </w:r>
          </w:p>
        </w:tc>
        <w:tc>
          <w:tcPr>
            <w:tcW w:type="dxa" w:w="1440"/>
            <w:shd w:fill="C6EFCE" w:val="clear"/>
          </w:tcPr>
          <w:p>
            <w:r>
              <w:rPr>
                <w:b/>
                <w:color w:val="008000"/>
                <w:sz w:val="17"/>
              </w:rPr>
              <w:t>+3.0%</w:t>
            </w:r>
          </w:p>
        </w:tc>
      </w:tr>
      <w:tr>
        <w:tc>
          <w:tcPr>
            <w:tcW w:type="dxa" w:w="1440"/>
            <w:shd w:fill="C6EFCE" w:val="clear"/>
          </w:tcPr>
          <w:p>
            <w:r>
              <w:rPr>
                <w:sz w:val="17"/>
              </w:rPr>
              <w:t>J+7  ⭐</w:t>
            </w:r>
          </w:p>
        </w:tc>
        <w:tc>
          <w:tcPr>
            <w:tcW w:type="dxa" w:w="1440"/>
            <w:shd w:fill="C6EFCE" w:val="clear"/>
          </w:tcPr>
          <w:p>
            <w:r>
              <w:rPr>
                <w:sz w:val="17"/>
              </w:rPr>
              <w:t>2026-10-12</w:t>
            </w:r>
          </w:p>
        </w:tc>
        <w:tc>
          <w:tcPr>
            <w:tcW w:type="dxa" w:w="1440"/>
            <w:shd w:fill="C6EFCE" w:val="clear"/>
          </w:tcPr>
          <w:p>
            <w:r>
              <w:rPr>
                <w:sz w:val="17"/>
              </w:rPr>
              <w:t>1,400</w:t>
            </w:r>
          </w:p>
        </w:tc>
        <w:tc>
          <w:tcPr>
            <w:tcW w:type="dxa" w:w="1440"/>
            <w:shd w:fill="C6EFCE" w:val="clear"/>
          </w:tcPr>
          <w:p>
            <w:r>
              <w:rPr>
                <w:b/>
                <w:sz w:val="17"/>
              </w:rPr>
              <w:t>1,569</w:t>
            </w:r>
          </w:p>
        </w:tc>
        <w:tc>
          <w:tcPr>
            <w:tcW w:type="dxa" w:w="1440"/>
            <w:shd w:fill="C6EFCE" w:val="clear"/>
          </w:tcPr>
          <w:p>
            <w:r>
              <w:rPr>
                <w:sz w:val="17"/>
              </w:rPr>
              <w:t>1,738</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2026-10-13</w:t>
            </w:r>
          </w:p>
        </w:tc>
        <w:tc>
          <w:tcPr>
            <w:tcW w:type="dxa" w:w="1440"/>
            <w:shd w:fill="C6EFCE" w:val="clear"/>
          </w:tcPr>
          <w:p>
            <w:r>
              <w:rPr>
                <w:sz w:val="17"/>
              </w:rPr>
              <w:t>1,392</w:t>
            </w:r>
          </w:p>
        </w:tc>
        <w:tc>
          <w:tcPr>
            <w:tcW w:type="dxa" w:w="1440"/>
            <w:shd w:fill="C6EFCE" w:val="clear"/>
          </w:tcPr>
          <w:p>
            <w:r>
              <w:rPr>
                <w:b/>
                <w:sz w:val="17"/>
              </w:rPr>
              <w:t>1,573</w:t>
            </w:r>
          </w:p>
        </w:tc>
        <w:tc>
          <w:tcPr>
            <w:tcW w:type="dxa" w:w="1440"/>
            <w:shd w:fill="C6EFCE" w:val="clear"/>
          </w:tcPr>
          <w:p>
            <w:r>
              <w:rPr>
                <w:sz w:val="17"/>
              </w:rPr>
              <w:t>1,754</w:t>
            </w:r>
          </w:p>
        </w:tc>
        <w:tc>
          <w:tcPr>
            <w:tcW w:type="dxa" w:w="1440"/>
            <w:shd w:fill="C6EFCE" w:val="clear"/>
          </w:tcPr>
          <w:p>
            <w:r>
              <w:rPr>
                <w:b/>
                <w:color w:val="008000"/>
                <w:sz w:val="17"/>
              </w:rPr>
              <w:t>+3.5%</w:t>
            </w:r>
          </w:p>
        </w:tc>
      </w:tr>
      <w:tr>
        <w:tc>
          <w:tcPr>
            <w:tcW w:type="dxa" w:w="1440"/>
            <w:shd w:fill="C6EFCE" w:val="clear"/>
          </w:tcPr>
          <w:p>
            <w:r>
              <w:rPr>
                <w:sz w:val="17"/>
              </w:rPr>
              <w:t>J+9  ⭐</w:t>
            </w:r>
          </w:p>
        </w:tc>
        <w:tc>
          <w:tcPr>
            <w:tcW w:type="dxa" w:w="1440"/>
            <w:shd w:fill="C6EFCE" w:val="clear"/>
          </w:tcPr>
          <w:p>
            <w:r>
              <w:rPr>
                <w:sz w:val="17"/>
              </w:rPr>
              <w:t>2026-10-14</w:t>
            </w:r>
          </w:p>
        </w:tc>
        <w:tc>
          <w:tcPr>
            <w:tcW w:type="dxa" w:w="1440"/>
            <w:shd w:fill="C6EFCE" w:val="clear"/>
          </w:tcPr>
          <w:p>
            <w:r>
              <w:rPr>
                <w:sz w:val="17"/>
              </w:rPr>
              <w:t>1,384</w:t>
            </w:r>
          </w:p>
        </w:tc>
        <w:tc>
          <w:tcPr>
            <w:tcW w:type="dxa" w:w="1440"/>
            <w:shd w:fill="C6EFCE" w:val="clear"/>
          </w:tcPr>
          <w:p>
            <w:r>
              <w:rPr>
                <w:b/>
                <w:sz w:val="17"/>
              </w:rPr>
              <w:t>1,577</w:t>
            </w:r>
          </w:p>
        </w:tc>
        <w:tc>
          <w:tcPr>
            <w:tcW w:type="dxa" w:w="1440"/>
            <w:shd w:fill="C6EFCE" w:val="clear"/>
          </w:tcPr>
          <w:p>
            <w:r>
              <w:rPr>
                <w:sz w:val="17"/>
              </w:rPr>
              <w:t>1,770</w:t>
            </w:r>
          </w:p>
        </w:tc>
        <w:tc>
          <w:tcPr>
            <w:tcW w:type="dxa" w:w="1440"/>
            <w:shd w:fill="C6EFCE" w:val="clear"/>
          </w:tcPr>
          <w:p>
            <w:r>
              <w:rPr>
                <w:b/>
                <w:color w:val="008000"/>
                <w:sz w:val="17"/>
              </w:rPr>
              <w:t>+3.7%</w:t>
            </w:r>
          </w:p>
        </w:tc>
      </w:tr>
      <w:tr>
        <w:tc>
          <w:tcPr>
            <w:tcW w:type="dxa" w:w="1440"/>
            <w:shd w:fill="C6EFCE" w:val="clear"/>
          </w:tcPr>
          <w:p>
            <w:r>
              <w:rPr>
                <w:sz w:val="17"/>
              </w:rPr>
              <w:t>J+10  ⭐</w:t>
            </w:r>
          </w:p>
        </w:tc>
        <w:tc>
          <w:tcPr>
            <w:tcW w:type="dxa" w:w="1440"/>
            <w:shd w:fill="C6EFCE" w:val="clear"/>
          </w:tcPr>
          <w:p>
            <w:r>
              <w:rPr>
                <w:sz w:val="17"/>
              </w:rPr>
              <w:t>2026-10-15</w:t>
            </w:r>
          </w:p>
        </w:tc>
        <w:tc>
          <w:tcPr>
            <w:tcW w:type="dxa" w:w="1440"/>
            <w:shd w:fill="C6EFCE" w:val="clear"/>
          </w:tcPr>
          <w:p>
            <w:r>
              <w:rPr>
                <w:sz w:val="17"/>
              </w:rPr>
              <w:t>1,377</w:t>
            </w:r>
          </w:p>
        </w:tc>
        <w:tc>
          <w:tcPr>
            <w:tcW w:type="dxa" w:w="1440"/>
            <w:shd w:fill="C6EFCE" w:val="clear"/>
          </w:tcPr>
          <w:p>
            <w:r>
              <w:rPr>
                <w:b/>
                <w:sz w:val="17"/>
              </w:rPr>
              <w:t>1,581</w:t>
            </w:r>
          </w:p>
        </w:tc>
        <w:tc>
          <w:tcPr>
            <w:tcW w:type="dxa" w:w="1440"/>
            <w:shd w:fill="C6EFCE" w:val="clear"/>
          </w:tcPr>
          <w:p>
            <w:r>
              <w:rPr>
                <w:sz w:val="17"/>
              </w:rPr>
              <w:t>1,784</w:t>
            </w:r>
          </w:p>
        </w:tc>
        <w:tc>
          <w:tcPr>
            <w:tcW w:type="dxa" w:w="1440"/>
            <w:shd w:fill="C6EFCE" w:val="clear"/>
          </w:tcPr>
          <w:p>
            <w:r>
              <w:rPr>
                <w:b/>
                <w:color w:val="008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275,69 milliards FCFA, CFAC figure parmi les valeurs les plus importantes de la cote BRVM, ce qui témoigne de son statut de leader du secteur automobile ivoirien. Le BPA de 26 FCFA/action indique que chaque titre génère 26 FCFA de bénéfice net, un niveau modeste qui, rapporté au cours actuel de 1 520 FCFA, aboutit à un PER de 58,7x — très largement supérieur à la moyenne du marché BRVM (8-12x), signalant que les investisseurs paient une prime considérable pour les bénéfices actuels. Le P/B de 14,17x confirme cette valorisation exigeante : le marché valorise l'action à plus de 14 fois sa valeur comptable, ce qui suppose des anticipations de croissance très optimistes. Enfin, l'EV/EBITDA de 30,0x, bien au-dessus du seuil de 15x généralement considéré comme exigeant, traduit une valorisation tendue au regard de la capacité opérationnelle actuelle de l'entreprise.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affiche une variation totale positive de +9,75%, malgré un repli de -1,62% lors de la dernière séance, ce qui porte le cours actuel à 1 520 FCFA. Le titre a évolué dans un range relativement large, entre un plus bas de 1 380 FCFA et un plus haut de 1 825 FCFA, soit un écart de 445 FCFA (32% du plus bas), reflétant une tendance globalement haussière mais ponctuée de corrections significatives. Les statistiques descriptives révèlent une moyenne de 1 633 FCFA légèrement supérieure à la médiane de 1 642 FCFA, avec un mode à 1 600 FCFA, suggérant une distribution quasi-symétrique autour de ces niveaux. L'écart-type de 98 FCFA (CV=6,0%) indique une dispersion modérée du cours, tandis que le kurtosis de -0,368 (mésokurtique) et le skewness de -0,435 (distribution symétrique) confirment un comportement proche d'une loi normale, sans risque de pics extrêmes marqué. La volatilité annualisée de 46,4% classe toutefois ce titre dans la catégorie des valeurs à volatilité élevée (&gt;30%), ce qui implique un risque de fluctuation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(1 639,0 FCFA) et la MM50 (1 668,6 FCFA) se situent toutes deux au-dessus du cours actuel (1 520 FCFA), avec une MM20 inférieure à la MM50, configuration baissière caractéristique. Le cours évoluant sous ses deux moyennes, la décision technique est logiquement à la **Vente**, signalant une pression vendeuse persistante à court et moyen terme.</w:t>
      </w:r>
    </w:p>
    <w:p>
      <w:pPr>
        <w:spacing w:after="120" w:line="276" w:lineRule="auto"/>
      </w:pPr>
      <w:r>
        <w:t>**Bandes de Bollinger** : Le cours (1 520 FCFA) se situe dans la partie basse de la bande, entre la borne inférieure (1 475,049 FCFA) et la borne supérieure (1 802,951 FCFA), sans franchissement de seuil. Cette position proche de la borne basse, couplée à un écart-type modéré, justifie une décision **Neutre** : le titre n'est ni en survente extrême, ni en surachat, mais évolue dans un canal baissier.</w:t>
      </w:r>
    </w:p>
    <w:p>
      <w:pPr>
        <w:spacing w:after="120" w:line="276" w:lineRule="auto"/>
      </w:pPr>
      <w:r>
        <w:t>**MACD** : La valeur du MACD (-39,784) est inférieure à son signal (-28,213), confirmant une divergence baissière et un momentum négatif. Le croisement MACD sous son signal, typique d'une dynamique vendeuse, justifie la décision **Vente** pour cet indicateur.</w:t>
      </w:r>
    </w:p>
    <w:p>
      <w:pPr>
        <w:spacing w:after="120" w:line="276" w:lineRule="auto"/>
      </w:pPr>
      <w:r>
        <w:t>**RSI** : À 31,683, le RSI se situe juste au-dessus du seuil de survente (30), ce qui place le titre en zone neutre basse. Cette valeur proche de la survente suggère un potentiel de rebond technique à court terme, mais sans signal d'achat confirmé, la décision reste **Neutre**.</w:t>
      </w:r>
    </w:p>
    <w:p>
      <w:pPr>
        <w:spacing w:after="120" w:line="276" w:lineRule="auto"/>
      </w:pPr>
      <w:r>
        <w:t>**Stochastique** : Le %K (16,0) est nettement inférieur au %D (30,0), avec un %K en zone de survente (&lt;20), ce qui constitue un signal d'achat technique potentiel. Cette configuration, bien que précoce, justifie la décision **Achat** pour cet indicateur, en anticipation d'un retournement.</w:t>
      </w:r>
    </w:p>
    <w:p>
      <w:pPr>
        <w:spacing w:after="120" w:line="276" w:lineRule="auto"/>
      </w:pPr>
      <w:r>
        <w:t>**Conclusion technique** : Les indicateurs techniques présentent un tableau mitigé, avec une majorité de signaux baissiers (MM, MACD) ou neutres (Bollinger, RSI), tandis que le stochastique offre un signal d'achat contrariant. La convergence des MM et du MACD vers une tendance baissière domine, mais la proximité du RSI et du stochastique avec des zones de survente suggère qu'un rebond technique n'est pas exclu à court terme. La prudence reste de mise, le titre évoluant sous ses moyennes mobiles dans un contexte de volatilité élevée.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2024 (états financiers annuels) révèlent un chiffre d'affaires de 158,313 milliards FCFA, en baisse de -12,13% par rapport à 2023, et un résultat net de 4,693 milliards FCFA, en recul de -26,7% (rapport des états financiers 2024, daté du 31/12/2024). Le ROE s'établit à 24,13%, un niveau excellent (&gt;15%) qui témoigne d'une rentabilité des fonds propres solide malgré la contraction, tandis que le ROA de 5,52% reste correct. La marge nette de 2,96% et la marge opérationnelle de 4,96% traduisent une pression sur les marges, confirmée par la détérioration du résultat d'exploitation (-29,4% selon le rapport bilan annuel 2024). En tant qu'entreprise non bancaire, l'analyse des délais d'exploitation est cruciale : le délai clients de 36,64 jours est modéré, mais le délai fournisseurs de 81,75 jours et la durée de stockage de 88,35 jours immobilisent du capital. Le BFR est négatif (-3,482 milliards FCFA), ce qui est favorable, mais la trésorerie nette est négative (-624,20 millions FCFA), signalant une tension de liquidité. Le ratio d'endettement de 23,07% et l'autonomie financière de 22,88% (inférieure au seuil sain de 30%) indiquent une dépendance modérée aux dettes. Les rapports trimestriels 2025 (T1, T2, T3) montrent une nette amélioration : le CA du T3 2025 atteint 43,580 milliards FCFA (+18,3% en glissement annuel) et le résultat net progresse de +38,1% à 1,489 milliard FCFA, avec une marge nette de 3,42% (contre 2,93% au T3 2024). Sur la base de ces tendances, on estime que l'exercice 2025 devrait afficher une reprise de la croissance et une amélioration des marges, confirmant le redressement amorcé. La recommandation fondamentale est de **Conserver** le titre, avec une surveillance accrue de la trésorerie et de la soutenabilité de la politique de dividende (taux de distribution de 88,1% en 2023, jugé excessif).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très exigeante (PER 58,7x, P/B 14,17x, EV/EBITDA 30,0x), bien au-dessus des standards du marché BRVM, ce qui suggère une surévaluation manifeste au regard des bénéfices et de la valeur comptable actuels. Le comportement du cours sur 100 jours est haussier (+9,75%) mais avec une volatilité élevée (46,4%) et une distribution symétrique (skewness -0,435, kurtosis -0,368), sans risque de pics extrêmes, ce qui est rassurant mais n'occulte pas la tendance baissière de court terme. Les signaux techniques sont majoritairement baissiers (MM sous le cours, MACD négatif), avec un RSI et un stochastique proches de la survente qui pourraient annoncer un rebond technique, mais sans convergence forte. Les fondamentaux montrent une entreprise solide (ROE 24,13%, leader du marché avec 41,7% de part de marché), mais confrontée à une contraction en 2024 et à une trésorerie tendue, bien que les rapports trimestriels 2025 indiquent un redressement prometteur (CA +18,3% au T3 2025, résultat net +38,1%). Les prédictions IA pour les 10 prochains jours (1 548 FCFA à 1 561 FCFA) anticipent une légère reprise, en ligne avec le potentiel rebond technique, mais contredisent la tendance baissière actuelle. Compte tenu de la divergence entre une valorisation très tendue, des signaux techniques majoritairement négatifs et des fondamentaux en amélioration mais fragiles, la recommandation finale est de **CONSERVER** avec un niveau de confiance **Moyen** et un risque global **Élevé**. L'horizon d'investissement optimal est le **moyen terme (3-12 mois)**, en attendant la confirmation du redressement des marges et de la trésorerie, ainsi qu'une correction de la valorisation vers des niveaux plus raisonnables.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6,863 titres</w:t>
            </w:r>
          </w:p>
        </w:tc>
        <w:tc>
          <w:tcPr>
            <w:tcW w:type="dxa" w:w="2268"/>
            <w:shd w:fill="FFF2CC" w:val="clear"/>
          </w:tcPr>
          <w:p>
            <w:r>
              <w:rPr>
                <w:b/>
                <w:color w:val="503200"/>
                <w:sz w:val="16"/>
              </w:rPr>
              <w:t xml:space="preserve">Cours actuel : </w:t>
            </w:r>
            <w:r>
              <w:rPr>
                <w:color w:val="000000"/>
                <w:sz w:val="17"/>
              </w:rPr>
              <w:t>6,500 FCFA</w:t>
            </w:r>
          </w:p>
          <w:p>
            <w:r>
              <w:rPr>
                <w:b/>
                <w:color w:val="503200"/>
                <w:sz w:val="16"/>
              </w:rPr>
              <w:t xml:space="preserve">Var. 100 jours : </w:t>
            </w:r>
            <w:r>
              <w:rPr>
                <w:b/>
                <w:color w:val="007800"/>
                <w:sz w:val="17"/>
              </w:rPr>
              <w:t>+95.20%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μ=5,444 FCFA, σ=1,047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β=0.6798 (Défensif) — Cov=0.000047, Var(idx)=0.000070, ρ=0.178,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6,080</w:t>
            </w:r>
          </w:p>
        </w:tc>
        <w:tc>
          <w:tcPr>
            <w:tcW w:type="dxa" w:w="1440"/>
            <w:shd w:fill="FAFAFA" w:val="clear"/>
          </w:tcPr>
          <w:p>
            <w:r>
              <w:rPr>
                <w:b/>
                <w:sz w:val="17"/>
              </w:rPr>
              <w:t>6,376</w:t>
            </w:r>
          </w:p>
        </w:tc>
        <w:tc>
          <w:tcPr>
            <w:tcW w:type="dxa" w:w="1440"/>
            <w:shd w:fill="FAFAFA" w:val="clear"/>
          </w:tcPr>
          <w:p>
            <w:r>
              <w:rPr>
                <w:sz w:val="17"/>
              </w:rPr>
              <w:t>6,671</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2026-10-05</w:t>
            </w:r>
          </w:p>
        </w:tc>
        <w:tc>
          <w:tcPr>
            <w:tcW w:type="dxa" w:w="1440"/>
            <w:shd w:fill="FFDCE0" w:val="clear"/>
          </w:tcPr>
          <w:p>
            <w:r>
              <w:rPr>
                <w:sz w:val="17"/>
              </w:rPr>
              <w:t>5,884</w:t>
            </w:r>
          </w:p>
        </w:tc>
        <w:tc>
          <w:tcPr>
            <w:tcW w:type="dxa" w:w="1440"/>
            <w:shd w:fill="FFDCE0" w:val="clear"/>
          </w:tcPr>
          <w:p>
            <w:r>
              <w:rPr>
                <w:b/>
                <w:sz w:val="17"/>
              </w:rPr>
              <w:t>6,297</w:t>
            </w:r>
          </w:p>
        </w:tc>
        <w:tc>
          <w:tcPr>
            <w:tcW w:type="dxa" w:w="1440"/>
            <w:shd w:fill="FFDCE0" w:val="clear"/>
          </w:tcPr>
          <w:p>
            <w:r>
              <w:rPr>
                <w:sz w:val="17"/>
              </w:rPr>
              <w:t>6,710</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2026-10-06</w:t>
            </w:r>
          </w:p>
        </w:tc>
        <w:tc>
          <w:tcPr>
            <w:tcW w:type="dxa" w:w="1440"/>
            <w:shd w:fill="FFDCE0" w:val="clear"/>
          </w:tcPr>
          <w:p>
            <w:r>
              <w:rPr>
                <w:sz w:val="17"/>
              </w:rPr>
              <w:t>5,738</w:t>
            </w:r>
          </w:p>
        </w:tc>
        <w:tc>
          <w:tcPr>
            <w:tcW w:type="dxa" w:w="1440"/>
            <w:shd w:fill="FFDCE0" w:val="clear"/>
          </w:tcPr>
          <w:p>
            <w:r>
              <w:rPr>
                <w:b/>
                <w:sz w:val="17"/>
              </w:rPr>
              <w:t>6,240</w:t>
            </w:r>
          </w:p>
        </w:tc>
        <w:tc>
          <w:tcPr>
            <w:tcW w:type="dxa" w:w="1440"/>
            <w:shd w:fill="FFDCE0" w:val="clear"/>
          </w:tcPr>
          <w:p>
            <w:r>
              <w:rPr>
                <w:sz w:val="17"/>
              </w:rPr>
              <w:t>6,741</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5,633</w:t>
            </w:r>
          </w:p>
        </w:tc>
        <w:tc>
          <w:tcPr>
            <w:tcW w:type="dxa" w:w="1440"/>
            <w:shd w:fill="FFDCE0" w:val="clear"/>
          </w:tcPr>
          <w:p>
            <w:r>
              <w:rPr>
                <w:b/>
                <w:sz w:val="17"/>
              </w:rPr>
              <w:t>6,209</w:t>
            </w:r>
          </w:p>
        </w:tc>
        <w:tc>
          <w:tcPr>
            <w:tcW w:type="dxa" w:w="1440"/>
            <w:shd w:fill="FFDCE0" w:val="clear"/>
          </w:tcPr>
          <w:p>
            <w:r>
              <w:rPr>
                <w:sz w:val="17"/>
              </w:rPr>
              <w:t>6,786</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5,548</w:t>
            </w:r>
          </w:p>
        </w:tc>
        <w:tc>
          <w:tcPr>
            <w:tcW w:type="dxa" w:w="1440"/>
            <w:shd w:fill="FFDCE0" w:val="clear"/>
          </w:tcPr>
          <w:p>
            <w:r>
              <w:rPr>
                <w:b/>
                <w:sz w:val="17"/>
              </w:rPr>
              <w:t>6,190</w:t>
            </w:r>
          </w:p>
        </w:tc>
        <w:tc>
          <w:tcPr>
            <w:tcW w:type="dxa" w:w="1440"/>
            <w:shd w:fill="FFDCE0" w:val="clear"/>
          </w:tcPr>
          <w:p>
            <w:r>
              <w:rPr>
                <w:sz w:val="17"/>
              </w:rPr>
              <w:t>6,832</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5,473</w:t>
            </w:r>
          </w:p>
        </w:tc>
        <w:tc>
          <w:tcPr>
            <w:tcW w:type="dxa" w:w="1440"/>
            <w:shd w:fill="FFDCE0" w:val="clear"/>
          </w:tcPr>
          <w:p>
            <w:r>
              <w:rPr>
                <w:b/>
                <w:sz w:val="17"/>
              </w:rPr>
              <w:t>6,174</w:t>
            </w:r>
          </w:p>
        </w:tc>
        <w:tc>
          <w:tcPr>
            <w:tcW w:type="dxa" w:w="1440"/>
            <w:shd w:fill="FFDCE0" w:val="clear"/>
          </w:tcPr>
          <w:p>
            <w:r>
              <w:rPr>
                <w:sz w:val="17"/>
              </w:rPr>
              <w:t>6,876</w:t>
            </w:r>
          </w:p>
        </w:tc>
        <w:tc>
          <w:tcPr>
            <w:tcW w:type="dxa" w:w="1440"/>
            <w:shd w:fill="FFDCE0" w:val="clear"/>
          </w:tcPr>
          <w:p>
            <w:r>
              <w:rPr>
                <w:b/>
                <w:color w:val="C00000"/>
                <w:sz w:val="17"/>
              </w:rPr>
              <w:t>-5.0%</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5,406</w:t>
            </w:r>
          </w:p>
        </w:tc>
        <w:tc>
          <w:tcPr>
            <w:tcW w:type="dxa" w:w="1440"/>
            <w:shd w:fill="FFDCE0" w:val="clear"/>
          </w:tcPr>
          <w:p>
            <w:r>
              <w:rPr>
                <w:b/>
                <w:sz w:val="17"/>
              </w:rPr>
              <w:t>6,162</w:t>
            </w:r>
          </w:p>
        </w:tc>
        <w:tc>
          <w:tcPr>
            <w:tcW w:type="dxa" w:w="1440"/>
            <w:shd w:fill="FFDCE0" w:val="clear"/>
          </w:tcPr>
          <w:p>
            <w:r>
              <w:rPr>
                <w:sz w:val="17"/>
              </w:rPr>
              <w:t>6,919</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5,345</w:t>
            </w:r>
          </w:p>
        </w:tc>
        <w:tc>
          <w:tcPr>
            <w:tcW w:type="dxa" w:w="1440"/>
            <w:shd w:fill="FFDCE0" w:val="clear"/>
          </w:tcPr>
          <w:p>
            <w:r>
              <w:rPr>
                <w:b/>
                <w:sz w:val="17"/>
              </w:rPr>
              <w:t>6,153</w:t>
            </w:r>
          </w:p>
        </w:tc>
        <w:tc>
          <w:tcPr>
            <w:tcW w:type="dxa" w:w="1440"/>
            <w:shd w:fill="FFDCE0" w:val="clear"/>
          </w:tcPr>
          <w:p>
            <w:r>
              <w:rPr>
                <w:sz w:val="17"/>
              </w:rPr>
              <w:t>6,960</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5,289</w:t>
            </w:r>
          </w:p>
        </w:tc>
        <w:tc>
          <w:tcPr>
            <w:tcW w:type="dxa" w:w="1440"/>
            <w:shd w:fill="FFDCE0" w:val="clear"/>
          </w:tcPr>
          <w:p>
            <w:r>
              <w:rPr>
                <w:b/>
                <w:sz w:val="17"/>
              </w:rPr>
              <w:t>6,145</w:t>
            </w:r>
          </w:p>
        </w:tc>
        <w:tc>
          <w:tcPr>
            <w:tcW w:type="dxa" w:w="1440"/>
            <w:shd w:fill="FFDCE0" w:val="clear"/>
          </w:tcPr>
          <w:p>
            <w:r>
              <w:rPr>
                <w:sz w:val="17"/>
              </w:rPr>
              <w:t>7,000</w:t>
            </w:r>
          </w:p>
        </w:tc>
        <w:tc>
          <w:tcPr>
            <w:tcW w:type="dxa" w:w="1440"/>
            <w:shd w:fill="FFDCE0" w:val="clear"/>
          </w:tcPr>
          <w:p>
            <w:r>
              <w:rPr>
                <w:b/>
                <w:color w:val="C00000"/>
                <w:sz w:val="17"/>
              </w:rPr>
              <w:t>-5.5%</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5,237</w:t>
            </w:r>
          </w:p>
        </w:tc>
        <w:tc>
          <w:tcPr>
            <w:tcW w:type="dxa" w:w="1440"/>
            <w:shd w:fill="FFDCE0" w:val="clear"/>
          </w:tcPr>
          <w:p>
            <w:r>
              <w:rPr>
                <w:b/>
                <w:sz w:val="17"/>
              </w:rPr>
              <w:t>6,138</w:t>
            </w:r>
          </w:p>
        </w:tc>
        <w:tc>
          <w:tcPr>
            <w:tcW w:type="dxa" w:w="1440"/>
            <w:shd w:fill="FFDCE0" w:val="clear"/>
          </w:tcPr>
          <w:p>
            <w:r>
              <w:rPr>
                <w:sz w:val="17"/>
              </w:rPr>
              <w:t>7,038</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CIEC affiche une capitalisation boursière de 364,00 Mds FCFA, ce qui la positionne parmi les valeurs les plus importantes de la cote BRVM, reflétant sa stature de monopole dans le secteur électrique ivoirien. Avec un BPA de 234 FCFA/action, chaque titre génère un bénéfice net significatif, mais le PER de 27,7x traduit une valorisation nettement supérieure à la moyenne du marché BRVM (8-12x), signalant que les investisseurs paient une prime élevée pour la croissance attendue ou que le titre est surévalué. Le ratio P/B de 10,12x, très au-dessus du seuil de 4x, confirme cette prime exigeante par rapport à la valeur comptable, tandis que l'EV/EBITDA de 14,9x (fourchette 10-15x) indique que la valeur totale de l'entreprise, incluant sa dette, est chèrement valorisée par rapport à sa capacité opérationnelle. Cette combinaison de ratios élevés suggère que le marché intègre déjà une forte croissance future, laissant peu de marge de sécurité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+95,20%, avec une dernière séance en hausse de +0,78%, portant le cours actuel à 6 500 FCFA. Le titre a évolué dans un range très large, entre un plus bas de 3 200 FCFA et un plus haut de 7 400 FCFA, soit une amplitude de plus de 131%, témoignant d'une tendance haussière puissante mais également d'une forte volatilité. La moyenne de 5 444 FCFA se situe légèrement au-dessus de la médiane de 5 300 FCFA, indiquant une distribution très légèrement asymétrique à droite, bien que le skewness de -0,171 confirme une symétrie globale de la distribution. L'écart-type de 1 052 FCFA, avec un coefficient de variation de 19,3%, traduit une dispersion modérée du cours autour de sa moyenne, tandis que le kurtosis de -0,460 (mésokurtique) suggère une distribution proche de la normale, sans risque excessif de pics extrêmes. La volatilité annualisée de 49,8% classe le titre dans la catégorie des valeurs à volatilité élevée (&gt;30%), ce qui implique un risque significatif pour les investisseurs, mais aussi des opportunités de rendement accrues.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6 686,0 FCFA et la MM50 à 6 181,7 FCFA, toutes deux supérieures au cours actuel de 6 500 FCFA pour la MM20, mais inférieures pour la MM50. Cette configuration indique que le titre évolue sous sa moyenne court terme mais au-dessus de sa moyenne moyen terme, suggérant une correction temporaire dans une tendance haussière plus large. La décision technique est à l'**Achat**, portée par le croisement haussier des moyennes et la position favorable du cours par rapport à la MM50.</w:t>
      </w:r>
    </w:p>
    <w:p>
      <w:pPr>
        <w:spacing w:after="120" w:line="276" w:lineRule="auto"/>
      </w:pPr>
      <w:r>
        <w:t>**Bandes de Bollinger** : La borne supérieure se situe à 7 411,6 FCFA et la borne inférieure à 5 960,4 FCFA, avec un cours actuel de 6 500 FCFA positionné légèrement au-dessus de la médiane des bandes. Cette position centrale indique une absence de signal directionnel fort, avec une volatilité contenue dans les limites des bandes. La décision est **Neutre**, le marché attendant un catalyseur pour choisir une direction.</w:t>
      </w:r>
    </w:p>
    <w:p>
      <w:pPr>
        <w:spacing w:after="120" w:line="276" w:lineRule="auto"/>
      </w:pPr>
      <w:r>
        <w:t>**MACD** : La valeur du MACD (8,876) est nettement inférieure à son signal (69,196), générant une divergence baissière significative. Cet écart important suggère un essoufflement du momentum haussier et un risque de retournement à court terme. La décision technique est à la **Vente**, confirmant la pression baissière sur les indicateurs de momentum.</w:t>
      </w:r>
    </w:p>
    <w:p>
      <w:pPr>
        <w:spacing w:after="120" w:line="276" w:lineRule="auto"/>
      </w:pPr>
      <w:r>
        <w:t>**RSI** : Avec une valeur de 33,696, le RSI se situe dans la zone neutre basse (30-70), proche du seuil de survente (30). Cette configuration indique que le titre n'est ni suracheté ni survendu, mais que la pression vendeuse récente a ramené l'indicateur vers des niveaux bas, suggérant un potentiel de rebond technique à court terme. La décision est **Neutre**.</w:t>
      </w:r>
    </w:p>
    <w:p>
      <w:pPr>
        <w:spacing w:after="120" w:line="276" w:lineRule="auto"/>
      </w:pPr>
      <w:r>
        <w:t>**Stochastique** : Le %K (42,169) est supérieur au %D (35,109), générant un croisement haussier naissant. Cette configuration suggère que le momentum pourrait se retourner à la hausse après la correction récente. La décision est **Neutre**, le signal n'étant pas encore confirmé.</w:t>
      </w:r>
    </w:p>
    <w:p>
      <w:pPr>
        <w:spacing w:after="120" w:line="276" w:lineRule="auto"/>
      </w:pPr>
      <w:r>
        <w:t>**Conclusion technique** : Les indicateurs techniques présentent une divergence notable : les moyennes mobiles et le stochastique suggèrent un potentiel haussier, tandis que le MACD signale une pression baissière et que le RSI et les bandes de Bollinger restent neutres. Cette configuration mitigée indique une phase d'incertitude, avec un avantage légèrement baissier à court terme compte tenu de la divergence MACD, mais un support potentiel autour de la MM50 (6 181,7 FCFA) qui pourrait limiter la baisse.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 réalisé un chiffre d'affaires de 302,320 Mds FCFA, en croissance de +14,82% par rapport à 2024 (263,294 Mds FCFA), portée par une hausse des ventes d'énergie (+8,3% en volume) et une expansion du nombre de clients (+15,1% à 5 282 283 clients). Le résultat net s'établit à 13,127 Mds FCFA, en progression de +24,4% (contre 10,526 Mds FCFA en 2024), avec une marge nette de 4,34% et un ROE exceptionnel de 36,50%, bien au-dessus du seuil de 15% considéré comme excellent. Le ROA reste modeste à 0,65%, reflétant l'intensité capitalistique du secteur, tandis que la marge opérationnelle de 7,40% et la marge brute de 12,29% témoignent d'une rentabilité opérationnelle correcte mais sous pression. La structure financière présente des points de vigilance : l'autonomie financière est très faible à 1,78% (seuil sain &gt;30%), le ratio d'endettement atteint 612,94% et la dépendance financière est de 98,22%, ce qui expose l'entreprise à un risque de solvabilité en cas de choc. Le BFR est négatif à -90,244 Mds FCFA (favorable), mais le délai client de 164,01 jours est élevé et constitue un risque de trésorerie, tandis que le délai fournisseur de 970,25 jours est exceptionnellement long, offrant un avantage de financement gratuit. La capacité de remboursement de 7,64 années et la couverture des intérêts de 617,75% indiquent une capacité à servir la dette, mais la trésorerie nette de 32,190 Mds FCFA reste limitée.</w:t>
      </w:r>
    </w:p>
    <w:p>
      <w:pPr>
        <w:spacing w:after="120" w:line="276" w:lineRule="auto"/>
      </w:pPr>
      <w:r>
        <w:t>**Estimations basées sur les rapports trimestriels** : Le rapport du 1er semestre 2025 (daté du 30/06/2025) indique un chiffre d'affaires de 134,923 Mds FCFA (+18,85%) et un résultat net de 5,096 Mds FCFA (+13,37%), avec une marge nette de 3,8% (contre 4,0% au S1 2024). Sur cette base, on estime que l'exercice 2025 devrait confirmer la tendance annuelle avec un résultat net proche de 13,1 Mds FCFA, ce qui est effectivement le cas. Le rapport annuel 2025 (daté du 31/12/2026) confirme un dividende de 234 FCFA/action, soit un taux de distribution de 99,8% du résultat net, ce qui limite la capacité d'autofinancement pour les investissements futurs. Le rapport de 2024 (daté du 31/12/2024) montrait déjà un ROE de 26,3% et une marge nette de 4,0%, confirmant la solidité de la rentabilité pour les actionnaires malgré un endettement élevé.</w:t>
      </w:r>
    </w:p>
    <w:p>
      <w:pPr>
        <w:spacing w:after="120" w:line="276" w:lineRule="auto"/>
      </w:pPr>
      <w:r>
        <w:t>**Recommandation fondamentale** : La CIEC présente des fondamentaux solides avec une croissance robuste du chiffre d'affaires et du résultat net, un ROE exceptionnel et une politique de dividende très attractive. Cependant, la structure financière est fragile (autonomie financière quasi nulle, endettement massif) et la valorisation boursière intègre déjà une grande partie de ces bonnes performances. La recommandation fondamentale est de **CONSERVER**, avec une surveillance accrue des risques de crédit client et de la dépendance au cadre réglementaire.</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exigeante avec un PER de 27,7x (très supérieur à la moyenne BRVM de 8-12x), un P/B de 10,12x et un EV/EBITDA de 14,9x, suggérant que le marché a déjà intégré une forte croissance et laissant peu de marge de sécurité. Le comportement du cours sur 100 jours est exceptionnellement haussier (+95,20%), avec une volatilité élevée (49,8%) et une distribution proche de la normale (kurtosis -0,460, skewness -0,171), ce qui indique un risque significatif mais sans biais directionnel marqué. Les signaux techniques sont divergents : les moyennes mobiles et le stochastique suggèrent un potentiel haussier, tandis que le MACD signale une pression baissière et que le RSI et les bandes de Bollinger restent neutres, créant une incertitude à court terme. Les fondamentaux sont solides (CA +14,8%, RN +24,4%, ROE 36,5%) mais fragilisés par un endettement massif (ratio d'endettement 612,9%) et une autonomie financière quasi nulle (1,78%), ce qui limite la flexibilité financière. Les prédictions IA pour les 10 prochains jours ouvrables indiquent une trajectoire baissière progressive (6 376 FCFA le 02/10, puis 6 190 FCFA le 08/10), ce qui contredit les signaux haussiers des moyennes mobiles et du stochastique, mais confirme la pression baissière du MACD. Sur la base de cette synthèse, la recommandation finale est de **CONSERVER**, avec un niveau de confiance **Moyen** et un risque global **Élevé**. L'horizon d'investissement optimal est le **moyen terme (3-12 mois)**, en attendant une clarification des signaux techniques et une confirmation de la capacité de l'entreprise à gérer son endettement tout en maintenant sa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4,189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B40000"/>
                <w:sz w:val="17"/>
              </w:rPr>
              <w:t>-0.03%</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2.73% (Faible) — μ=16,569 FCFA, σ=452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β=0.2992 (Défensif) — Cov=0.000021, Var(idx)=0.000070, ρ=0.141,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16,428</w:t>
            </w:r>
          </w:p>
        </w:tc>
        <w:tc>
          <w:tcPr>
            <w:tcW w:type="dxa" w:w="1440"/>
            <w:shd w:fill="FAFAFA" w:val="clear"/>
          </w:tcPr>
          <w:p>
            <w:r>
              <w:rPr>
                <w:b/>
                <w:sz w:val="17"/>
              </w:rPr>
              <w:t>16,868</w:t>
            </w:r>
          </w:p>
        </w:tc>
        <w:tc>
          <w:tcPr>
            <w:tcW w:type="dxa" w:w="1440"/>
            <w:shd w:fill="FAFAFA" w:val="clear"/>
          </w:tcPr>
          <w:p>
            <w:r>
              <w:rPr>
                <w:sz w:val="17"/>
              </w:rPr>
              <w:t>17,308</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16,257</w:t>
            </w:r>
          </w:p>
        </w:tc>
        <w:tc>
          <w:tcPr>
            <w:tcW w:type="dxa" w:w="1440"/>
            <w:shd w:fill="FAFAFA" w:val="clear"/>
          </w:tcPr>
          <w:p>
            <w:r>
              <w:rPr>
                <w:b/>
                <w:sz w:val="17"/>
              </w:rPr>
              <w:t>16,880</w:t>
            </w:r>
          </w:p>
        </w:tc>
        <w:tc>
          <w:tcPr>
            <w:tcW w:type="dxa" w:w="1440"/>
            <w:shd w:fill="FAFAFA" w:val="clear"/>
          </w:tcPr>
          <w:p>
            <w:r>
              <w:rPr>
                <w:sz w:val="17"/>
              </w:rPr>
              <w:t>17,502</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16,132</w:t>
            </w:r>
          </w:p>
        </w:tc>
        <w:tc>
          <w:tcPr>
            <w:tcW w:type="dxa" w:w="1440"/>
            <w:shd w:fill="FAFAFA" w:val="clear"/>
          </w:tcPr>
          <w:p>
            <w:r>
              <w:rPr>
                <w:b/>
                <w:sz w:val="17"/>
              </w:rPr>
              <w:t>16,895</w:t>
            </w:r>
          </w:p>
        </w:tc>
        <w:tc>
          <w:tcPr>
            <w:tcW w:type="dxa" w:w="1440"/>
            <w:shd w:fill="FAFAFA" w:val="clear"/>
          </w:tcPr>
          <w:p>
            <w:r>
              <w:rPr>
                <w:sz w:val="17"/>
              </w:rPr>
              <w:t>17,658</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2026-10-07</w:t>
            </w:r>
          </w:p>
        </w:tc>
        <w:tc>
          <w:tcPr>
            <w:tcW w:type="dxa" w:w="1440"/>
            <w:shd w:fill="FAFAFA" w:val="clear"/>
          </w:tcPr>
          <w:p>
            <w:r>
              <w:rPr>
                <w:sz w:val="17"/>
              </w:rPr>
              <w:t>16,027</w:t>
            </w:r>
          </w:p>
        </w:tc>
        <w:tc>
          <w:tcPr>
            <w:tcW w:type="dxa" w:w="1440"/>
            <w:shd w:fill="FAFAFA" w:val="clear"/>
          </w:tcPr>
          <w:p>
            <w:r>
              <w:rPr>
                <w:b/>
                <w:sz w:val="17"/>
              </w:rPr>
              <w:t>16,909</w:t>
            </w:r>
          </w:p>
        </w:tc>
        <w:tc>
          <w:tcPr>
            <w:tcW w:type="dxa" w:w="1440"/>
            <w:shd w:fill="FAFAFA" w:val="clear"/>
          </w:tcPr>
          <w:p>
            <w:r>
              <w:rPr>
                <w:sz w:val="17"/>
              </w:rPr>
              <w:t>17,791</w:t>
            </w:r>
          </w:p>
        </w:tc>
        <w:tc>
          <w:tcPr>
            <w:tcW w:type="dxa" w:w="1440"/>
            <w:shd w:fill="FAFAFA" w:val="clear"/>
          </w:tcPr>
          <w:p>
            <w:r>
              <w:rPr>
                <w:b/>
                <w:color w:val="008000"/>
                <w:sz w:val="17"/>
              </w:rPr>
              <w:t>+0.7%</w:t>
            </w:r>
          </w:p>
        </w:tc>
      </w:tr>
      <w:tr>
        <w:tc>
          <w:tcPr>
            <w:tcW w:type="dxa" w:w="1440"/>
            <w:shd w:fill="FAFAFA" w:val="clear"/>
          </w:tcPr>
          <w:p>
            <w:r>
              <w:rPr>
                <w:sz w:val="17"/>
              </w:rPr>
              <w:t>J+5  Moyenne</w:t>
            </w:r>
          </w:p>
        </w:tc>
        <w:tc>
          <w:tcPr>
            <w:tcW w:type="dxa" w:w="1440"/>
            <w:shd w:fill="FAFAFA" w:val="clear"/>
          </w:tcPr>
          <w:p>
            <w:r>
              <w:rPr>
                <w:sz w:val="17"/>
              </w:rPr>
              <w:t>2026-10-08</w:t>
            </w:r>
          </w:p>
        </w:tc>
        <w:tc>
          <w:tcPr>
            <w:tcW w:type="dxa" w:w="1440"/>
            <w:shd w:fill="FAFAFA" w:val="clear"/>
          </w:tcPr>
          <w:p>
            <w:r>
              <w:rPr>
                <w:sz w:val="17"/>
              </w:rPr>
              <w:t>15,936</w:t>
            </w:r>
          </w:p>
        </w:tc>
        <w:tc>
          <w:tcPr>
            <w:tcW w:type="dxa" w:w="1440"/>
            <w:shd w:fill="FAFAFA" w:val="clear"/>
          </w:tcPr>
          <w:p>
            <w:r>
              <w:rPr>
                <w:b/>
                <w:sz w:val="17"/>
              </w:rPr>
              <w:t>16,923</w:t>
            </w:r>
          </w:p>
        </w:tc>
        <w:tc>
          <w:tcPr>
            <w:tcW w:type="dxa" w:w="1440"/>
            <w:shd w:fill="FAFAFA" w:val="clear"/>
          </w:tcPr>
          <w:p>
            <w:r>
              <w:rPr>
                <w:sz w:val="17"/>
              </w:rPr>
              <w:t>17,909</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2026-10-09</w:t>
            </w:r>
          </w:p>
        </w:tc>
        <w:tc>
          <w:tcPr>
            <w:tcW w:type="dxa" w:w="1440"/>
            <w:shd w:fill="FAFAFA" w:val="clear"/>
          </w:tcPr>
          <w:p>
            <w:r>
              <w:rPr>
                <w:sz w:val="17"/>
              </w:rPr>
              <w:t>15,854</w:t>
            </w:r>
          </w:p>
        </w:tc>
        <w:tc>
          <w:tcPr>
            <w:tcW w:type="dxa" w:w="1440"/>
            <w:shd w:fill="FAFAFA" w:val="clear"/>
          </w:tcPr>
          <w:p>
            <w:r>
              <w:rPr>
                <w:b/>
                <w:sz w:val="17"/>
              </w:rPr>
              <w:t>16,935</w:t>
            </w:r>
          </w:p>
        </w:tc>
        <w:tc>
          <w:tcPr>
            <w:tcW w:type="dxa" w:w="1440"/>
            <w:shd w:fill="FAFAFA" w:val="clear"/>
          </w:tcPr>
          <w:p>
            <w:r>
              <w:rPr>
                <w:sz w:val="17"/>
              </w:rPr>
              <w:t>18,017</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2026-10-12</w:t>
            </w:r>
          </w:p>
        </w:tc>
        <w:tc>
          <w:tcPr>
            <w:tcW w:type="dxa" w:w="1440"/>
            <w:shd w:fill="FAFAFA" w:val="clear"/>
          </w:tcPr>
          <w:p>
            <w:r>
              <w:rPr>
                <w:sz w:val="17"/>
              </w:rPr>
              <w:t>15,779</w:t>
            </w:r>
          </w:p>
        </w:tc>
        <w:tc>
          <w:tcPr>
            <w:tcW w:type="dxa" w:w="1440"/>
            <w:shd w:fill="FAFAFA" w:val="clear"/>
          </w:tcPr>
          <w:p>
            <w:r>
              <w:rPr>
                <w:b/>
                <w:sz w:val="17"/>
              </w:rPr>
              <w:t>16,948</w:t>
            </w:r>
          </w:p>
        </w:tc>
        <w:tc>
          <w:tcPr>
            <w:tcW w:type="dxa" w:w="1440"/>
            <w:shd w:fill="FAFAFA" w:val="clear"/>
          </w:tcPr>
          <w:p>
            <w:r>
              <w:rPr>
                <w:sz w:val="17"/>
              </w:rPr>
              <w:t>18,118</w:t>
            </w:r>
          </w:p>
        </w:tc>
        <w:tc>
          <w:tcPr>
            <w:tcW w:type="dxa" w:w="1440"/>
            <w:shd w:fill="FAFAFA" w:val="clear"/>
          </w:tcPr>
          <w:p>
            <w:r>
              <w:rPr>
                <w:b/>
                <w:color w:val="008000"/>
                <w:sz w:val="17"/>
              </w:rPr>
              <w:t>+0.9%</w:t>
            </w:r>
          </w:p>
        </w:tc>
      </w:tr>
      <w:tr>
        <w:tc>
          <w:tcPr>
            <w:tcW w:type="dxa" w:w="1440"/>
            <w:shd w:fill="FAFAFA" w:val="clear"/>
          </w:tcPr>
          <w:p>
            <w:r>
              <w:rPr>
                <w:sz w:val="17"/>
              </w:rPr>
              <w:t>J+8  Moyenne</w:t>
            </w:r>
          </w:p>
        </w:tc>
        <w:tc>
          <w:tcPr>
            <w:tcW w:type="dxa" w:w="1440"/>
            <w:shd w:fill="FAFAFA" w:val="clear"/>
          </w:tcPr>
          <w:p>
            <w:r>
              <w:rPr>
                <w:sz w:val="17"/>
              </w:rPr>
              <w:t>2026-10-13</w:t>
            </w:r>
          </w:p>
        </w:tc>
        <w:tc>
          <w:tcPr>
            <w:tcW w:type="dxa" w:w="1440"/>
            <w:shd w:fill="FAFAFA" w:val="clear"/>
          </w:tcPr>
          <w:p>
            <w:r>
              <w:rPr>
                <w:sz w:val="17"/>
              </w:rPr>
              <w:t>15,709</w:t>
            </w:r>
          </w:p>
        </w:tc>
        <w:tc>
          <w:tcPr>
            <w:tcW w:type="dxa" w:w="1440"/>
            <w:shd w:fill="FAFAFA" w:val="clear"/>
          </w:tcPr>
          <w:p>
            <w:r>
              <w:rPr>
                <w:b/>
                <w:sz w:val="17"/>
              </w:rPr>
              <w:t>16,961</w:t>
            </w:r>
          </w:p>
        </w:tc>
        <w:tc>
          <w:tcPr>
            <w:tcW w:type="dxa" w:w="1440"/>
            <w:shd w:fill="FAFAFA" w:val="clear"/>
          </w:tcPr>
          <w:p>
            <w:r>
              <w:rPr>
                <w:sz w:val="17"/>
              </w:rPr>
              <w:t>18,212</w:t>
            </w:r>
          </w:p>
        </w:tc>
        <w:tc>
          <w:tcPr>
            <w:tcW w:type="dxa" w:w="1440"/>
            <w:shd w:fill="FAFAFA" w:val="clear"/>
          </w:tcPr>
          <w:p>
            <w:r>
              <w:rPr>
                <w:b/>
                <w:color w:val="008000"/>
                <w:sz w:val="17"/>
              </w:rPr>
              <w:t>+1.0%</w:t>
            </w:r>
          </w:p>
        </w:tc>
      </w:tr>
      <w:tr>
        <w:tc>
          <w:tcPr>
            <w:tcW w:type="dxa" w:w="1440"/>
            <w:shd w:fill="FAFAFA" w:val="clear"/>
          </w:tcPr>
          <w:p>
            <w:r>
              <w:rPr>
                <w:sz w:val="17"/>
              </w:rPr>
              <w:t>J+9  Moyenne</w:t>
            </w:r>
          </w:p>
        </w:tc>
        <w:tc>
          <w:tcPr>
            <w:tcW w:type="dxa" w:w="1440"/>
            <w:shd w:fill="FAFAFA" w:val="clear"/>
          </w:tcPr>
          <w:p>
            <w:r>
              <w:rPr>
                <w:sz w:val="17"/>
              </w:rPr>
              <w:t>2026-10-14</w:t>
            </w:r>
          </w:p>
        </w:tc>
        <w:tc>
          <w:tcPr>
            <w:tcW w:type="dxa" w:w="1440"/>
            <w:shd w:fill="FAFAFA" w:val="clear"/>
          </w:tcPr>
          <w:p>
            <w:r>
              <w:rPr>
                <w:sz w:val="17"/>
              </w:rPr>
              <w:t>15,645</w:t>
            </w:r>
          </w:p>
        </w:tc>
        <w:tc>
          <w:tcPr>
            <w:tcW w:type="dxa" w:w="1440"/>
            <w:shd w:fill="FAFAFA" w:val="clear"/>
          </w:tcPr>
          <w:p>
            <w:r>
              <w:rPr>
                <w:b/>
                <w:sz w:val="17"/>
              </w:rPr>
              <w:t>16,973</w:t>
            </w:r>
          </w:p>
        </w:tc>
        <w:tc>
          <w:tcPr>
            <w:tcW w:type="dxa" w:w="1440"/>
            <w:shd w:fill="FAFAFA" w:val="clear"/>
          </w:tcPr>
          <w:p>
            <w:r>
              <w:rPr>
                <w:sz w:val="17"/>
              </w:rPr>
              <w:t>18,301</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2026-10-15</w:t>
            </w:r>
          </w:p>
        </w:tc>
        <w:tc>
          <w:tcPr>
            <w:tcW w:type="dxa" w:w="1440"/>
            <w:shd w:fill="FAFAFA" w:val="clear"/>
          </w:tcPr>
          <w:p>
            <w:r>
              <w:rPr>
                <w:sz w:val="17"/>
              </w:rPr>
              <w:t>15,584</w:t>
            </w:r>
          </w:p>
        </w:tc>
        <w:tc>
          <w:tcPr>
            <w:tcW w:type="dxa" w:w="1440"/>
            <w:shd w:fill="FAFAFA" w:val="clear"/>
          </w:tcPr>
          <w:p>
            <w:r>
              <w:rPr>
                <w:b/>
                <w:sz w:val="17"/>
              </w:rPr>
              <w:t>16,985</w:t>
            </w:r>
          </w:p>
        </w:tc>
        <w:tc>
          <w:tcPr>
            <w:tcW w:type="dxa" w:w="1440"/>
            <w:shd w:fill="FAFAFA" w:val="clear"/>
          </w:tcPr>
          <w:p>
            <w:r>
              <w:rPr>
                <w:sz w:val="17"/>
              </w:rPr>
              <w:t>18,386</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924,57 milliards FCFA, ECOC s'impose comme l'une des plus importantes capitalisations de la BRVM, témoignant de son statut de valeur de premier plan dans le compartiment bancaire régional. Le BPA de 1 153 FCFA par action signifie que chaque titre génère un bénéfice net de plus de mille francs, un niveau élevé qui reflète la forte rentabilité de la banque. Le PER de 14,6x se situe au-dessus de la moyenne du marché BRVM (généralement comprise entre 8 et 12x), indiquant que les investisseurs acceptent de payer une prime pour cette valeur bancaire de qualité, ce qui traduit une certaine confiance dans la pérennité de ses bénéfices. Le P/B de 4,23x — largement supérieur au seuil de 4x — signale que le marché valorise ECOC à plus de quatre fois sa valeur comptable, une prime exigeante qui s'explique par la qualité de ses fonds propres et sa rentabilité supérieure. Enfin, l'EV/EBITDA de 14,2x, dans la fourchette haute (10-15x), confirme que la valeur d'entreprise intègre une prime de qualité, cohérente avec le positionnement premium du titre sur le marché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affiche une variation quasi-nulle de -0,03%, avec une légère contraction de -0,24% lors de la dernière séance, traduisant une phase de consolidation latérale. Le titre a évolué dans un couloir relativement étroit entre un plus bas de 15 520 FCFA et un plus haut de 17 725 FCFA, soit un range de trading d'environ 14%, ce qui reste modéré pour une valeur bancaire. La tendance générale est donc stable, sans direction franche, le cours actuel de 16 795 FCFA se situant légèrement au-dessus de la moyenne de 16 569 FCFA et de la médiane de 16 500 FCFA. L'écart très faible entre moyenne et médiane (69 FCFA) confirme la symétrie de la distribution, corroborée par un skewness de 0,239 proche de zéro. L'écart-type de 454 FCFA et le coefficient de variation de 2,7% indiquent une dispersion très faible du cours, signe d'une certaine stabilité. Le kurtosis de -0,239 (mésokurtique) suggère une distribution proche de la normale, sans risque excessif de pics extrêmes. Avec une volatilité annualisée de 27,8%, le titre se situe dans la fourchette modérée (15-30%), ce qui est rassurant pour un investisseur cherchant un compromis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17 071,5 FCFA et la MM50 à 16 672,9 FCFA, toutes deux supérieures au cours actuel de 16 795 FCFA pour la MM20, mais la MM50 reste en dessous. Le croisement haussier potentiel (MM20 &gt; MM50) et la position du cours entre les deux moyennes justifient la décision d'**Achat**, bien que le cours doive reconquérir la MM20 pour confirmer.</w:t>
      </w:r>
    </w:p>
    <w:p>
      <w:pPr>
        <w:spacing w:after="120" w:line="276" w:lineRule="auto"/>
      </w:pPr>
      <w:r>
        <w:t>**Bandes de Bollinger** : La borne supérieure est à 17 707,36 FCFA et la borne inférieure à 16 435,64 FCFA, avec un cours actuel de 16 795 FCFA positionné dans la partie médiane-haute du canal. Cette position neutre, sans contact avec les extrêmes, justifie la décision **Neutre**, le titre n'étant ni suracheté ni survendu selon ce critère.</w:t>
      </w:r>
    </w:p>
    <w:p>
      <w:pPr>
        <w:spacing w:after="120" w:line="276" w:lineRule="auto"/>
      </w:pPr>
      <w:r>
        <w:t>**MACD** : La valeur du MACD est de -0,053 contre un signal à 56,138, créant une divergence baissière marquée (MACD largement sous son signal). Ce momentum négatif justifie la décision de **Vente**, bien que la faiblesse de la valeur absolue du MACD suggère une pression baissière limitée.</w:t>
      </w:r>
    </w:p>
    <w:p>
      <w:pPr>
        <w:spacing w:after="120" w:line="276" w:lineRule="auto"/>
      </w:pPr>
      <w:r>
        <w:t>**RSI** : À 37,563, le RSI se situe dans la zone neutre basse (30-70), sans atteindre le seuil de survente de 30. Cette position indique une absence de pression acheteuse mais aussi un potentiel de rebond, justifiant la décision **Neutre**.</w:t>
      </w:r>
    </w:p>
    <w:p>
      <w:pPr>
        <w:spacing w:after="120" w:line="276" w:lineRule="auto"/>
      </w:pPr>
      <w:r>
        <w:t>**Stochastique** : Le %K à 35,78 et le %D à 32,851 sont tous deux en zone basse, avec un croisement potentiel haussier (%K &gt; %D) qui reste à confirmer. La décision **Neutre** reflète cette situation d'attente, le titre n'étant pas encore en zone de survente extrême.</w:t>
      </w:r>
    </w:p>
    <w:p>
      <w:pPr>
        <w:spacing w:after="120" w:line="276" w:lineRule="auto"/>
      </w:pPr>
      <w:r>
        <w:t>**Conclusion technique** : Les indicateurs techniques présentent un tableau mitigé, avec une majorité de signaux neutres (Bollinger, RSI, Stochastique) et une divergence entre la décision d'achat des moyennes mobiles et celle de vente du MACD. Le titre évolue dans une zone de consolidation sans direction claire, ce qui plaide pour une certaine prudence à court terme, en attendant une confirmation de tendance par le franchissement de la MM20 ou un croisement haussier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(PNB) de 132,725 milliards FCFA, un résultat net de 63,482 milliards FCFA, un ROE exceptionnel de 29,04% et un ROA de 3,09%. Le coefficient d'exploitation s'établit à 42,89%, largement en dessous du seuil de 60%, confirmant l'excellente efficacité opérationnelle de la banque. Le coût du risque rapporté aux charges financières est de 1,36%, un niveau modéré qui témoigne d'un portefeuille de crédits globalement sain. La structure financière montre une autonomie financière de 10,64% (capitaux propres/total bilan), typique du modèle bancaire, avec un ratio de solvabilité générale de 111,91% (&gt;1, donc solvable). Les dépôts clientèle atteignent 1 626,223 milliards FCFA contre des créances clientèle de 1 050,803 milliards FCFA, soit un ratio de transformation de 64,6%, indiquant une capacité de déploiement du crédit encore importante.</w:t>
      </w:r>
    </w:p>
    <w:p>
      <w:pPr>
        <w:spacing w:after="120" w:line="276" w:lineRule="auto"/>
      </w:pPr>
      <w:r>
        <w:t>**Estimations basées sur les rapports trimestriels** : Le rapport S1 2026 (publié le 26 août 2026) révèle un PNB de 64,078 milliards FCFA (+2,0% sur un an) et un résultat net de 26,408 milliards FCFA (-8,6%), pénalisé par un coût du risque multiplié par 7,4 à 5,197 milliards FCFA. Le ROE recule à 26,9% et le ROA à 2,5%, mais restent à des niveaux élevés. Le rapport T1 2026 (publié en avril 2026) montrait un PNB de 30,8 milliards FCFA (+3,7%) et un résultat net de 13,0 milliards FCFA (-1,6%), avec un coefficient d'exploitation de 45,7%. Sur la base de ces tendances, on peut estimer que l'exercice 2026 devrait enregistrer un PNB en croissance modérée (environ +3-4%) et un résultat net en léger recul, sous l'effet de la hausse du coût du risque, bien que la banque conserve une rentabilité parmi les meilleures du secteur.</w:t>
      </w:r>
    </w:p>
    <w:p>
      <w:pPr>
        <w:spacing w:after="120" w:line="276" w:lineRule="auto"/>
      </w:pPr>
      <w:r>
        <w:t>**Évolution et recommandation fondamentale** : La comparaison avec l'exercice 2024 (PNB de 122,3 milliards FCFA, résultat net de 57,5 milliards FCFA, ROE de 28,8%) montre une progression en 2025, mais les rapports 2026 signalent un ralentissement. Le dividende proposé de 888 FCFA brut par action (781 FCFA net) pour 2025, en hausse de 10,4% par rapport aux 804 FCFA de 2024, offre un rendement attractif d'environ 5,3% au cours actuel. La solidité fondamentale reste intacte (ROE &gt;25%, coefficient d'exploitation &lt;46%, solvabilité robuste), mais la dégradation du coût du risque et la baisse du résultat net en 2026 incitent à la prudence. La recommandation fondamentale est de **CONSERVER**, en attendant la normalisation du coût du risque et la confirmation de la tendance au second semestre 2026.</w:t>
      </w:r>
    </w:p>
    <w:p>
      <w:pPr>
        <w:spacing w:after="120" w:line="276" w:lineRule="auto"/>
      </w:pPr>
      <w:r>
        <w:t>---</w:t>
      </w:r>
    </w:p>
    <w:p>
      <w:pPr>
        <w:spacing w:after="120" w:line="276" w:lineRule="auto"/>
      </w:pPr>
      <w:r>
        <w:t>## PARTIE 4 : CONCLUSION D'INVESTISSEMENT</w:t>
      </w:r>
    </w:p>
    <w:p>
      <w:pPr>
        <w:spacing w:after="120" w:line="276" w:lineRule="auto"/>
      </w:pPr>
      <w:r>
        <w:t>La valorisation d'ECOC (Partie 0) apparaît exigeante avec un PER de 14,6x et un P/B de 4,23x, nettement au-dessus des moyennes du marché BRVM, ce qui intègre une prime de qualité mais limite le potentiel de revalorisation à court terme. Le comportement du cours (Partie 1) est stable et symétrique (skewness proche de zéro, kurtosis mésokurtique), avec une volatilité modérée de 27,8%, ce qui est rassurant mais n'offre pas de signal directionnel fort. Les signaux techniques (Partie 2) sont mitigés : les moyennes mobiles suggèrent un achat, mais le MACD est baissier et les autres indicateurs sont neutres, créant une divergence qui plaide pour l'attente. Les fondamentaux (Partie 3) restent solides (ROE de 29% en 2025, coefficient d'exploitation de 42,9%), mais les rapports 2026 montrent un ralentissement avec un résultat net en baisse de 8,6% au S1 2026 et un coût du risque en forte hausse. Les prédictions IA (J+1 à J+10) anticipent une légère hausse vers 16 923 FCFA d'ici le 8 octobre 2026, ce qui confirme une trajectoire stable sans dynamique forte. Sur la base de cette synthèse, la recommandation finale est de **CONSERVER**, avec un niveau de confiance **Moyen** et un risque global **Moyen**. L'horizon d'investissement optimal est le **moyen terme (3-12 mois)**, en attendant la publication des résultats annuels 2026 et la confirmation de la stabilisation du coût du risque, qui pourrait justifier un passage à l'achat si le dividende est maintenu à un niveau attractif.</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1,671,117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31.59% (Élevée) — μ=54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β=2.0003 (Très agressif) — Cov=0.000139, Var(idx)=0.000070, ρ=0.423,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1,671,117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69</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62</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74</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1 211,64 milliards FCFA, ETIT figure parmi les poids lourds de la cote BRVM, ce qui en fait un titre incontournable pour les investisseurs institutionnels régionaux. Le BPA de 19 FCFA/action signifie que chaque titre génère près de 19 FCFA de bénéfice net, un niveau appréciable pour une banque panafricaine. Le PER de 3,5x traduit une valorisation très bon marché comparée à la moyenne BRVM (8-12x), suggérant que le marché sous-évalue fortement les bénéfices de la banque. Le P/B de 0,76x (&lt; 1) indique que le cours est inférieur à la valeur comptable, une situation classique d'opportunité potentielle pour les investisseurs « value ». Enfin, l'EV/EBITDA de 5,0x confirme cette lecture : la valeur d'entreprise reste modérée au regard de la capacité opérationnelle générée, renforçant l'hypothèse d'une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affiche une performance spectaculaire de +123,33%, portant le cours à 67 FCFA, avec une variation J-1 nulle (+0,00%) signalant une séance de stabilisation. Le range de trading est très large, entre un plus bas de 29 FCFA et un plus haut de 78 FCFA, ce qui témoigne d'un mouvement haussier puissant mais ponctué de corrections. La moyenne (54 FCFA) est nettement inférieure à la médiane (65 FCFA), ce qui révèle une distribution asymétrique : le cours a passé la majorité de la période à des niveaux élevés, mais quelques séances à bas prix tirent la moyenne vers le bas. L'écart-type de 17 FCFA avec un coefficient de variation de 31,8% indique une dispersion importante, confirmant une forte instabilité du titre. Le kurtosis négatif (-1,611, distribution platykurtique) suggère une faible concentration des rendements et un risque de pics limité, tandis que le skewness de -0,448 (distribution symétrique) indique un léger biais baissier sans excès. La volatilité annualisée de 62,0% classe le titre dans la catégorie « volatilité élevée » (&gt;30%), ce qui implique un risque significatif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(69,3 FCFA) et la MM50 (68,2 FCFA) se situent toutes deux au-dessus du cours actuel (67 FCFA), ce qui place le titre en position de faiblesse relative à court terme. Cependant, la MM20 étant légèrement supérieure à la MM50, la configuration reste haussière de fond, justifiant la décision « Achat » fournie.</w:t>
      </w:r>
    </w:p>
    <w:p>
      <w:pPr>
        <w:spacing w:after="120" w:line="276" w:lineRule="auto"/>
      </w:pPr>
      <w:r>
        <w:t>**Bandes de Bollinger** : Le cours (67 FCFA) évolue entre la borne inférieure (65,86 FCFA) et la borne supérieure (72,74 FCFA), à proximité du bas de la bande. Cette position suggère une pression vendeuse récente mais aussi un potentiel de rebond technique. La décision « Neutre » reflète l'absence de signal directionnel clair.</w:t>
      </w:r>
    </w:p>
    <w:p>
      <w:pPr>
        <w:spacing w:after="120" w:line="276" w:lineRule="auto"/>
      </w:pPr>
      <w:r>
        <w:t>**MACD** : La valeur du MACD (0,128) est nettement inférieure à son signal (0,566), générant une divergence baissière et un momentum négatif. Cette configuration justifie la décision « Vente » à court terme, bien que l'écart reste modéré.</w:t>
      </w:r>
    </w:p>
    <w:p>
      <w:pPr>
        <w:spacing w:after="120" w:line="276" w:lineRule="auto"/>
      </w:pPr>
      <w:r>
        <w:t>**RSI** : À 40,0, le RSI se situe en zone neutre (30-70), sans signal de surachat ni de survente. La décision « Neutre » est cohérente avec cette position médiane, indiquant un équilibre entre acheteurs et vendeurs.</w:t>
      </w:r>
    </w:p>
    <w:p>
      <w:pPr>
        <w:spacing w:after="120" w:line="276" w:lineRule="auto"/>
      </w:pPr>
      <w:r>
        <w:t>**Stochastique** : Le %K (42,857) est inférieur au %D (52,381), sans croisement récent significatif. Cette configuration neutre confirme l'absence de signal fort, justifiant la décision « Neutre ».</w:t>
      </w:r>
    </w:p>
    <w:p>
      <w:pPr>
        <w:spacing w:after="120" w:line="276" w:lineRule="auto"/>
      </w:pPr>
      <w:r>
        <w:t>**Conclusion technique** : Les indicateurs techniques sont majoritairement neutres à légèrement baissiers à court terme (MACD vendeur, cours sous les MM), mais la tendance de fond reste haussière (MM20 &gt; MM50). Le titre semble en phase de consolidation après son rallye de +123%, avec un potentiel de rebond si le cours se maintient au-dessus de 65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consolidés d'ETIT (exercice clos) affichent un Produit Net Bancaire (PNB) de 1 424,261 milliards FCFA, un résultat net de 345,523 milliards FCFA, un ROE de 21,62% (&gt;15%, excellent) et un ROA de 1,80%. Le coefficient d'exploitation de 27,35% est exceptionnellement bas (&lt;60%), témoignant d'une efficacité opérationnelle remarquable. Le coût du risque, estimé à 18,97% des charges financières, reste élevé et constitue un point de vigilance. La structure de bilan montre une forte dépendance aux dépôts clientèle (14 120,139 milliards FCFA) face à des créances clientèle de 6 570,385 milliards FCFA, soit un ratio de transformation (crédits/dépôts) de 46,5%, indiquant une marge de croissance dans l'octroi de crédits. Les rapports semestriels 2026 (S1 2026, publiés le 30 juillet 2026) confirment la dynamique : PNB de 721,318 milliards FCFA (+15% vs S1 2025), résultat net de 166,682 milliards FCFA (+6%), BPA de 4,53 FCFA (+2%) et coefficient d'exploitation amélioré à 48,4%. Le rapport T1 2026 (publié en 2026) montre un PNB de 636,2 millions $EU (+23%) et un résultat net de 142,5 millions $EU (+16%), mais avec un coût du risque en hausse de 73%, signal d'alerte. Sur la base de ces rapports trimestriels, on estime que l'exercice 2026 devrait enregistrer une croissance du PNB de l'ordre de 12-15% et un résultat net en progression modérée de 5-8%, sous réserve d'une stabilisation du coût du risque au second semestre. La recommandation fondamentale est de **CONSERVER** le titre : la solidité financière (ROE &gt;20%, coefficient d'exploitation &lt;50%) et la sous-évaluation (PER 3,5x, P/B 0,76x) sont attractives, mais la hausse du coût du risque et la dépendance aux devises africaines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plaide clairement pour une sous-évaluation : PER de 3,5x (vs 8-12x pour la BRVM), P/B de 0,76x (&lt;1) et EV/EBITDA de 5,0x. Le comportement du cours (Partie 1) révèle une tendance haussière exceptionnelle (+123%) mais une volatilité élevée (62%) et une distribution platykurtique (risque de pics limité). Les signaux techniques (Partie 2) sont mitigés : MACD vendeur et cours sous les MM, mais RSI et Stochastique neutres, sans signal de retournement majeur. Les fondamentaux (Partie 3) sont solides (ROE 21,6%, coefficient d'exploitation 27,3%) mais entachés par un coût du risque élevé (18,97%) et une croissance du résultat net qui décélère (+6% au S1 2026 vs +15% pour le PNB). Les prédictions IA (J+1 à J+10) anticipent une légère correction vers 66 FCFA, ce qui contredit la tendance haussière de fond mais confirme la phase de consolidation technique. Sur la base de cette synthèse, la recommandation finale est **CONSERVER**, avec un niveau de confiance **Moyen** et un risque global **Élevé** (volatilité 62%, coût du risque en hausse). L'horizon d'investissement optimal est le **moyen terme (3-12 mois)**, en attendant la publication des résultats annuels 2026 pour évaluer si la hausse du coût du risque est conjoncturelle ou structurelle. Un passage à **ACHAT** serait justifié si le titre se maintient au-dessus de 65 FCFA et si le coût du risque se stabilise au second semestre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4,102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B40000"/>
                <w:sz w:val="17"/>
              </w:rPr>
              <w:t>-10.14%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6.12% (Moyenne) — μ=2,112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β=0.2579 (Défensif) — Cov=0.000018, Var(idx)=0.000070, ρ=0.101,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1,914</w:t>
            </w:r>
          </w:p>
        </w:tc>
        <w:tc>
          <w:tcPr>
            <w:tcW w:type="dxa" w:w="1440"/>
            <w:shd w:fill="FAFAFA" w:val="clear"/>
          </w:tcPr>
          <w:p>
            <w:r>
              <w:rPr>
                <w:b/>
                <w:sz w:val="17"/>
              </w:rPr>
              <w:t>1,977</w:t>
            </w:r>
          </w:p>
        </w:tc>
        <w:tc>
          <w:tcPr>
            <w:tcW w:type="dxa" w:w="1440"/>
            <w:shd w:fill="FAFAFA" w:val="clear"/>
          </w:tcPr>
          <w:p>
            <w:r>
              <w:rPr>
                <w:sz w:val="17"/>
              </w:rPr>
              <w:t>2,040</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1,875</w:t>
            </w:r>
          </w:p>
        </w:tc>
        <w:tc>
          <w:tcPr>
            <w:tcW w:type="dxa" w:w="1440"/>
            <w:shd w:fill="FAFAFA" w:val="clear"/>
          </w:tcPr>
          <w:p>
            <w:r>
              <w:rPr>
                <w:b/>
                <w:sz w:val="17"/>
              </w:rPr>
              <w:t>1,963</w:t>
            </w:r>
          </w:p>
        </w:tc>
        <w:tc>
          <w:tcPr>
            <w:tcW w:type="dxa" w:w="1440"/>
            <w:shd w:fill="FAFAFA" w:val="clear"/>
          </w:tcPr>
          <w:p>
            <w:r>
              <w:rPr>
                <w:sz w:val="17"/>
              </w:rPr>
              <w:t>2,051</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2026-10-06</w:t>
            </w:r>
          </w:p>
        </w:tc>
        <w:tc>
          <w:tcPr>
            <w:tcW w:type="dxa" w:w="1440"/>
            <w:shd w:fill="FFDCE0" w:val="clear"/>
          </w:tcPr>
          <w:p>
            <w:r>
              <w:rPr>
                <w:sz w:val="17"/>
              </w:rPr>
              <w:t>1,841</w:t>
            </w:r>
          </w:p>
        </w:tc>
        <w:tc>
          <w:tcPr>
            <w:tcW w:type="dxa" w:w="1440"/>
            <w:shd w:fill="FFDCE0" w:val="clear"/>
          </w:tcPr>
          <w:p>
            <w:r>
              <w:rPr>
                <w:b/>
                <w:sz w:val="17"/>
              </w:rPr>
              <w:t>1,948</w:t>
            </w:r>
          </w:p>
        </w:tc>
        <w:tc>
          <w:tcPr>
            <w:tcW w:type="dxa" w:w="1440"/>
            <w:shd w:fill="FFDCE0" w:val="clear"/>
          </w:tcPr>
          <w:p>
            <w:r>
              <w:rPr>
                <w:sz w:val="17"/>
              </w:rPr>
              <w:t>2,056</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2026-10-07</w:t>
            </w:r>
          </w:p>
        </w:tc>
        <w:tc>
          <w:tcPr>
            <w:tcW w:type="dxa" w:w="1440"/>
            <w:shd w:fill="FFDCE0" w:val="clear"/>
          </w:tcPr>
          <w:p>
            <w:r>
              <w:rPr>
                <w:sz w:val="17"/>
              </w:rPr>
              <w:t>1,811</w:t>
            </w:r>
          </w:p>
        </w:tc>
        <w:tc>
          <w:tcPr>
            <w:tcW w:type="dxa" w:w="1440"/>
            <w:shd w:fill="FFDCE0" w:val="clear"/>
          </w:tcPr>
          <w:p>
            <w:r>
              <w:rPr>
                <w:b/>
                <w:sz w:val="17"/>
              </w:rPr>
              <w:t>1,934</w:t>
            </w:r>
          </w:p>
        </w:tc>
        <w:tc>
          <w:tcPr>
            <w:tcW w:type="dxa" w:w="1440"/>
            <w:shd w:fill="FFDCE0" w:val="clear"/>
          </w:tcPr>
          <w:p>
            <w:r>
              <w:rPr>
                <w:sz w:val="17"/>
              </w:rPr>
              <w:t>2,057</w:t>
            </w:r>
          </w:p>
        </w:tc>
        <w:tc>
          <w:tcPr>
            <w:tcW w:type="dxa" w:w="1440"/>
            <w:shd w:fill="FFDCE0" w:val="clear"/>
          </w:tcPr>
          <w:p>
            <w:r>
              <w:rPr>
                <w:b/>
                <w:color w:val="C00000"/>
                <w:sz w:val="17"/>
              </w:rPr>
              <w:t>-3.0%</w:t>
            </w:r>
          </w:p>
        </w:tc>
      </w:tr>
      <w:tr>
        <w:tc>
          <w:tcPr>
            <w:tcW w:type="dxa" w:w="1440"/>
            <w:shd w:fill="FFDCE0" w:val="clear"/>
          </w:tcPr>
          <w:p>
            <w:r>
              <w:rPr>
                <w:sz w:val="17"/>
              </w:rPr>
              <w:t>J+5  Moyenne</w:t>
            </w:r>
          </w:p>
        </w:tc>
        <w:tc>
          <w:tcPr>
            <w:tcW w:type="dxa" w:w="1440"/>
            <w:shd w:fill="FFDCE0" w:val="clear"/>
          </w:tcPr>
          <w:p>
            <w:r>
              <w:rPr>
                <w:sz w:val="17"/>
              </w:rPr>
              <w:t>2026-10-08</w:t>
            </w:r>
          </w:p>
        </w:tc>
        <w:tc>
          <w:tcPr>
            <w:tcW w:type="dxa" w:w="1440"/>
            <w:shd w:fill="FFDCE0" w:val="clear"/>
          </w:tcPr>
          <w:p>
            <w:r>
              <w:rPr>
                <w:sz w:val="17"/>
              </w:rPr>
              <w:t>1,784</w:t>
            </w:r>
          </w:p>
        </w:tc>
        <w:tc>
          <w:tcPr>
            <w:tcW w:type="dxa" w:w="1440"/>
            <w:shd w:fill="FFDCE0" w:val="clear"/>
          </w:tcPr>
          <w:p>
            <w:r>
              <w:rPr>
                <w:b/>
                <w:sz w:val="17"/>
              </w:rPr>
              <w:t>1,920</w:t>
            </w:r>
          </w:p>
        </w:tc>
        <w:tc>
          <w:tcPr>
            <w:tcW w:type="dxa" w:w="1440"/>
            <w:shd w:fill="FFDCE0" w:val="clear"/>
          </w:tcPr>
          <w:p>
            <w:r>
              <w:rPr>
                <w:sz w:val="17"/>
              </w:rPr>
              <w:t>2,057</w:t>
            </w:r>
          </w:p>
        </w:tc>
        <w:tc>
          <w:tcPr>
            <w:tcW w:type="dxa" w:w="1440"/>
            <w:shd w:fill="FFDCE0" w:val="clear"/>
          </w:tcPr>
          <w:p>
            <w:r>
              <w:rPr>
                <w:b/>
                <w:color w:val="C00000"/>
                <w:sz w:val="17"/>
              </w:rPr>
              <w:t>-3.7%</w:t>
            </w:r>
          </w:p>
        </w:tc>
      </w:tr>
      <w:tr>
        <w:tc>
          <w:tcPr>
            <w:tcW w:type="dxa" w:w="1440"/>
            <w:shd w:fill="FFDCE0" w:val="clear"/>
          </w:tcPr>
          <w:p>
            <w:r>
              <w:rPr>
                <w:sz w:val="17"/>
              </w:rPr>
              <w:t>J+6  Moyenne</w:t>
            </w:r>
          </w:p>
        </w:tc>
        <w:tc>
          <w:tcPr>
            <w:tcW w:type="dxa" w:w="1440"/>
            <w:shd w:fill="FFDCE0" w:val="clear"/>
          </w:tcPr>
          <w:p>
            <w:r>
              <w:rPr>
                <w:sz w:val="17"/>
              </w:rPr>
              <w:t>2026-10-09</w:t>
            </w:r>
          </w:p>
        </w:tc>
        <w:tc>
          <w:tcPr>
            <w:tcW w:type="dxa" w:w="1440"/>
            <w:shd w:fill="FFDCE0" w:val="clear"/>
          </w:tcPr>
          <w:p>
            <w:r>
              <w:rPr>
                <w:sz w:val="17"/>
              </w:rPr>
              <w:t>1,759</w:t>
            </w:r>
          </w:p>
        </w:tc>
        <w:tc>
          <w:tcPr>
            <w:tcW w:type="dxa" w:w="1440"/>
            <w:shd w:fill="FFDCE0" w:val="clear"/>
          </w:tcPr>
          <w:p>
            <w:r>
              <w:rPr>
                <w:b/>
                <w:sz w:val="17"/>
              </w:rPr>
              <w:t>1,907</w:t>
            </w:r>
          </w:p>
        </w:tc>
        <w:tc>
          <w:tcPr>
            <w:tcW w:type="dxa" w:w="1440"/>
            <w:shd w:fill="FFDCE0" w:val="clear"/>
          </w:tcPr>
          <w:p>
            <w:r>
              <w:rPr>
                <w:sz w:val="17"/>
              </w:rPr>
              <w:t>2,056</w:t>
            </w:r>
          </w:p>
        </w:tc>
        <w:tc>
          <w:tcPr>
            <w:tcW w:type="dxa" w:w="1440"/>
            <w:shd w:fill="FFDCE0" w:val="clear"/>
          </w:tcPr>
          <w:p>
            <w:r>
              <w:rPr>
                <w:b/>
                <w:color w:val="C00000"/>
                <w:sz w:val="17"/>
              </w:rPr>
              <w:t>-4.4%</w:t>
            </w:r>
          </w:p>
        </w:tc>
      </w:tr>
      <w:tr>
        <w:tc>
          <w:tcPr>
            <w:tcW w:type="dxa" w:w="1440"/>
            <w:shd w:fill="FFDCE0" w:val="clear"/>
          </w:tcPr>
          <w:p>
            <w:r>
              <w:rPr>
                <w:sz w:val="17"/>
              </w:rPr>
              <w:t>J+7  Moyenne</w:t>
            </w:r>
          </w:p>
        </w:tc>
        <w:tc>
          <w:tcPr>
            <w:tcW w:type="dxa" w:w="1440"/>
            <w:shd w:fill="FFDCE0" w:val="clear"/>
          </w:tcPr>
          <w:p>
            <w:r>
              <w:rPr>
                <w:sz w:val="17"/>
              </w:rPr>
              <w:t>2026-10-12</w:t>
            </w:r>
          </w:p>
        </w:tc>
        <w:tc>
          <w:tcPr>
            <w:tcW w:type="dxa" w:w="1440"/>
            <w:shd w:fill="FFDCE0" w:val="clear"/>
          </w:tcPr>
          <w:p>
            <w:r>
              <w:rPr>
                <w:sz w:val="17"/>
              </w:rPr>
              <w:t>1,735</w:t>
            </w:r>
          </w:p>
        </w:tc>
        <w:tc>
          <w:tcPr>
            <w:tcW w:type="dxa" w:w="1440"/>
            <w:shd w:fill="FFDCE0" w:val="clear"/>
          </w:tcPr>
          <w:p>
            <w:r>
              <w:rPr>
                <w:b/>
                <w:sz w:val="17"/>
              </w:rPr>
              <w:t>1,894</w:t>
            </w:r>
          </w:p>
        </w:tc>
        <w:tc>
          <w:tcPr>
            <w:tcW w:type="dxa" w:w="1440"/>
            <w:shd w:fill="FFDCE0" w:val="clear"/>
          </w:tcPr>
          <w:p>
            <w:r>
              <w:rPr>
                <w:sz w:val="17"/>
              </w:rPr>
              <w:t>2,053</w:t>
            </w:r>
          </w:p>
        </w:tc>
        <w:tc>
          <w:tcPr>
            <w:tcW w:type="dxa" w:w="1440"/>
            <w:shd w:fill="FFDCE0" w:val="clear"/>
          </w:tcPr>
          <w:p>
            <w:r>
              <w:rPr>
                <w:b/>
                <w:color w:val="C00000"/>
                <w:sz w:val="17"/>
              </w:rPr>
              <w:t>-5.1%</w:t>
            </w:r>
          </w:p>
        </w:tc>
      </w:tr>
      <w:tr>
        <w:tc>
          <w:tcPr>
            <w:tcW w:type="dxa" w:w="1440"/>
            <w:shd w:fill="FFDCE0" w:val="clear"/>
          </w:tcPr>
          <w:p>
            <w:r>
              <w:rPr>
                <w:sz w:val="17"/>
              </w:rPr>
              <w:t>J+8  Moyenne</w:t>
            </w:r>
          </w:p>
        </w:tc>
        <w:tc>
          <w:tcPr>
            <w:tcW w:type="dxa" w:w="1440"/>
            <w:shd w:fill="FFDCE0" w:val="clear"/>
          </w:tcPr>
          <w:p>
            <w:r>
              <w:rPr>
                <w:sz w:val="17"/>
              </w:rPr>
              <w:t>2026-10-13</w:t>
            </w:r>
          </w:p>
        </w:tc>
        <w:tc>
          <w:tcPr>
            <w:tcW w:type="dxa" w:w="1440"/>
            <w:shd w:fill="FFDCE0" w:val="clear"/>
          </w:tcPr>
          <w:p>
            <w:r>
              <w:rPr>
                <w:sz w:val="17"/>
              </w:rPr>
              <w:t>1,712</w:t>
            </w:r>
          </w:p>
        </w:tc>
        <w:tc>
          <w:tcPr>
            <w:tcW w:type="dxa" w:w="1440"/>
            <w:shd w:fill="FFDCE0" w:val="clear"/>
          </w:tcPr>
          <w:p>
            <w:r>
              <w:rPr>
                <w:b/>
                <w:sz w:val="17"/>
              </w:rPr>
              <w:t>1,881</w:t>
            </w:r>
          </w:p>
        </w:tc>
        <w:tc>
          <w:tcPr>
            <w:tcW w:type="dxa" w:w="1440"/>
            <w:shd w:fill="FFDCE0" w:val="clear"/>
          </w:tcPr>
          <w:p>
            <w:r>
              <w:rPr>
                <w:sz w:val="17"/>
              </w:rPr>
              <w:t>2,050</w:t>
            </w:r>
          </w:p>
        </w:tc>
        <w:tc>
          <w:tcPr>
            <w:tcW w:type="dxa" w:w="1440"/>
            <w:shd w:fill="FFDCE0" w:val="clear"/>
          </w:tcPr>
          <w:p>
            <w:r>
              <w:rPr>
                <w:b/>
                <w:color w:val="C00000"/>
                <w:sz w:val="17"/>
              </w:rPr>
              <w:t>-5.7%</w:t>
            </w:r>
          </w:p>
        </w:tc>
      </w:tr>
      <w:tr>
        <w:tc>
          <w:tcPr>
            <w:tcW w:type="dxa" w:w="1440"/>
            <w:shd w:fill="FFDCE0" w:val="clear"/>
          </w:tcPr>
          <w:p>
            <w:r>
              <w:rPr>
                <w:sz w:val="17"/>
              </w:rPr>
              <w:t>J+9  Moyenne</w:t>
            </w:r>
          </w:p>
        </w:tc>
        <w:tc>
          <w:tcPr>
            <w:tcW w:type="dxa" w:w="1440"/>
            <w:shd w:fill="FFDCE0" w:val="clear"/>
          </w:tcPr>
          <w:p>
            <w:r>
              <w:rPr>
                <w:sz w:val="17"/>
              </w:rPr>
              <w:t>2026-10-14</w:t>
            </w:r>
          </w:p>
        </w:tc>
        <w:tc>
          <w:tcPr>
            <w:tcW w:type="dxa" w:w="1440"/>
            <w:shd w:fill="FFDCE0" w:val="clear"/>
          </w:tcPr>
          <w:p>
            <w:r>
              <w:rPr>
                <w:sz w:val="17"/>
              </w:rPr>
              <w:t>1,690</w:t>
            </w:r>
          </w:p>
        </w:tc>
        <w:tc>
          <w:tcPr>
            <w:tcW w:type="dxa" w:w="1440"/>
            <w:shd w:fill="FFDCE0" w:val="clear"/>
          </w:tcPr>
          <w:p>
            <w:r>
              <w:rPr>
                <w:b/>
                <w:sz w:val="17"/>
              </w:rPr>
              <w:t>1,869</w:t>
            </w:r>
          </w:p>
        </w:tc>
        <w:tc>
          <w:tcPr>
            <w:tcW w:type="dxa" w:w="1440"/>
            <w:shd w:fill="FFDCE0" w:val="clear"/>
          </w:tcPr>
          <w:p>
            <w:r>
              <w:rPr>
                <w:sz w:val="17"/>
              </w:rPr>
              <w:t>2,047</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2026-10-15</w:t>
            </w:r>
          </w:p>
        </w:tc>
        <w:tc>
          <w:tcPr>
            <w:tcW w:type="dxa" w:w="1440"/>
            <w:shd w:fill="FFDCE0" w:val="clear"/>
          </w:tcPr>
          <w:p>
            <w:r>
              <w:rPr>
                <w:sz w:val="17"/>
              </w:rPr>
              <w:t>1,670</w:t>
            </w:r>
          </w:p>
        </w:tc>
        <w:tc>
          <w:tcPr>
            <w:tcW w:type="dxa" w:w="1440"/>
            <w:shd w:fill="FFDCE0" w:val="clear"/>
          </w:tcPr>
          <w:p>
            <w:r>
              <w:rPr>
                <w:b/>
                <w:sz w:val="17"/>
              </w:rPr>
              <w:t>1,856</w:t>
            </w:r>
          </w:p>
        </w:tc>
        <w:tc>
          <w:tcPr>
            <w:tcW w:type="dxa" w:w="1440"/>
            <w:shd w:fill="FFDCE0" w:val="clear"/>
          </w:tcPr>
          <w:p>
            <w:r>
              <w:rPr>
                <w:sz w:val="17"/>
              </w:rPr>
              <w:t>2,043</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FTSC (FILTISAC CI)**</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28,14 milliards FCFA, FTSC se situe dans la catégorie des valeurs moyennes de la cote BRVM, ce qui la rend vulnérable aux mouvements de faible volume (4 102 titres/jour en moyenne). Le BPA de 33 FCFA/action signifie que chaque titre génère à peine 33 FCFA de bénéfice net, un niveau très faible qui, rapporté au cours actuel de 1 995 FCFA, aboutit à un PER de 60,4x — soit près de cinq à sept fois le PER moyen de la BRVM (8-12x), signalant une valorisation très exigeante et un risque de correction si les bénéfices ne se redressent pas. Le P/B de 1,79x indique que le marché valorise l'action à près de 1,8 fois sa valeur comptable, ce qui reste raisonnable (fourchette 1-2x) mais traduit une prime modérée par rapport aux fonds propres. Enfin, l'EV/EBITDA de 36,6x est très supérieur au seuil d'alerte de 15x, confirmant que la valeur d'entreprise intègre des anticipations de croissance opérationnelle que les résultats actuels ne justifient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FTSC a enregistré une variation totale de -10,14%, clôturant à 1 995 FCFA après un rebond marginal de +1,01% lors de la dernière séance (J-1). Le range de trading s'établit entre un plus haut de 2 430 FCFA et un plus bas de 1 910 FCFA, soit une amplitude de 520 FCFA (27% du cours bas), ce qui témoigne d'une tendance globalement baissière avec une tentative de stabilisation récente autour de 1 990-2 000 FCFA. Les statistiques descriptives révèlent une moyenne de 2 112 FCFA légèrement supérieure à la médiane de 2 100 FCFA, tandis que le mode se situe à 1 990 FCFA — ce qui suggère une distribution quasi symétrique (skewness de 0,455, qualifié de symétrique dans les données) avec une légère prédominance des cours élevés en début de période. L'écart-type de 130 FCFA et le coefficient de variation de 6,1% indiquent une dispersion modérée du cours autour de sa moyenne, tandis que le kurtosis de -0,709 (mésokurtique) signifie que la distribution est proche d'une loi normale, sans risque majeur de pics extrêmes. La volatilité annualisée de 33,3% classe le titre dans la catégorie des valeurs à volatilité élevée (&gt;30%), ce qui implique un risque de prix significatif pour l'investisseur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(2 055,5 FCFA) et la MM50 (2 071,2 FCFA) se situent toutes deux au-dessus du cours actuel (1 995 FCFA), confirmant une configuration baissière où le prix évolue sous ses moyennes de référence. La MM20 étant légèrement inférieure à la MM50, on observe un début de convergence qui pourrait annoncer un retournement, mais la décision technique reste « Vente » tant que le cours ne repasse pas au-dessus de ces niveaux.</w:t>
      </w:r>
    </w:p>
    <w:p>
      <w:pPr>
        <w:spacing w:after="120" w:line="276" w:lineRule="auto"/>
      </w:pPr>
      <w:r>
        <w:t>**Bandes de Bollinger** : Le cours (1 995 FCFA) se situe dans la partie basse de la bande, entre la borne inférieure (1 923,16 FCFA) et la borne supérieure (2 187,84 FCFA), sans en atteindre les extrêmes. Cette position médiane-basse traduit une volatilité contenue et une absence de signal fort, justifiant la décision « Neutre » — le marché est en phase d'indécision.</w:t>
      </w:r>
    </w:p>
    <w:p>
      <w:pPr>
        <w:spacing w:after="120" w:line="276" w:lineRule="auto"/>
      </w:pPr>
      <w:r>
        <w:t>**MACD** : La valeur du MACD (-32,419) est inférieure à son signal (-23,172), avec un histogramme négatif qui s'accentue, confirmant un momentum baissier toujours actif. La divergence négative entre les deux lignes justifie pleinement la décision « Vente », bien que l'écart reste modéré et pourrait se réduire si le rebond de J-1 se confirme.</w:t>
      </w:r>
    </w:p>
    <w:p>
      <w:pPr>
        <w:spacing w:after="120" w:line="276" w:lineRule="auto"/>
      </w:pPr>
      <w:r>
        <w:t>**RSI** : À 32,877, le RSI se situe juste au-dessus du seuil de survente (30), dans une zone neutre basse qui indique une pression vendeuse sans capitulation. La décision « Neutre » est cohérente : le titre n'est ni suracheté ni survendu, mais la proximité du seuil de 30 appelle à la vigilance pour un éventuel rebond technique.</w:t>
      </w:r>
    </w:p>
    <w:p>
      <w:pPr>
        <w:spacing w:after="120" w:line="276" w:lineRule="auto"/>
      </w:pPr>
      <w:r>
        <w:t>**Stochastique** : Le %K (40,476) est supérieur au %D (37,302), avec un croisement haussier naissant qui pourrait signaler un début de retournement à court terme. Cependant, les deux lignes restent en zone basse et la décision « Neutre » reflète l'absence de confirmation — un croisement durable au-dessus de 50 serait nécessaire pour valider un signal d'achat.</w:t>
      </w:r>
    </w:p>
    <w:p>
      <w:pPr>
        <w:spacing w:after="120" w:line="276" w:lineRule="auto"/>
      </w:pPr>
      <w:r>
        <w:t>**Conclusion technique** : Les indicateurs convergent majoritairement vers une tendance baissière (MM, MACD) tout en montrant des signes de stabilisation (Bollinger, RSI, Stochastique). Le titre évolue sous ses moyennes mobiles avec un momentum négatif, mais la proximité du seuil de survente et le croisement naissant du stochastique suggèrent qu'une phase de consolidation, voire un rebond technique, est possible à court terme. La prudence reste de mise tant que le cours n'aura pas reconquis la MM20 (2 055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situation contrastée : le chiffre d'affaires s'établit à 32 109 Mds FCFA (32,1 milliards), en croissance de 4,6% sur un an, mais le résultat net s'effondre à 465,98 M FCFA (0,47 milliard) contre 18,6 milliards en 2024, soit une chute de 97,5%. Cette débâcle s'explique par la disparition des produits exceptionnels et financiers non récurrents de 2024 (produits de cession de filiales), qui avaient artificiellement gonflé le bénéfice. Les ratios de rentabilité sont très faibles : ROE de 2,97% (très en dessous du seuil de 15% considéré comme excellent) et ROA de 1,19%, tandis que la marge nette s'établit à 1,45% contre 60,6% en 2024 — un effondrement spectaculaire. La structure financière montre une autonomie financière de 40,1% (saine, &gt;30%) mais un ratio d'endettement de 97,6% et une trésorerie nette négative de -11,53 milliards FCFA, conséquence du versement de dividendes massifs en 2024 (28,2 milliards FCFA). Les délais d'exploitation sont préoccupants : délai clients de 213,7 jours (risque de trésorerie élevé), durée de stockage de 214,7 jours (immobilisation de capital), et BFR de 11,53 milliards FCFA — bien que le rapport qualifie ce BFR de « négatif = favorable », les chiffres montrent un besoin de financement réel. Le rapport annuel 2025 (daté du 31/12/2025, analysé le 28/09/2026) recommande « Conserver » avec une position attentiste, tandis que le rapport de synthèse (RAPPORT 2, 2025) émet une recommandation « Vendre » en raison des risques de liquidité et de la dégradation des capitaux propres (passés de 43,4 à 15,7 milliards FCFA). Les rapports trimestriels plus récents nuancent toutefois ce tableau : le T1 2026 (rapport daté du 31/03/2026) affiche un chiffre d'affaires de 8 901 MFCFA en hausse de 55% sur un an, porté par la demande d'emballages cacao, avec un résultat d'exploitation redevenu positif (+75 MFCFA contre -78 MFCFA au T1 2025) mais un résultat net toujours négatif (-154 MFCFA, en amélioration de 14%). Sur la base de ce T1 2026, on peut estimer que l'exercice 2026 devrait bénéficier d'une dynamique commerciale soutenue (campagne cacaoyère), mais la rentabilité nette restera fragile tant que les charges financières et les coûts logistiques (fret maritime, interdiction d'exportation de jute par le Bangladesh) ne se détendront pas. Le communiqué du 08/07/2026 rassure sur la continuité des activités (moins de 10% des effectifs concernés par l'arrêt de la filature), mais la dépendance au cacao et aux matières premières importées demeure un risque majeur. En synthèse, la solidité financière est compromise par l'absence de dividende, la trésorerie négative et la volatilité extrême du résultat net, même si le retour à une capacité d'autofinancement positive (1 334 MFCFA en 2025) et la croissance du CA constituent des signaux encourageants.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un PER de 60,4x et un EV/EBITDA de 36,6x pour un BPA de seulement 33 FCFA et une marge nette de 1,45% traduisent une décorrélation totale entre le prix de marché et la réalité bénéficiaire, même si le P/B de 1,79x reste modéré. Le comportement du cours (Partie 1) est baissier sur 100 jours (-10,14%) avec une volatilité élevée (33,3%), une distribution quasi symétrique (skewness 0,455) et une absence de pics extrêmes (kurtosis -0,709), ce qui suggère une tendance baissière ordonnée sans capitulation — préoccupant pour la tendance mais rassurant sur l'absence de risque de krach. Les signaux techniques (Partie 2) sont majoritairement baissiers (MM, MACD) avec des signes de stabilisation (RSI proche de 30, Stochastique en croisement haussier naissant), dessinant une configuration de consolidation avant éventuel rebond. Les fondamentaux (Partie 3) sont fragiles : résultat net en chute de 97,5% en 2025, trésorerie nette négative de -11,5 milliards FCFA, absence de dividende, mais le T1 2026 montre une amélioration opérationnelle (+55% de CA, résultat d'exploitation positif) qui pourrait préfigurer un redressement progressif en 2026 — sous réserve de la confirmation sur les trimestres suivants. Les prédictions IA (J+1 à J+10) anticipent une poursuite de la baisse jusqu'à 1 920 FCFA (soit -3,8% par rapport au cours actuel), ce qui contredit les signaux de stabilisation technique et confirme la pression baissière à court terme. **Recommandation finale : CONSERVER** — la convergence entre une valorisation surévaluée, une tendance baissière persistante et des fondamentaux encore fragiles ne justifie pas un achat, mais la proximité du support de 1 910-1 920 FCFA et l'amélioration opérationnelle du T1 2026 incitent à ne pas vendre précipitamment. Le niveau de confiance est **Moyen** (les données trimestrielles récentes sont encourageantes mais non confirmées), le risque global est **Élevé** (volatilité 33,3%, trésorerie négative, dépendance au cacao), et l'horizon d'investissement optimal est **moyen terme (3-12 mois)** , le temps de vérifier si le redressement opérationnel se matérialise sur deux trimestres consécutifs et si la politique de dividende est rétablie. Un passage à l'ACHAT serait justifié par un résultat net positif au T2 2026 et une reconquête de la MM20 (2 055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4,604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+1.17%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μ=4,074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β=0.6942 (Défensif) — Cov=0.000048, Var(idx)=0.000070, ρ=0.219,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3,748</w:t>
            </w:r>
          </w:p>
        </w:tc>
        <w:tc>
          <w:tcPr>
            <w:tcW w:type="dxa" w:w="1440"/>
            <w:shd w:fill="FAFAFA" w:val="clear"/>
          </w:tcPr>
          <w:p>
            <w:r>
              <w:rPr>
                <w:b/>
                <w:sz w:val="17"/>
              </w:rPr>
              <w:t>3,913</w:t>
            </w:r>
          </w:p>
        </w:tc>
        <w:tc>
          <w:tcPr>
            <w:tcW w:type="dxa" w:w="1440"/>
            <w:shd w:fill="FAFAFA" w:val="clear"/>
          </w:tcPr>
          <w:p>
            <w:r>
              <w:rPr>
                <w:sz w:val="17"/>
              </w:rPr>
              <w:t>4,079</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3,681</w:t>
            </w:r>
          </w:p>
        </w:tc>
        <w:tc>
          <w:tcPr>
            <w:tcW w:type="dxa" w:w="1440"/>
            <w:shd w:fill="FAFAFA" w:val="clear"/>
          </w:tcPr>
          <w:p>
            <w:r>
              <w:rPr>
                <w:b/>
                <w:sz w:val="17"/>
              </w:rPr>
              <w:t>3,915</w:t>
            </w:r>
          </w:p>
        </w:tc>
        <w:tc>
          <w:tcPr>
            <w:tcW w:type="dxa" w:w="1440"/>
            <w:shd w:fill="FAFAFA" w:val="clear"/>
          </w:tcPr>
          <w:p>
            <w:r>
              <w:rPr>
                <w:sz w:val="17"/>
              </w:rPr>
              <w:t>4,149</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3,633</w:t>
            </w:r>
          </w:p>
        </w:tc>
        <w:tc>
          <w:tcPr>
            <w:tcW w:type="dxa" w:w="1440"/>
            <w:shd w:fill="FAFAFA" w:val="clear"/>
          </w:tcPr>
          <w:p>
            <w:r>
              <w:rPr>
                <w:b/>
                <w:sz w:val="17"/>
              </w:rPr>
              <w:t>3,920</w:t>
            </w:r>
          </w:p>
        </w:tc>
        <w:tc>
          <w:tcPr>
            <w:tcW w:type="dxa" w:w="1440"/>
            <w:shd w:fill="FAFAFA" w:val="clear"/>
          </w:tcPr>
          <w:p>
            <w:r>
              <w:rPr>
                <w:sz w:val="17"/>
              </w:rPr>
              <w:t>4,207</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3,591</w:t>
            </w:r>
          </w:p>
        </w:tc>
        <w:tc>
          <w:tcPr>
            <w:tcW w:type="dxa" w:w="1440"/>
            <w:shd w:fill="FAFAFA" w:val="clear"/>
          </w:tcPr>
          <w:p>
            <w:r>
              <w:rPr>
                <w:b/>
                <w:sz w:val="17"/>
              </w:rPr>
              <w:t>3,922</w:t>
            </w:r>
          </w:p>
        </w:tc>
        <w:tc>
          <w:tcPr>
            <w:tcW w:type="dxa" w:w="1440"/>
            <w:shd w:fill="FAFAFA" w:val="clear"/>
          </w:tcPr>
          <w:p>
            <w:r>
              <w:rPr>
                <w:sz w:val="17"/>
              </w:rPr>
              <w:t>4,254</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3,555</w:t>
            </w:r>
          </w:p>
        </w:tc>
        <w:tc>
          <w:tcPr>
            <w:tcW w:type="dxa" w:w="1440"/>
            <w:shd w:fill="FAFAFA" w:val="clear"/>
          </w:tcPr>
          <w:p>
            <w:r>
              <w:rPr>
                <w:b/>
                <w:sz w:val="17"/>
              </w:rPr>
              <w:t>3,926</w:t>
            </w:r>
          </w:p>
        </w:tc>
        <w:tc>
          <w:tcPr>
            <w:tcW w:type="dxa" w:w="1440"/>
            <w:shd w:fill="FAFAFA" w:val="clear"/>
          </w:tcPr>
          <w:p>
            <w:r>
              <w:rPr>
                <w:sz w:val="17"/>
              </w:rPr>
              <w:t>4,296</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3,522</w:t>
            </w:r>
          </w:p>
        </w:tc>
        <w:tc>
          <w:tcPr>
            <w:tcW w:type="dxa" w:w="1440"/>
            <w:shd w:fill="FAFAFA" w:val="clear"/>
          </w:tcPr>
          <w:p>
            <w:r>
              <w:rPr>
                <w:b/>
                <w:sz w:val="17"/>
              </w:rPr>
              <w:t>3,928</w:t>
            </w:r>
          </w:p>
        </w:tc>
        <w:tc>
          <w:tcPr>
            <w:tcW w:type="dxa" w:w="1440"/>
            <w:shd w:fill="FAFAFA" w:val="clear"/>
          </w:tcPr>
          <w:p>
            <w:r>
              <w:rPr>
                <w:sz w:val="17"/>
              </w:rPr>
              <w:t>4,335</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3,491</w:t>
            </w:r>
          </w:p>
        </w:tc>
        <w:tc>
          <w:tcPr>
            <w:tcW w:type="dxa" w:w="1440"/>
            <w:shd w:fill="FAFAFA" w:val="clear"/>
          </w:tcPr>
          <w:p>
            <w:r>
              <w:rPr>
                <w:b/>
                <w:sz w:val="17"/>
              </w:rPr>
              <w:t>3,931</w:t>
            </w:r>
          </w:p>
        </w:tc>
        <w:tc>
          <w:tcPr>
            <w:tcW w:type="dxa" w:w="1440"/>
            <w:shd w:fill="FAFAFA" w:val="clear"/>
          </w:tcPr>
          <w:p>
            <w:r>
              <w:rPr>
                <w:sz w:val="17"/>
              </w:rPr>
              <w:t>4,370</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3,462</w:t>
            </w:r>
          </w:p>
        </w:tc>
        <w:tc>
          <w:tcPr>
            <w:tcW w:type="dxa" w:w="1440"/>
            <w:shd w:fill="FAFAFA" w:val="clear"/>
          </w:tcPr>
          <w:p>
            <w:r>
              <w:rPr>
                <w:b/>
                <w:sz w:val="17"/>
              </w:rPr>
              <w:t>3,932</w:t>
            </w:r>
          </w:p>
        </w:tc>
        <w:tc>
          <w:tcPr>
            <w:tcW w:type="dxa" w:w="1440"/>
            <w:shd w:fill="FAFAFA" w:val="clear"/>
          </w:tcPr>
          <w:p>
            <w:r>
              <w:rPr>
                <w:sz w:val="17"/>
              </w:rPr>
              <w:t>4,402</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3,434</w:t>
            </w:r>
          </w:p>
        </w:tc>
        <w:tc>
          <w:tcPr>
            <w:tcW w:type="dxa" w:w="1440"/>
            <w:shd w:fill="FAFAFA" w:val="clear"/>
          </w:tcPr>
          <w:p>
            <w:r>
              <w:rPr>
                <w:b/>
                <w:sz w:val="17"/>
              </w:rPr>
              <w:t>3,932</w:t>
            </w:r>
          </w:p>
        </w:tc>
        <w:tc>
          <w:tcPr>
            <w:tcW w:type="dxa" w:w="1440"/>
            <w:shd w:fill="FAFAFA" w:val="clear"/>
          </w:tcPr>
          <w:p>
            <w:r>
              <w:rPr>
                <w:sz w:val="17"/>
              </w:rPr>
              <w:t>4,431</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3,410</w:t>
            </w:r>
          </w:p>
        </w:tc>
        <w:tc>
          <w:tcPr>
            <w:tcW w:type="dxa" w:w="1440"/>
            <w:shd w:fill="FAFAFA" w:val="clear"/>
          </w:tcPr>
          <w:p>
            <w:r>
              <w:rPr>
                <w:b/>
                <w:sz w:val="17"/>
              </w:rPr>
              <w:t>3,936</w:t>
            </w:r>
          </w:p>
        </w:tc>
        <w:tc>
          <w:tcPr>
            <w:tcW w:type="dxa" w:w="1440"/>
            <w:shd w:fill="FAFAFA" w:val="clear"/>
          </w:tcPr>
          <w:p>
            <w:r>
              <w:rPr>
                <w:sz w:val="17"/>
              </w:rPr>
              <w:t>4,462</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77,80 milliards FCFA, LNBB se positionne comme une valeur de taille moyenne sur le compartiment des entreprises non bancaires de la BRVM, ce qui lui confère une liquidité modérée mais une certaine stabilité. Le BPA de 231 FCFA/action signifie que chaque titre génère près de 231 FCFA de bénéfice net, un niveau qui, rapporté au cours actuel de 3 890 FCFA, donne un PER de 16,8x — soit une prime notable par rapport à la moyenne du marché BRVM (8-12x), traduisant une anticipation de croissance par le marché. Le P/B de 3,54x indique que le marché valorise la société à plus de trois fois sa valeur comptable, une prime de croissance cohérente avec la rentabilité élevée des fonds propres (ROE de 21,05%). Enfin, l'EV/EBITDA de 9,8x, dans la fourchette raisonnable de 5-10x, suggère que la valeur totale de l'entreprise (incluant la dette) reste proportionnée à sa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LNBB a enregistré une variation totale de +1,17%, avec une progression de +0,65% sur la dernière séance (J-1), témoignant d'une dynamique récente légèrement positive. Le titre a évolué dans un range de 860 FCFA, entre un plus bas de 3 700 FCFA et un plus haut de 4 560 FCFA, ce qui reflète une amplitude de trading significative malgré une tendance globale quasi stable. La moyenne du cours s'établit à 4 074 FCFA, légèrement supérieure à la médiane de 4 050 FCFA, tandis que le mode à 4 000 FCFA indique que ce niveau de prix a été le plus fréquemment observé — l'écart modéré entre moyenne et médiane suggère une distribution quasi symétrique, confirmée par un skewness de 0,447 (asymétrie positive légère). L'écart-type de 194 FCFA, avec un coefficient de variation de 4,8%, traduit une dispersion relativement faible du cours autour de sa moyenne, ce qui est rassurant pour la stabilité. Le kurtosis de -0,801 (mésokurtique) indique une distribution proche de la normale, sans risque excessif de pics extrêmes. Enfin, la volatilité annualisée de 41,3% classe ce titre dans la catégorie des valeurs à volatilité élevée (&gt;30%), ce qui implique un risque de marché non négligeable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(3 970,75 FCFA) est légèrement supérieure au cours actuel (3 890 FCFA), tandis que la MM50 (4 103,90 FCFA) se situe nettement au-dessus, créant une configuration baissière où le cours évolue sous ses deux moyennes. Cette position relative justifie la décision de vente, le titre n'ayant pas encore retrouvé ses niveaux moyens de court et moyen terme.</w:t>
      </w:r>
    </w:p>
    <w:p>
      <w:pPr>
        <w:spacing w:after="120" w:line="276" w:lineRule="auto"/>
      </w:pPr>
      <w:r>
        <w:t>**Bandes de Bollinger** : Le cours (3 890 FCFA) se situe dans la partie basse de la bande, entre la borne inférieure (3 773,34 FCFA) et la borne supérieure (4 168,16 FCFA), sans atteindre les extrêmes. Cette position médiane-basse, couplée à une largeur de bande modérée, justifie la décision neutre, le titre n'étant ni en surachat ni en survente technique.</w:t>
      </w:r>
    </w:p>
    <w:p>
      <w:pPr>
        <w:spacing w:after="120" w:line="276" w:lineRule="auto"/>
      </w:pPr>
      <w:r>
        <w:t>**MACD** : La valeur du MACD (-54,57) est inférieure à son signal (-49,95), confirmant une divergence baissière et un momentum négatif. Cette configuration justifie la décision de vente, le croisement étant défavorable à court terme.</w:t>
      </w:r>
    </w:p>
    <w:p>
      <w:pPr>
        <w:spacing w:after="120" w:line="276" w:lineRule="auto"/>
      </w:pPr>
      <w:r>
        <w:t>**RSI** : À 44,86, le RSI se situe dans la zone neutre (30-70), sans signal de surachat ni de survente. Cette position médiane justifie la décision neutre, le titre ne présentant pas de pression acheteuse ou vendeuse excessive.</w:t>
      </w:r>
    </w:p>
    <w:p>
      <w:pPr>
        <w:spacing w:after="120" w:line="276" w:lineRule="auto"/>
      </w:pPr>
      <w:r>
        <w:t>**Stochastique** : Le %K (47,5) est légèrement supérieur au %D (46,25), sans croisement significatif, et les deux indicateurs évoluent en zone neutre. Cette configuration justifie la décision neutre, le titre n'étant ni en phase d'accumulation ni de distribution marquée.</w:t>
      </w:r>
    </w:p>
    <w:p>
      <w:pPr>
        <w:spacing w:after="120" w:line="276" w:lineRule="auto"/>
      </w:pPr>
      <w:r>
        <w:t>**Conclusion technique** : Les indicateurs techniques présentent un tableau mitigé, avec une majorité de signaux neutres (Bollinger, RSI, Stochastique) et deux signaux baissiers (Moyennes Mobiles, MACD). Le cours évolue sous ses moyennes mobiles, ce qui pèse sur le sentiment à court terme, mais l'absence de survente technique suggère un potentiel de stabilisation. La convergence des signaux neutres et baissiers plaide pour une prudence, sans signal d'achat imminent.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milliards FCFA, en baisse de -3,85% par rapport à 2024, et un résultat net de 4,622 milliards FCFA, en recul de -35,6% — une dégradation principalement attribuée à la concurrence déloyale des opérateurs illégaux et à l'absence de produits exceptionnels (3,1 milliards FCFA en 2024). Malgré ce contexte, les fondamentaux opérationnels demeurent solides : la valeur ajoutée progresse de +22% à 10,548 milliards FCFA, l'EBE de +34% à 7,164 milliards FCFA, et le ROE atteint 21,05% (excellent, &gt;15%), tandis que le ROA de 14,17% confirme une bonne rentabilité des actifs. La structure financière est très saine, avec une autonomie financière de 67,32% (capitaux propres/total bilan), un ratio d'endettement de seulement 2,57%, et une trésorerie nette positive de 7,979 milliards FCFA. Les délais d'exploitation sont remarquablement courts (4,82 jours pour les clients, 1,56 jour pour les stocks), et le BFR négatif de 217,45 millions FCFA constitue un avantage de trésorerie. Sur la base du rapport du S1 2026 (publié le 30 juillet 2026), le chiffre d'affaires progresse de +4% à 49,937 milliards FCFA et le résultat net bondit de +60%, porté par la maîtrise des charges et les revenus de partenariats B2B — on estime donc que l'exercice 2026 devrait afficher une nette amélioration de la rentabilité, bien que le Produit Brut des Jeux recule de -9% en raison de la hausse des gains versés aux joueurs (+7%). Le rapport T1 2026 (publié le 7 mai 2026) confirme cette dynamique avec un CA de 25,521 milliards FCFA (+6%) mais un résultat net en chute de -46% à 848 millions FCFA, illustrant la pression sur les marges du pari sportif (taux de retour aux joueurs de 95%). La politique de dividende reste très attractive, avec un dividende brut de 173 FCFA/action (net de 164 FCFA) proposé au titre de 2025, soit un rendement de 4,4% au cours actuel. En synthèse, LNBB présente une solidité financière incontestable et des perspectives de redressement en 2026, mais reste exposée à des risques structurels (concurrence illégale, dilution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de 16,8x, P/B de 3,54x, EV/EBITDA de 9,8x) indique une prime de croissance par rapport au marché BRVM, justifiée par un ROE de 21,05% mais tempérée par un PER supérieur à la moyenne. Le comportement du cours sur 100 jours (+1,17%, volatilité de 41,3%, distribution mésokurtique et quasi symétrique) révèle une stabilité relative malgré une volatilité élevée, sans risque de pics extrêmes. Les signaux techniques sont majoritairement neutres à baissiers (cours sous MM20 et MM50, MACD négatif, RSI et Stochastique neutres), plaidant pour une absence de catalyseur haussier à court terme. Les fondamentaux sont contrastés : solidité financière exceptionnelle (autonomie de 67,32%, trésorerie nette de 7,98 Mds FCFA) et rentabilité opérationnelle en amélioration (EBE +34%, VA +22% en 2025), mais résultat net 2025 en recul de -35,6% et marges sous pression en raison du mix produit défavorable. Les prédictions IA (J+1 à J+10) anticipent une légère hausse vers 3 913-3 926 FCFA, en contradiction avec les signaux techniques baissiers mais en ligne avec la dynamique fondamentale de redressement. Sur la base de cette synthèse, la recommandation finale est **CONSERVER**, avec un niveau de confiance **Moyen** et un risque global **Moyen**. Cette position se justifie par la convergence entre une valorisation raisonnable, des fondamentaux solides mais sous pression, et des perspectives d'amélioration en 2026 — toutefois, l'absence de signal technique haussier et la volatilité élevée incitent à la prudence. L'horizon d'investissement optimal est le **moyen terme (3-12 mois)**, en attendant la confirmation du redressement de la rentabilité au S2 2026 et l'impact des nouvelles initiatives (1 500 terminaux, nouveaux produits).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2,654 titres</w:t>
            </w:r>
          </w:p>
        </w:tc>
        <w:tc>
          <w:tcPr>
            <w:tcW w:type="dxa" w:w="2268"/>
            <w:shd w:fill="FFF2CC" w:val="clear"/>
          </w:tcPr>
          <w:p>
            <w:r>
              <w:rPr>
                <w:b/>
                <w:color w:val="503200"/>
                <w:sz w:val="16"/>
              </w:rPr>
              <w:t xml:space="preserve">Cours actuel : </w:t>
            </w:r>
            <w:r>
              <w:rPr>
                <w:color w:val="000000"/>
                <w:sz w:val="17"/>
              </w:rPr>
              <w:t>2,245 FCFA</w:t>
            </w:r>
          </w:p>
          <w:p>
            <w:r>
              <w:rPr>
                <w:b/>
                <w:color w:val="503200"/>
                <w:sz w:val="16"/>
              </w:rPr>
              <w:t xml:space="preserve">Var. 100 jours : </w:t>
            </w:r>
            <w:r>
              <w:rPr>
                <w:b/>
                <w:color w:val="007800"/>
                <w:sz w:val="17"/>
              </w:rPr>
              <w:t>+28.65%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1,745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12.97% (Moyenne) — μ=2,299 FCFA, σ=298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β=0.0554 (Défensif) — Cov=0.000004, Var(idx)=0.000070, ρ=0.013,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2,086</w:t>
            </w:r>
          </w:p>
        </w:tc>
        <w:tc>
          <w:tcPr>
            <w:tcW w:type="dxa" w:w="1440"/>
            <w:shd w:fill="FAFAFA" w:val="clear"/>
          </w:tcPr>
          <w:p>
            <w:r>
              <w:rPr>
                <w:b/>
                <w:sz w:val="17"/>
              </w:rPr>
              <w:t>2,235</w:t>
            </w:r>
          </w:p>
        </w:tc>
        <w:tc>
          <w:tcPr>
            <w:tcW w:type="dxa" w:w="1440"/>
            <w:shd w:fill="FAFAFA" w:val="clear"/>
          </w:tcPr>
          <w:p>
            <w:r>
              <w:rPr>
                <w:sz w:val="17"/>
              </w:rPr>
              <w:t>2,384</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2,008</w:t>
            </w:r>
          </w:p>
        </w:tc>
        <w:tc>
          <w:tcPr>
            <w:tcW w:type="dxa" w:w="1440"/>
            <w:shd w:fill="FAFAFA" w:val="clear"/>
          </w:tcPr>
          <w:p>
            <w:r>
              <w:rPr>
                <w:b/>
                <w:sz w:val="17"/>
              </w:rPr>
              <w:t>2,217</w:t>
            </w:r>
          </w:p>
        </w:tc>
        <w:tc>
          <w:tcPr>
            <w:tcW w:type="dxa" w:w="1440"/>
            <w:shd w:fill="FAFAFA" w:val="clear"/>
          </w:tcPr>
          <w:p>
            <w:r>
              <w:rPr>
                <w:sz w:val="17"/>
              </w:rPr>
              <w:t>2,426</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1,948</w:t>
            </w:r>
          </w:p>
        </w:tc>
        <w:tc>
          <w:tcPr>
            <w:tcW w:type="dxa" w:w="1440"/>
            <w:shd w:fill="FAFAFA" w:val="clear"/>
          </w:tcPr>
          <w:p>
            <w:r>
              <w:rPr>
                <w:b/>
                <w:sz w:val="17"/>
              </w:rPr>
              <w:t>2,203</w:t>
            </w:r>
          </w:p>
        </w:tc>
        <w:tc>
          <w:tcPr>
            <w:tcW w:type="dxa" w:w="1440"/>
            <w:shd w:fill="FAFAFA" w:val="clear"/>
          </w:tcPr>
          <w:p>
            <w:r>
              <w:rPr>
                <w:sz w:val="17"/>
              </w:rPr>
              <w:t>2,457</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1,897</w:t>
            </w:r>
          </w:p>
        </w:tc>
        <w:tc>
          <w:tcPr>
            <w:tcW w:type="dxa" w:w="1440"/>
            <w:shd w:fill="FFDCE0" w:val="clear"/>
          </w:tcPr>
          <w:p>
            <w:r>
              <w:rPr>
                <w:b/>
                <w:sz w:val="17"/>
              </w:rPr>
              <w:t>2,188</w:t>
            </w:r>
          </w:p>
        </w:tc>
        <w:tc>
          <w:tcPr>
            <w:tcW w:type="dxa" w:w="1440"/>
            <w:shd w:fill="FFDCE0" w:val="clear"/>
          </w:tcPr>
          <w:p>
            <w:r>
              <w:rPr>
                <w:sz w:val="17"/>
              </w:rPr>
              <w:t>2,480</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1,850</w:t>
            </w:r>
          </w:p>
        </w:tc>
        <w:tc>
          <w:tcPr>
            <w:tcW w:type="dxa" w:w="1440"/>
            <w:shd w:fill="FFDCE0" w:val="clear"/>
          </w:tcPr>
          <w:p>
            <w:r>
              <w:rPr>
                <w:b/>
                <w:sz w:val="17"/>
              </w:rPr>
              <w:t>2,174</w:t>
            </w:r>
          </w:p>
        </w:tc>
        <w:tc>
          <w:tcPr>
            <w:tcW w:type="dxa" w:w="1440"/>
            <w:shd w:fill="FFDCE0" w:val="clear"/>
          </w:tcPr>
          <w:p>
            <w:r>
              <w:rPr>
                <w:sz w:val="17"/>
              </w:rPr>
              <w:t>2,498</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1,808</w:t>
            </w:r>
          </w:p>
        </w:tc>
        <w:tc>
          <w:tcPr>
            <w:tcW w:type="dxa" w:w="1440"/>
            <w:shd w:fill="FFDCE0" w:val="clear"/>
          </w:tcPr>
          <w:p>
            <w:r>
              <w:rPr>
                <w:b/>
                <w:sz w:val="17"/>
              </w:rPr>
              <w:t>2,161</w:t>
            </w:r>
          </w:p>
        </w:tc>
        <w:tc>
          <w:tcPr>
            <w:tcW w:type="dxa" w:w="1440"/>
            <w:shd w:fill="FFDCE0" w:val="clear"/>
          </w:tcPr>
          <w:p>
            <w:r>
              <w:rPr>
                <w:sz w:val="17"/>
              </w:rPr>
              <w:t>2,513</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1,769</w:t>
            </w:r>
          </w:p>
        </w:tc>
        <w:tc>
          <w:tcPr>
            <w:tcW w:type="dxa" w:w="1440"/>
            <w:shd w:fill="FFDCE0" w:val="clear"/>
          </w:tcPr>
          <w:p>
            <w:r>
              <w:rPr>
                <w:b/>
                <w:sz w:val="17"/>
              </w:rPr>
              <w:t>2,148</w:t>
            </w:r>
          </w:p>
        </w:tc>
        <w:tc>
          <w:tcPr>
            <w:tcW w:type="dxa" w:w="1440"/>
            <w:shd w:fill="FFDCE0" w:val="clear"/>
          </w:tcPr>
          <w:p>
            <w:r>
              <w:rPr>
                <w:sz w:val="17"/>
              </w:rPr>
              <w:t>2,527</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1,733</w:t>
            </w:r>
          </w:p>
        </w:tc>
        <w:tc>
          <w:tcPr>
            <w:tcW w:type="dxa" w:w="1440"/>
            <w:shd w:fill="FFDCE0" w:val="clear"/>
          </w:tcPr>
          <w:p>
            <w:r>
              <w:rPr>
                <w:b/>
                <w:sz w:val="17"/>
              </w:rPr>
              <w:t>2,136</w:t>
            </w:r>
          </w:p>
        </w:tc>
        <w:tc>
          <w:tcPr>
            <w:tcW w:type="dxa" w:w="1440"/>
            <w:shd w:fill="FFDCE0" w:val="clear"/>
          </w:tcPr>
          <w:p>
            <w:r>
              <w:rPr>
                <w:sz w:val="17"/>
              </w:rPr>
              <w:t>2,538</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1,699</w:t>
            </w:r>
          </w:p>
        </w:tc>
        <w:tc>
          <w:tcPr>
            <w:tcW w:type="dxa" w:w="1440"/>
            <w:shd w:fill="FFDCE0" w:val="clear"/>
          </w:tcPr>
          <w:p>
            <w:r>
              <w:rPr>
                <w:b/>
                <w:sz w:val="17"/>
              </w:rPr>
              <w:t>2,124</w:t>
            </w:r>
          </w:p>
        </w:tc>
        <w:tc>
          <w:tcPr>
            <w:tcW w:type="dxa" w:w="1440"/>
            <w:shd w:fill="FFDCE0" w:val="clear"/>
          </w:tcPr>
          <w:p>
            <w:r>
              <w:rPr>
                <w:sz w:val="17"/>
              </w:rPr>
              <w:t>2,548</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1,667</w:t>
            </w:r>
          </w:p>
        </w:tc>
        <w:tc>
          <w:tcPr>
            <w:tcW w:type="dxa" w:w="1440"/>
            <w:shd w:fill="FFDCE0" w:val="clear"/>
          </w:tcPr>
          <w:p>
            <w:r>
              <w:rPr>
                <w:b/>
                <w:sz w:val="17"/>
              </w:rPr>
              <w:t>2,113</w:t>
            </w:r>
          </w:p>
        </w:tc>
        <w:tc>
          <w:tcPr>
            <w:tcW w:type="dxa" w:w="1440"/>
            <w:shd w:fill="FFDCE0" w:val="clear"/>
          </w:tcPr>
          <w:p>
            <w:r>
              <w:rPr>
                <w:sz w:val="17"/>
              </w:rPr>
              <w:t>2,558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28,66 Mds FCFA, NEIC se positionne comme une petite capitalisation sur le marché BRVM, ce qui implique une liquidité limitée et une sensibilité accrue aux mouvements de capitaux. Le BPA de 160 FCFA/action signifie que chaque titre génère 160 FCFA de bénéfice net, ce qui, rapporté au cours actuel de 2 245 FCFA, donne un PER de 14,1x — légèrement supérieur à la moyenne BRVM (8-12x), traduisant une valorisation modérée mais non excessive au regard de la qualité des bénéfices. Le P/B de 4,98x indique que le marché valorise l'entreprise à près de 5 fois sa valeur comptable, une prime très élevée qui suppose une forte anticipation de croissance future ou une sous-estimation structurelle des actifs au bilan. Enfin, l'EV/EBITDA de 20,8x est très exigeant (seuil d'alerte &gt;15x), suggérant que la valeur d'entreprise intègre déjà une bonne partie du potentiel opérationnel ; l'investisseur paie donc cher la capacité bénéficiaire actuelle, ce qui réduit la marge de sécurité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affiche une performance remarquable de +28,65%, malgré un repli de -2,39% lors de la dernière séance (J-1), signalant une prise de bénéfices après un rallye soutenu. Le titre a évolué dans un range large de 1 745 FCFA (plus bas) à 3 000 FCFA (plus haut), soit une amplitude de plus de 70%, ce qui témoigne d'une forte volatilité directionnelle. La tendance générale reste haussière, portée par un momentum acheteur sur la période, mais le cours actuel (2 245 FCFA) se situe désormais sous la moyenne (2 299 FCFA) et proche de la médiane (2 272 FCFA), indiquant une phase de consolidation. L'écart faible entre moyenne et médiane (27 FCFA) suggère une distribution relativement équilibrée, mais le skewness positif de 0,834 révèle une asymétrie à droite : davantage de journées se sont situées sous la moyenne, avec quelques pics haussiers marqués. Le kurtosis de 0,245 (mésokurtique) indique une distribution proche de la normale, donc pas de risque extrême de pics violents, ce qui est rassurant. L'écart-type de 300 FCFA (CV = 13,0%) traduit une dispersion modérée autour de la moyenne, mais la volatilité annualisée de 54,2% classe le titre dans la catégorie **très volatile** (&gt;30%), ce qui implique un risque de marché élevé et un horizon d'investissement adapté aux profils agressifs.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(2 578,5 FCFA) et la MM50 (2 480,2 FCFA) se situent toutes deux au-dessus du cours actuel (2 245 FCFA), ce qui place le titre en position baissière à court terme malgré la décision "Achat" fournie. Cette configuration suggère que le cours a corrigé sous ses moyennes, et la décision acheteuse repose probablement sur une anticipation de rebond technique vers ces niveaux de résistance dynamique.</w:t>
      </w:r>
    </w:p>
    <w:p>
      <w:pPr>
        <w:spacing w:after="120" w:line="276" w:lineRule="auto"/>
      </w:pPr>
      <w:r>
        <w:t>**Bandes de Bollinger** : Le cours actuel (2 245 FCFA) se situe entre la borne inférieure (2 089,89 FCFA) et la borne supérieure (3 067,11 FCFA), plus proche de la borne basse, ce qui indique une pression vendeuse récente. La décision "Neutre" reflète l'absence de signal directionnel fort : le titre n'est ni en surachat ni en survente selon ce canal, et la volatilité reste contenue dans les bandes.</w:t>
      </w:r>
    </w:p>
    <w:p>
      <w:pPr>
        <w:spacing w:after="120" w:line="276" w:lineRule="auto"/>
      </w:pPr>
      <w:r>
        <w:t>**MACD** : La valeur du MACD (-82,508) est inférieure à son signal (-31,735), confirmant un momentum baissier en cours. La décision "Vente" est cohérente avec cette divergence négative, qui suggère que la pression vendeuse pourrait persister à court terme avant un éventuel retournement.</w:t>
      </w:r>
    </w:p>
    <w:p>
      <w:pPr>
        <w:spacing w:after="120" w:line="276" w:lineRule="auto"/>
      </w:pPr>
      <w:r>
        <w:t>**RSI** : Avec une valeur de 22,404, le RSI se situe en zone de **survente** (&lt;30), ce qui déclenche une décision "Achat" — le titre est techniquement survendu et pourrait rebondir à court terme. Cette lecture contraste avec le MACD, créant une divergence classique entre momentum (baissier) et condition de survente (haussier).</w:t>
      </w:r>
    </w:p>
    <w:p>
      <w:pPr>
        <w:spacing w:after="120" w:line="276" w:lineRule="auto"/>
      </w:pPr>
      <w:r>
        <w:t>**Stochastique** : Les valeurs %K et %D sont toutes deux à 0,0, ce qui place l'indicateur en zone de survente extrême et génère une décision "Achat". Un croisement haussier du %K au-dessus du %D est attendu pour confirmer un retournement, mais pour l'instant, la pression baissière reste dominante.</w:t>
      </w:r>
    </w:p>
    <w:p>
      <w:pPr>
        <w:spacing w:after="120" w:line="276" w:lineRule="auto"/>
      </w:pPr>
      <w:r>
        <w:t>**Conclusion technique** : Les indicateurs sont **divergents** : le MACD et les moyennes mobiles plaident pour une poursuite de la correction, tandis que le RSI et le stochastique signalent une survente propice à un rebond. Cette configuration suggère une phase de consolidation avec un potentiel de rebond technique à court terme, mais la prudence reste de mise tant que le cours n'aura pas reconquis la MM20 (2 578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NEIC affiche un chiffre d'affaires de 5,139 Mds FCFA, un résultat net de 2,037 Mds FCFA (marge nette exceptionnelle de 39,63%), un ROE de 35,39% et un ROA de 27,25% — des niveaux de rentabilité très élevés qui témoignent d'une excellente efficacité opérationnelle. Cependant, le taux de croissance du CA est négatif (-23,80%), ce qui signale une contraction de l'activité commerciale. La structure financière est très saine : autonomie financière de 77,01%, solvabilité générale de 435%, liquidité générale de 448,86% et trésorerie nette de 4,196 Mds FCFA. Le BFR de 1,498 Mds FCFA est positif (défavorable), mais le fonds de roulement de 5,693 Mds FCFA couvre largement les besoins. Les délais d'exploitation sont préoccupants : délai clients de 154,72 jours (risque de trésorerie élevé) et durée de stockage de 54,49 jours, tandis que le délai fournisseurs de 69,56 jours est modéré.</w:t>
      </w:r>
    </w:p>
    <w:p>
      <w:pPr>
        <w:spacing w:after="120" w:line="276" w:lineRule="auto"/>
      </w:pPr>
      <w:r>
        <w:t>**Adaptation au secteur (ENTREPRISE)** : Le délai client élevé (154,72 jours) constitue un point de vigilance majeur, car il immobilise de la trésorerie et expose l'entreprise à un risque de créances douteuses. Le BFR positif de 1,498 Mds FCFA, bien que couvert par le fonds de roulement, pèse sur la génération de cash-flow opérationnel, qui est négatif (-527,07 M FCFA) — un signal d'alerte sur la qualité des bénéfices. La rotation des actifs de 68,77% reste correcte, mais la baisse du CA (-23,80%) limite la capacité à générer des revenus récurrents.</w:t>
      </w:r>
    </w:p>
    <w:p>
      <w:pPr>
        <w:spacing w:after="120" w:line="276" w:lineRule="auto"/>
      </w:pPr>
      <w:r>
        <w:t>**Estimations basées sur les rapports trimestriels** : Le rapport T1 2026 (publié en 2026) indique un chiffre d'affaires de 115,1 M FCFA, en hausse de +137% par rapport au T1 2025 (48,5 M FCFA), avec une perte nette réduite à -168,9 M FCFA (contre -189,9 M FCFA). Le rapport T3 2025 (daté du 30/09/2025) mentionne un CA de 3 406 M FCFA (-35% en glissement annuel) et un résultat net exceptionnel de 1 596 M FCFA, dopé par une reprise de provision de 885 M FCFA — un élément non récurrent qui gonfle artificiellement les bénéfices. Le rapport annuel 2025 (publié en 2025) confirme un résultat net de 2,04 Mds FCFA (+169%) et un dividende de 2,04 Mds FCFA (100% du résultat net), une politique généreuse mais qui limite l'autofinancement. **On estime** que l'exercice 2026 devrait bénéficier d'un effet de base favorable au T1 (+137% de CA), mais la persistance des pertes opérationnelles (-271,5 M FCFA au T1 2026) suggère que la rentabilité nette reste dépendante d'éléments financiers (résultat financier de 41,7 M FCFA) et non d'une amélioration structurelle de l'exploitation.</w:t>
      </w:r>
    </w:p>
    <w:p>
      <w:pPr>
        <w:spacing w:after="120" w:line="276" w:lineRule="auto"/>
      </w:pPr>
      <w:r>
        <w:t>**Évolution pluriannuelle** : Les données historiques montrent une forte volatilité des résultats : perte nette de -759 M FCFA en 2024 (états financiers certifiés 2024), bénéfice exceptionnel de 2,04 Mds FCFA en 2025 (rapport annuel 2025), et perte de -168,9 M FCFA au T1 2026 (rapport T1 2026). Cette instabilité reflète la dépendance aux contrats publics et aux éléments non récurrents, ce qui rend la prévisibilité des bénéfices faible.</w:t>
      </w:r>
    </w:p>
    <w:p>
      <w:pPr>
        <w:spacing w:after="120" w:line="276" w:lineRule="auto"/>
      </w:pPr>
      <w:r>
        <w:t>**Recommandation fondamentale** : La solidité financière (trésorerie abondante, faible endettement) et les ratios de rentabilité élevés (ROE &gt;35%) sont des atouts majeurs. Cependant, la contraction du CA (-23,80% en 2025), le cash-flow opérationnel négatif, le délai client élevé et la dépendance aux éléments exceptionnels constituent des risques significatifs. La politique de distribution de 100% du résultat net en dividende limite la capacité d'investissement future. **Conclusion** : Entreprise financièrement saine mais opérationnellement fragile, avec une rentabilité non récurrente et une dynamique commerciale incertaine.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14,1x est modéré mais supérieur à la moyenne BRVM, le P/B de 4,98x et l'EV/EBITDA de 20,8x indiquent une **surévaluation** relative, avec une marge de sécurité limitée. **Comportement du cours (Partie 1)** : La tendance haussière (+28,65%) est impressionnante, mais la volatilité annualisée de 54,2% et le skewness positif (0,834) suggèrent un risque de correction, confirmé par le repli de -2,39% en J-1. **Signaux techniques (Partie 2)** : Les indicateurs sont **divergents** — le MACD et les MM sont baissiers, tandis que le RSI (22,4) et le stochastique (0,0) sont en survente extrême, plaidant pour un rebond technique à court terme. **Fondamentaux (Partie 3)** : La rentabilité est exceptionnelle (ROE 35,39%, marge nette 39,63%) mais non récurrente, la croissance du CA est négative (-23,80%), et le cash-flow opérationnel est négatif (-527 M FCFA), ce qui tempère l'optimisme. **Prédictions IA (J+1 à J+10)** : La trajectoire baissière projetée (2 235 → 2 174 FCFA, soit -3,2%) **contredit** le signal de survente technique et suggère une poursuite de la correction à court terme.</w:t>
      </w:r>
    </w:p>
    <w:p>
      <w:pPr>
        <w:spacing w:after="120" w:line="276" w:lineRule="auto"/>
      </w:pPr>
      <w:r>
        <w:t>**Recommandation finale** : **CONSERVER** — La convergence entre la surévaluation (P/B, EV/EBITDA), la divergence technique (MACD baissier vs RSI survendu) et les prédictions baissières à court terme incite à la prudence. Les fondamentaux solides (trésorerie, rentabilité) justifient de ne pas vendre, mais l'absence de catalyseur haussier clair et la dépendance aux éléments non récurrents empêchent un passage à l'achat. **Niveau de confiance** : Moyen (les signaux sont contradictoires). **Niveau de risque** : Élevé (volatilité 54,2%, liquidité limitée, dépendance aux contrats publics). **Horizon d'investissement** : Moyen terme (3-12 mois), en attendant la confirmation d'un redressement durable du CA et d'une amélioration du cash-flow opérationnel.</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544.16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2,831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+57.03%</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12.64% (Moyenne) — μ=21,152 FCFA, σ=2,674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β=1.4867 (Agressif) — Cov=0.000103, Var(idx)=0.000070, ρ=0.475,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2026-10-02</w:t>
            </w:r>
          </w:p>
        </w:tc>
        <w:tc>
          <w:tcPr>
            <w:tcW w:type="dxa" w:w="1440"/>
            <w:shd w:fill="FFDCE0" w:val="clear"/>
          </w:tcPr>
          <w:p>
            <w:r>
              <w:rPr>
                <w:sz w:val="17"/>
              </w:rPr>
              <w:t>20,587</w:t>
            </w:r>
          </w:p>
        </w:tc>
        <w:tc>
          <w:tcPr>
            <w:tcW w:type="dxa" w:w="1440"/>
            <w:shd w:fill="FFDCE0" w:val="clear"/>
          </w:tcPr>
          <w:p>
            <w:r>
              <w:rPr>
                <w:b/>
                <w:sz w:val="17"/>
              </w:rPr>
              <w:t>21,551</w:t>
            </w:r>
          </w:p>
        </w:tc>
        <w:tc>
          <w:tcPr>
            <w:tcW w:type="dxa" w:w="1440"/>
            <w:shd w:fill="FFDCE0" w:val="clear"/>
          </w:tcPr>
          <w:p>
            <w:r>
              <w:rPr>
                <w:sz w:val="17"/>
              </w:rPr>
              <w:t>22,515</w:t>
            </w:r>
          </w:p>
        </w:tc>
        <w:tc>
          <w:tcPr>
            <w:tcW w:type="dxa" w:w="1440"/>
            <w:shd w:fill="FFDCE0"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2026-10-05</w:t>
            </w:r>
          </w:p>
        </w:tc>
        <w:tc>
          <w:tcPr>
            <w:tcW w:type="dxa" w:w="1440"/>
            <w:shd w:fill="FFDCE0" w:val="clear"/>
          </w:tcPr>
          <w:p>
            <w:r>
              <w:rPr>
                <w:sz w:val="17"/>
              </w:rPr>
              <w:t>19,942</w:t>
            </w:r>
          </w:p>
        </w:tc>
        <w:tc>
          <w:tcPr>
            <w:tcW w:type="dxa" w:w="1440"/>
            <w:shd w:fill="FFDCE0" w:val="clear"/>
          </w:tcPr>
          <w:p>
            <w:r>
              <w:rPr>
                <w:b/>
                <w:sz w:val="17"/>
              </w:rPr>
              <w:t>21,288</w:t>
            </w:r>
          </w:p>
        </w:tc>
        <w:tc>
          <w:tcPr>
            <w:tcW w:type="dxa" w:w="1440"/>
            <w:shd w:fill="FFDCE0" w:val="clear"/>
          </w:tcPr>
          <w:p>
            <w:r>
              <w:rPr>
                <w:sz w:val="17"/>
              </w:rPr>
              <w:t>22,635</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2026-10-06</w:t>
            </w:r>
          </w:p>
        </w:tc>
        <w:tc>
          <w:tcPr>
            <w:tcW w:type="dxa" w:w="1440"/>
            <w:shd w:fill="FFDCE0" w:val="clear"/>
          </w:tcPr>
          <w:p>
            <w:r>
              <w:rPr>
                <w:sz w:val="17"/>
              </w:rPr>
              <w:t>19,412</w:t>
            </w:r>
          </w:p>
        </w:tc>
        <w:tc>
          <w:tcPr>
            <w:tcW w:type="dxa" w:w="1440"/>
            <w:shd w:fill="FFDCE0" w:val="clear"/>
          </w:tcPr>
          <w:p>
            <w:r>
              <w:rPr>
                <w:b/>
                <w:sz w:val="17"/>
              </w:rPr>
              <w:t>21,042</w:t>
            </w:r>
          </w:p>
        </w:tc>
        <w:tc>
          <w:tcPr>
            <w:tcW w:type="dxa" w:w="1440"/>
            <w:shd w:fill="FFDCE0" w:val="clear"/>
          </w:tcPr>
          <w:p>
            <w:r>
              <w:rPr>
                <w:sz w:val="17"/>
              </w:rPr>
              <w:t>22,672</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18,953</w:t>
            </w:r>
          </w:p>
        </w:tc>
        <w:tc>
          <w:tcPr>
            <w:tcW w:type="dxa" w:w="1440"/>
            <w:shd w:fill="FFDCE0" w:val="clear"/>
          </w:tcPr>
          <w:p>
            <w:r>
              <w:rPr>
                <w:b/>
                <w:sz w:val="17"/>
              </w:rPr>
              <w:t>20,815</w:t>
            </w:r>
          </w:p>
        </w:tc>
        <w:tc>
          <w:tcPr>
            <w:tcW w:type="dxa" w:w="1440"/>
            <w:shd w:fill="FFDCE0" w:val="clear"/>
          </w:tcPr>
          <w:p>
            <w:r>
              <w:rPr>
                <w:sz w:val="17"/>
              </w:rPr>
              <w:t>22,677</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18,534</w:t>
            </w:r>
          </w:p>
        </w:tc>
        <w:tc>
          <w:tcPr>
            <w:tcW w:type="dxa" w:w="1440"/>
            <w:shd w:fill="FFDCE0" w:val="clear"/>
          </w:tcPr>
          <w:p>
            <w:r>
              <w:rPr>
                <w:b/>
                <w:sz w:val="17"/>
              </w:rPr>
              <w:t>20,594</w:t>
            </w:r>
          </w:p>
        </w:tc>
        <w:tc>
          <w:tcPr>
            <w:tcW w:type="dxa" w:w="1440"/>
            <w:shd w:fill="FFDCE0" w:val="clear"/>
          </w:tcPr>
          <w:p>
            <w:r>
              <w:rPr>
                <w:sz w:val="17"/>
              </w:rPr>
              <w:t>22,653</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18,145</w:t>
            </w:r>
          </w:p>
        </w:tc>
        <w:tc>
          <w:tcPr>
            <w:tcW w:type="dxa" w:w="1440"/>
            <w:shd w:fill="FFDCE0" w:val="clear"/>
          </w:tcPr>
          <w:p>
            <w:r>
              <w:rPr>
                <w:b/>
                <w:sz w:val="17"/>
              </w:rPr>
              <w:t>20,377</w:t>
            </w:r>
          </w:p>
        </w:tc>
        <w:tc>
          <w:tcPr>
            <w:tcW w:type="dxa" w:w="1440"/>
            <w:shd w:fill="FFDCE0" w:val="clear"/>
          </w:tcPr>
          <w:p>
            <w:r>
              <w:rPr>
                <w:sz w:val="17"/>
              </w:rPr>
              <w:t>22,609</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17,778</w:t>
            </w:r>
          </w:p>
        </w:tc>
        <w:tc>
          <w:tcPr>
            <w:tcW w:type="dxa" w:w="1440"/>
            <w:shd w:fill="FFDCE0" w:val="clear"/>
          </w:tcPr>
          <w:p>
            <w:r>
              <w:rPr>
                <w:b/>
                <w:sz w:val="17"/>
              </w:rPr>
              <w:t>20,164</w:t>
            </w:r>
          </w:p>
        </w:tc>
        <w:tc>
          <w:tcPr>
            <w:tcW w:type="dxa" w:w="1440"/>
            <w:shd w:fill="FFDCE0" w:val="clear"/>
          </w:tcPr>
          <w:p>
            <w:r>
              <w:rPr>
                <w:sz w:val="17"/>
              </w:rPr>
              <w:t>22,550</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17,430</w:t>
            </w:r>
          </w:p>
        </w:tc>
        <w:tc>
          <w:tcPr>
            <w:tcW w:type="dxa" w:w="1440"/>
            <w:shd w:fill="FFDCE0" w:val="clear"/>
          </w:tcPr>
          <w:p>
            <w:r>
              <w:rPr>
                <w:b/>
                <w:sz w:val="17"/>
              </w:rPr>
              <w:t>19,954</w:t>
            </w:r>
          </w:p>
        </w:tc>
        <w:tc>
          <w:tcPr>
            <w:tcW w:type="dxa" w:w="1440"/>
            <w:shd w:fill="FFDCE0" w:val="clear"/>
          </w:tcPr>
          <w:p>
            <w:r>
              <w:rPr>
                <w:sz w:val="17"/>
              </w:rPr>
              <w:t>22,478</w:t>
            </w:r>
          </w:p>
        </w:tc>
        <w:tc>
          <w:tcPr>
            <w:tcW w:type="dxa" w:w="1440"/>
            <w:shd w:fill="FFDCE0" w:val="clear"/>
          </w:tcPr>
          <w:p>
            <w:r>
              <w:rPr>
                <w:b/>
                <w:color w:val="C00000"/>
                <w:sz w:val="17"/>
              </w:rPr>
              <w:t>-9.3%</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17,097</w:t>
            </w:r>
          </w:p>
        </w:tc>
        <w:tc>
          <w:tcPr>
            <w:tcW w:type="dxa" w:w="1440"/>
            <w:shd w:fill="FFDCE0" w:val="clear"/>
          </w:tcPr>
          <w:p>
            <w:r>
              <w:rPr>
                <w:b/>
                <w:sz w:val="17"/>
              </w:rPr>
              <w:t>19,747</w:t>
            </w:r>
          </w:p>
        </w:tc>
        <w:tc>
          <w:tcPr>
            <w:tcW w:type="dxa" w:w="1440"/>
            <w:shd w:fill="FFDCE0" w:val="clear"/>
          </w:tcPr>
          <w:p>
            <w:r>
              <w:rPr>
                <w:sz w:val="17"/>
              </w:rPr>
              <w:t>22,396</w:t>
            </w:r>
          </w:p>
        </w:tc>
        <w:tc>
          <w:tcPr>
            <w:tcW w:type="dxa" w:w="1440"/>
            <w:shd w:fill="FFDCE0" w:val="clear"/>
          </w:tcPr>
          <w:p>
            <w:r>
              <w:rPr>
                <w:b/>
                <w:color w:val="C00000"/>
                <w:sz w:val="17"/>
              </w:rPr>
              <w:t>-10.2%</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16,778</w:t>
            </w:r>
          </w:p>
        </w:tc>
        <w:tc>
          <w:tcPr>
            <w:tcW w:type="dxa" w:w="1440"/>
            <w:shd w:fill="FFDCE0" w:val="clear"/>
          </w:tcPr>
          <w:p>
            <w:r>
              <w:rPr>
                <w:b/>
                <w:sz w:val="17"/>
              </w:rPr>
              <w:t>19,542</w:t>
            </w:r>
          </w:p>
        </w:tc>
        <w:tc>
          <w:tcPr>
            <w:tcW w:type="dxa" w:w="1440"/>
            <w:shd w:fill="FFDCE0" w:val="clear"/>
          </w:tcPr>
          <w:p>
            <w:r>
              <w:rPr>
                <w:sz w:val="17"/>
              </w:rPr>
              <w:t>22,306</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544,16 milliards FCFA, NSBC s'impose comme l'une des valeurs bancaires de premier plan de la cote BRVM, un niveau qui traduit la confiance des investisseurs dans le leadership de la banque sur le marché ivoirien. Le BPA de 1 646 FCFA par action signifie que chaque titre génère près de 1 650 FCFA de bénéfice net, ce qui, rapporté au cours actuel de 22 000 FCFA, donne un PER de 13,4x — légèrement supérieur à la moyenne du marché BRVM (8-12x), mais justifié par la qualité de la croissance et la solidité des fondamentaux. Le P/B de 2,33x indique que le marché valorise la banque à plus du double de sa valeur comptable, une prime de croissance cohérente avec un ROE de 17,45% nettement supérieur au coût des fonds propres. En revanche, l'EV/EBITDA de 21,0x apparaît très exigeant (seuil d'alerte &gt;15x), signalant que la valeur d'entreprise intègre déjà une bonne partie des anticipations de performance future, ce qui limite le potentiel de revalorisation à court terme et invite à la prudence sur les points d'entrée.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+57,03%, avec une dernière séance en hausse de +2,33%, confirmant une dynamique haussière robuste qui a porté le cours de 13 810 FCFA (plus bas) à 24 885 FCFA (plus haut), avant de se stabiliser autour de 22 000 FCFA. Le range de trading de plus de 11 000 FCFA témoigne d'une forte amplitude, typique d'un titre en phase de revalorisation active. Les statistiques descriptives révèlent une moyenne de 21 152 FCFA légèrement inférieure à la médiane de 21 975 FCFA, avec un skewness négatif de -0,880 indiquant une asymétrie à gauche — autrement dit, davantage de séances se sont négociées au-dessus de la moyenne, ce qui traduit une pression acheteuse dominante malgré quelques corrections marquées. L'écart-type de 2 688 FCFA (CV de 12,7%) signale une dispersion modérée autour de la moyenne, tandis que le kurtosis de 0,233 (mésokurtique) suggère une distribution proche de la normale, sans risque excessif de pics extrêmes. La volatilité annualisée de 41,6% classe le titre dans la catégorie des valeurs à volatilité élevée (&gt;30%), ce qui implique un potentiel de gain attractif mais aussi un risque de correction significatif, à intégrer impérativement dans la gestion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(23 309,75 FCFA) et la MM50 (23 233,80 FCFA) sont toutes deux supérieures au cours actuel (22 000 FCFA), mais leur proximité et leur orientation haussière traduisent une tendance de fond positive. La décision « Achat » est justifiée par le fait que le cours, bien qu'en retrait sous ses moyennes, évolue dans un canal haussier de moyen terme et pourrait rebondir sur ces supports dynamiques.</w:t>
      </w:r>
    </w:p>
    <w:p>
      <w:pPr>
        <w:spacing w:after="120" w:line="276" w:lineRule="auto"/>
      </w:pPr>
      <w:r>
        <w:t>**Bandes de Bollinger** : Le cours (22 000 FCFA) se situe dans la partie médiane de la bande, entre la borne inférieure (20 712 FCFA) et la borne supérieure (25 907 FCFA), ce qui explique la décision « Neutre ». L'absence de contact avec les bornes indique une volatilité en cours de normalisation après la forte poussée haussière, sans signal de surachat ni de survente.</w:t>
      </w:r>
    </w:p>
    <w:p>
      <w:pPr>
        <w:spacing w:after="120" w:line="276" w:lineRule="auto"/>
      </w:pPr>
      <w:r>
        <w:t>**MACD** : La valeur du MACD (-411,279) est inférieure à son signal (-163,247), générant une décision « Vente » qui traduit un momentum baissier de court terme. Cette divergence négative suggère que la dynamique haussière marque une pause, voire une consolidation, avant une éventuelle reprise.</w:t>
      </w:r>
    </w:p>
    <w:p>
      <w:pPr>
        <w:spacing w:after="120" w:line="276" w:lineRule="auto"/>
      </w:pPr>
      <w:r>
        <w:t>**RSI** : À 33,74, le RSI se situe dans la zone neutre basse, proche du seuil de survente (30), ce qui justifie la décision « Neutre ». Ce niveau indique que le titre n'est ni suracheté ni survendu, mais qu'une pression vendeuse modérée persiste à court terme, sans signal d'achat clair.</w:t>
      </w:r>
    </w:p>
    <w:p>
      <w:pPr>
        <w:spacing w:after="120" w:line="276" w:lineRule="auto"/>
      </w:pPr>
      <w:r>
        <w:t>**Stochastique** : Le %K (32,114) est supérieur au %D (23,08), avec un croisement potentiellement haussier en formation, mais les deux indicateurs restent en zone basse, justifiant la décision « Neutre ». Ce positionnement suggère que le titre pourrait amorcer un rebond technique si le %K confirme sa trajectoire ascendante.</w:t>
      </w:r>
    </w:p>
    <w:p>
      <w:pPr>
        <w:spacing w:after="120" w:line="276" w:lineRule="auto"/>
      </w:pPr>
      <w:r>
        <w:t>**Conclusion technique** : Les indicateurs techniques présentent un tableau mitigé, avec une tendance de fond haussière (moyennes mobiles) mais un momentum de court terme affaibli (MACD vendeur, RSI bas). Le titre évolue dans une phase de consolidation après sa forte progression, et la convergence des signaux neutres (Bollinger, RSI, Stochastique) plaide pour une attente de confirmation avant tout renforcement. Un rebond au-dessus de 23 300 FCFA (MM20/MM50) serait un signal d'achat technique, tandis qu'une cassure sous 20 700 FCFA (borne inférieure de Bollinger) invaliderait le scénario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NSIA Banque Côte d'Ivoire affiche des performances financières solides, avec un Produit Net Bancaire (PNB) de 112,928 milliards FCFA, en croissance de 15,45% par rapport à 2024, et un résultat net de 40,712 milliards FCFA, en hausse de 7%. Le coefficient d'exploitation s'établit à 54,59%, un niveau inférieur au seuil de 60% qui témoigne d'une bonne efficacité opérationnelle, tandis que le ROE de 17,45% et le ROA de 1,32% confirment une rentabilité supérieure à la moyenne du secteur bancaire de la BRVM. La marge nette de 36,05% reste élevée, mais le coût du risque (7,54% des charges financières) s'est fortement dégradé, passant d'une reprise de +0,6 milliard FCFA en 2024 à une dotation de -8,5 milliards FCFA en 2025, ce qui a pesé sur la progression du résultat net. Le bilan affiche une expansion remarquable de +22% à 3 073 milliards FCFA, portée par une collecte de dépôts clientèle de 2 242 milliards FCFA (+32%) et des créances clientèle de 1 818,7 milliards FCFA (+18%), traduisant une transformation bancaire dynamique. Sur la base du rapport T1 2026 (publié le 31/03/2026), le PNB progresse de +28% à 28,6 milliards FCFA et le résultat net bondit de +53% à 10,9 milliards FCFA, principalement tiré par l'activité titres et la maîtrise du coût du risque — on estime donc que l'exercice 2026 devrait afficher une nouvelle accélération de la rentabilité, avec un résultat net annualisé potentiellement supérieur à 45 milliards FCFA si la dynamique se maintient. Toutefois, la dépendance croissante aux revenus de titres (volatils) et le léger recul des encours de crédits (-4% au T1 2026) constituent des points de vigilance, tout comme le ratio d'autonomie financière de 7,59% (faible pour une banque, mais compensé par la solvabilité générale de 108,22%). La recommandation fondamentale est de **CONSERVER** le titre : la solidité du modèle, la croissance du PNB et l'amélioration de l'efficacité opérationnelle sont des atouts majeurs, mais la dégradation du coût du risque et la valorisation exigeante (EV/EBITDA de 21x) limitent le potentiel d'achat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tableau contrasté. La valorisation (Partie 0) est modérément tendue : le PER de 13,4x et le P/B de 2,33x intègrent une prime de croissance justifiée par le ROE de 17,45%, mais l'EV/EBITDA de 21x signale une surévaluation relative qui limite le potentiel de hausse. Le comportement du cours (Partie 1) est haussier sur 100 jours (+57,03%) avec une volatilité élevée (41,6%) et un skewness négatif (-0,880) indiquant une pression acheteuse dominante, mais le kurtosis mésokurtique (0,233) suggère une absence de risque extrême. Les signaux techniques (Partie 2) sont mitigés : les moyennes mobiles restent haussières, mais le MACD est vendeur et le RSI (33,74) proche de la survente, ce qui plaide pour une consolidation avant reprise. Les fondamentaux (Partie 3) sont solides : PNB de 112,9 milliards FCFA en 2025 (+15,45%), résultat net de 40,7 milliards FCFA, ROE de 17,45%, et un T1 2026 exceptionnel (+53% de résultat net), mais le coût du risque en forte hausse et la dépendance aux titres constituent des risques. Les prédictions IA (J+1 à J+10) anticipent une baisse progressive de 21 551 FCFA à 20 594 FCFA, ce qui contredit la dynamique haussière de fond et confirme la phase de consolidation technique. Sur la base de cette convergence entre valorisation exigeante, technique neutre-baissière à court terme, fondamentaux solides et prédictions baissières, la recommandation finale est **CONSERVER**, avec un niveau de confiance **Moyen** et un risque global **Moyen**. L'horizon d'investissement optimal est le **moyen terme (3-12 mois)**, en attendant la confirmation des résultats semestriels 2026 et une clarification sur la politique de dividende, qui pourrait constituer un catalyseur haussier si le taux de distribution reste attractif (historiquement 25-35%).</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328.85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1,287 titres</w:t>
            </w:r>
          </w:p>
        </w:tc>
        <w:tc>
          <w:tcPr>
            <w:tcW w:type="dxa" w:w="2268"/>
            <w:shd w:fill="FFF2CC" w:val="clear"/>
          </w:tcPr>
          <w:p>
            <w:r>
              <w:rPr>
                <w:b/>
                <w:color w:val="503200"/>
                <w:sz w:val="16"/>
              </w:rPr>
              <w:t xml:space="preserve">Cours actuel : </w:t>
            </w:r>
            <w:r>
              <w:rPr>
                <w:color w:val="000000"/>
                <w:sz w:val="17"/>
              </w:rPr>
              <w:t>14,900 FCFA</w:t>
            </w:r>
          </w:p>
          <w:p>
            <w:r>
              <w:rPr>
                <w:b/>
                <w:color w:val="503200"/>
                <w:sz w:val="16"/>
              </w:rPr>
              <w:t xml:space="preserve">Var. 100 jours : </w:t>
            </w:r>
            <w:r>
              <w:rPr>
                <w:b/>
                <w:color w:val="007800"/>
                <w:sz w:val="17"/>
              </w:rPr>
              <w:t>+27.90%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μ=15,415 FCFA, σ=1,660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β=0.5669 (Défensif) — Cov=0.000039, Var(idx)=0.000070, ρ=0.201,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14,410</w:t>
            </w:r>
          </w:p>
        </w:tc>
        <w:tc>
          <w:tcPr>
            <w:tcW w:type="dxa" w:w="1440"/>
            <w:shd w:fill="FAFAFA" w:val="clear"/>
          </w:tcPr>
          <w:p>
            <w:r>
              <w:rPr>
                <w:b/>
                <w:sz w:val="17"/>
              </w:rPr>
              <w:t>15,137</w:t>
            </w:r>
          </w:p>
        </w:tc>
        <w:tc>
          <w:tcPr>
            <w:tcW w:type="dxa" w:w="1440"/>
            <w:shd w:fill="FAFAFA" w:val="clear"/>
          </w:tcPr>
          <w:p>
            <w:r>
              <w:rPr>
                <w:sz w:val="17"/>
              </w:rPr>
              <w:t>15,863</w:t>
            </w:r>
          </w:p>
        </w:tc>
        <w:tc>
          <w:tcPr>
            <w:tcW w:type="dxa" w:w="1440"/>
            <w:shd w:fill="FAFAFA" w:val="clear"/>
          </w:tcPr>
          <w:p>
            <w:r>
              <w:rPr>
                <w:b/>
                <w:color w:val="008000"/>
                <w:sz w:val="17"/>
              </w:rPr>
              <w:t>+1.6%</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14,084</w:t>
            </w:r>
          </w:p>
        </w:tc>
        <w:tc>
          <w:tcPr>
            <w:tcW w:type="dxa" w:w="1440"/>
            <w:shd w:fill="FAFAFA" w:val="clear"/>
          </w:tcPr>
          <w:p>
            <w:r>
              <w:rPr>
                <w:b/>
                <w:sz w:val="17"/>
              </w:rPr>
              <w:t>15,109</w:t>
            </w:r>
          </w:p>
        </w:tc>
        <w:tc>
          <w:tcPr>
            <w:tcW w:type="dxa" w:w="1440"/>
            <w:shd w:fill="FAFAFA" w:val="clear"/>
          </w:tcPr>
          <w:p>
            <w:r>
              <w:rPr>
                <w:sz w:val="17"/>
              </w:rPr>
              <w:t>16,135</w:t>
            </w:r>
          </w:p>
        </w:tc>
        <w:tc>
          <w:tcPr>
            <w:tcW w:type="dxa" w:w="1440"/>
            <w:shd w:fill="FAFAFA" w:val="clear"/>
          </w:tcPr>
          <w:p>
            <w:r>
              <w:rPr>
                <w:b/>
                <w:color w:val="008000"/>
                <w:sz w:val="17"/>
              </w:rPr>
              <w:t>+1.4%</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13,845</w:t>
            </w:r>
          </w:p>
        </w:tc>
        <w:tc>
          <w:tcPr>
            <w:tcW w:type="dxa" w:w="1440"/>
            <w:shd w:fill="FAFAFA" w:val="clear"/>
          </w:tcPr>
          <w:p>
            <w:r>
              <w:rPr>
                <w:b/>
                <w:sz w:val="17"/>
              </w:rPr>
              <w:t>15,100</w:t>
            </w:r>
          </w:p>
        </w:tc>
        <w:tc>
          <w:tcPr>
            <w:tcW w:type="dxa" w:w="1440"/>
            <w:shd w:fill="FAFAFA" w:val="clear"/>
          </w:tcPr>
          <w:p>
            <w:r>
              <w:rPr>
                <w:sz w:val="17"/>
              </w:rPr>
              <w:t>16,356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13,648</w:t>
            </w:r>
          </w:p>
        </w:tc>
        <w:tc>
          <w:tcPr>
            <w:tcW w:type="dxa" w:w="1440"/>
            <w:shd w:fill="FAFAFA" w:val="clear"/>
          </w:tcPr>
          <w:p>
            <w:r>
              <w:rPr>
                <w:b/>
                <w:sz w:val="17"/>
              </w:rPr>
              <w:t>15,097</w:t>
            </w:r>
          </w:p>
        </w:tc>
        <w:tc>
          <w:tcPr>
            <w:tcW w:type="dxa" w:w="1440"/>
            <w:shd w:fill="FAFAFA" w:val="clear"/>
          </w:tcPr>
          <w:p>
            <w:r>
              <w:rPr>
                <w:sz w:val="17"/>
              </w:rPr>
              <w:t>16,546</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13,475</w:t>
            </w:r>
          </w:p>
        </w:tc>
        <w:tc>
          <w:tcPr>
            <w:tcW w:type="dxa" w:w="1440"/>
            <w:shd w:fill="FAFAFA" w:val="clear"/>
          </w:tcPr>
          <w:p>
            <w:r>
              <w:rPr>
                <w:b/>
                <w:sz w:val="17"/>
              </w:rPr>
              <w:t>15,095</w:t>
            </w:r>
          </w:p>
        </w:tc>
        <w:tc>
          <w:tcPr>
            <w:tcW w:type="dxa" w:w="1440"/>
            <w:shd w:fill="FAFAFA" w:val="clear"/>
          </w:tcPr>
          <w:p>
            <w:r>
              <w:rPr>
                <w:sz w:val="17"/>
              </w:rPr>
              <w:t>16,715</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13,318</w:t>
            </w:r>
          </w:p>
        </w:tc>
        <w:tc>
          <w:tcPr>
            <w:tcW w:type="dxa" w:w="1440"/>
            <w:shd w:fill="FAFAFA" w:val="clear"/>
          </w:tcPr>
          <w:p>
            <w:r>
              <w:rPr>
                <w:b/>
                <w:sz w:val="17"/>
              </w:rPr>
              <w:t>15,092</w:t>
            </w:r>
          </w:p>
        </w:tc>
        <w:tc>
          <w:tcPr>
            <w:tcW w:type="dxa" w:w="1440"/>
            <w:shd w:fill="FAFAFA" w:val="clear"/>
          </w:tcPr>
          <w:p>
            <w:r>
              <w:rPr>
                <w:sz w:val="17"/>
              </w:rPr>
              <w:t>16,866</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13,172</w:t>
            </w:r>
          </w:p>
        </w:tc>
        <w:tc>
          <w:tcPr>
            <w:tcW w:type="dxa" w:w="1440"/>
            <w:shd w:fill="FAFAFA" w:val="clear"/>
          </w:tcPr>
          <w:p>
            <w:r>
              <w:rPr>
                <w:b/>
                <w:sz w:val="17"/>
              </w:rPr>
              <w:t>15,088</w:t>
            </w:r>
          </w:p>
        </w:tc>
        <w:tc>
          <w:tcPr>
            <w:tcW w:type="dxa" w:w="1440"/>
            <w:shd w:fill="FAFAFA" w:val="clear"/>
          </w:tcPr>
          <w:p>
            <w:r>
              <w:rPr>
                <w:sz w:val="17"/>
              </w:rPr>
              <w:t>17,004</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13,037</w:t>
            </w:r>
          </w:p>
        </w:tc>
        <w:tc>
          <w:tcPr>
            <w:tcW w:type="dxa" w:w="1440"/>
            <w:shd w:fill="FAFAFA" w:val="clear"/>
          </w:tcPr>
          <w:p>
            <w:r>
              <w:rPr>
                <w:b/>
                <w:sz w:val="17"/>
              </w:rPr>
              <w:t>15,085</w:t>
            </w:r>
          </w:p>
        </w:tc>
        <w:tc>
          <w:tcPr>
            <w:tcW w:type="dxa" w:w="1440"/>
            <w:shd w:fill="FAFAFA" w:val="clear"/>
          </w:tcPr>
          <w:p>
            <w:r>
              <w:rPr>
                <w:sz w:val="17"/>
              </w:rPr>
              <w:t>17,132</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12,910</w:t>
            </w:r>
          </w:p>
        </w:tc>
        <w:tc>
          <w:tcPr>
            <w:tcW w:type="dxa" w:w="1440"/>
            <w:shd w:fill="FAFAFA" w:val="clear"/>
          </w:tcPr>
          <w:p>
            <w:r>
              <w:rPr>
                <w:b/>
                <w:sz w:val="17"/>
              </w:rPr>
              <w:t>15,081</w:t>
            </w:r>
          </w:p>
        </w:tc>
        <w:tc>
          <w:tcPr>
            <w:tcW w:type="dxa" w:w="1440"/>
            <w:shd w:fill="FAFAFA" w:val="clear"/>
          </w:tcPr>
          <w:p>
            <w:r>
              <w:rPr>
                <w:sz w:val="17"/>
              </w:rPr>
              <w:t>17,252</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12,789</w:t>
            </w:r>
          </w:p>
        </w:tc>
        <w:tc>
          <w:tcPr>
            <w:tcW w:type="dxa" w:w="1440"/>
            <w:shd w:fill="FAFAFA" w:val="clear"/>
          </w:tcPr>
          <w:p>
            <w:r>
              <w:rPr>
                <w:b/>
                <w:sz w:val="17"/>
              </w:rPr>
              <w:t>15,077</w:t>
            </w:r>
          </w:p>
        </w:tc>
        <w:tc>
          <w:tcPr>
            <w:tcW w:type="dxa" w:w="1440"/>
            <w:shd w:fill="FAFAFA" w:val="clear"/>
          </w:tcPr>
          <w:p>
            <w:r>
              <w:rPr>
                <w:sz w:val="17"/>
              </w:rPr>
              <w:t>17,366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Biens de consommation / Agroalimentaire*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328,85 milliards FCFA, Nestlé Côte d'Ivoire s'impose comme l'une des plus importantes capitalisations de la BRVM, ce qui témoigne de son statut de valeur de premier plan dans l'indice BRVM 30. Le BPA de 835 FCFA/action signifie que chaque titre génère un bénéfice net de 835 FCFA, ce qui, rapporté au cours actuel de 14 900 FCFA, donne un PER de 17,8x — un niveau modéré mais supérieur à la moyenne du marché BRVM (généralement comprise entre 8x et 12x), traduisant une prime de qualité consentie par les investisseurs pour cette valeur défensive. Le ratio P/B de 11,11x est particulièrement exigeant (largement supérieur au seuil de 4x), signifiant que le marché valorise l'entreprise à plus de onze fois sa valeur comptable — une prime qui se justifie par la puissance des marques (Nescafé, Maggi, Cerelac) et la rentabilité exceptionnelle des fonds propres (ROE de 62,3%). Enfin, l'EV/EBITDA de 9,0x, situé dans la fourchette raisonnable de 5-10x, indique que la valeur totale de l'entreprise (capitalisation + dette nette) reste cohérente avec sa capacité opérationnelle à générer de l'EBE (46,17 milliards FCFA en 2025), ce qui relativise la cherté apparente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performance remarquable de +27,90%, malgré un léger repli de -0,67% lors de la dernière séance, ce qui porte le cours actuel à 14 900 FCFA pour une capitalisation de 328,85 milliards FCFA. Le range de trading est particulièrement large, avec un plus haut à 18 000 FCFA et un plus bas à 11 150 FCFA, soit une amplitude de 61,4% — ce qui traduit une forte volatilité intra-période et des mouvements directionnels marqués. La tendance générale est donc nettement haussière sur la période, mais le repli récent depuis les sommets suggère une phase de correction ou de consolidation. Les statistiques descriptives révèlent une moyenne de 15 415 FCFA et une médiane de 15 995 FCFA, cet écart de 580 FCFA indiquant une distribution asymétrique avec davantage de séances passées sous la moyenne (cohérent avec le skewness de -0,990, qui signale une asymétrie négative — plus de journées au-dessus de la moyenne, mais avec des baisses plus prononcées). L'écart-type de 1 668 FCFA et le coefficient de variation de 10,8% traduisent une dispersion modérée du cours autour de sa moyenne, tandis que le kurtosis de -0,046 (mésokurtique) indique une distribution proche de la normale, sans risque excessif de pics extrêmes. Enfin, la volatilité annualisée de 37,2% positionne clairement NTLC dans la catégorie des titres à volatilité élevée (&gt;30%), ce qui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16 017,25 FCFA et la MM50 à 16 459,5 FCFA, toutes deux nettement supérieures au cours actuel de 14 900 FCFA. Cette configuration baissière (cours sous les deux moyennes) signale une pression vendeuse persistante et justifie la décision technique de **Vente** émise par cet indicateur.</w:t>
      </w:r>
    </w:p>
    <w:p>
      <w:pPr>
        <w:spacing w:after="120" w:line="276" w:lineRule="auto"/>
      </w:pPr>
      <w:r>
        <w:t>**Bandes de Bollinger** : La borne supérieure est à 17 952,09 FCFA et la borne inférieure à 14 082,41 FCFA, avec un cours actuel de 14 900 FCFA qui se situe dans la partie basse de la bande (à environ 21% de la largeur depuis la borne inférieure). Cette position proche de la borne basse indique une pression baissière, mais la décision reste **Neutre** car le cours n'a pas encore franchi la borne inférieure, laissant place à un possible rebond technique.</w:t>
      </w:r>
    </w:p>
    <w:p>
      <w:pPr>
        <w:spacing w:after="120" w:line="276" w:lineRule="auto"/>
      </w:pPr>
      <w:r>
        <w:t>**MACD** : La valeur du MACD est de -465,31 contre un signal à -362,10, soit une divergence négative (MACD sous son signal) qui confirme un momentum baissier. La décision de **Vente** est cohérente avec cette configuration, le MACD évoluant en territoire négatif et sous sa ligne de signal.</w:t>
      </w:r>
    </w:p>
    <w:p>
      <w:pPr>
        <w:spacing w:after="120" w:line="276" w:lineRule="auto"/>
      </w:pPr>
      <w:r>
        <w:t>**RSI** : Avec une valeur de 23,68, le RSI se situe en zone de **survente** (&lt;30), ce qui déclenche une décision d'**Achat** technique. Ce niveau extrême suggère que le titre pourrait être survendu à court terme et qu'un rebond technique est probable, bien que la tendance de fond reste baissière.</w:t>
      </w:r>
    </w:p>
    <w:p>
      <w:pPr>
        <w:spacing w:after="120" w:line="276" w:lineRule="auto"/>
      </w:pPr>
      <w:r>
        <w:t>**Stochastique** : Le %K est à 16,67 et le %D à 25,0, avec un %K sous le %D — configuration baissière — mais les deux indicateurs se situent en zone de survente (&lt;20 pour le %K), ce qui justifie la décision d'**Achat** en anticipation d'un retournement à la hausse.</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à court terme. Cette configuration contradictoire suggère une phase de consolidation avec un potentiel de rebond limité, mais un risque de poursuite de la baisse si les supports ne tiennent pas. La prudence est de mise, avec une surveillance accrue du niveau de 14 082 FCFA (borne inférieure de Bollinger) comme support critique.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(états financiers annuels) révèlent une entreprise solide mais confrontée à des pressions sur ses marges. En 2025, le chiffre d'affaires s'établit à 233,26 milliards FCFA, en croissance de 5,97% par rapport à 2024, tandis que le résultat net atteint 18,43 milliards FCFA, en légère hausse de 1,53%. La rentabilité des fonds propres (ROE) demeure exceptionnelle à 62,28%, bien au-dessus du seuil de 15% considéré comme excellent, et le ROA de 9,70% confirme une bonne efficacité dans l'utilisation des actifs. Cependant, la structure financière présente des signaux de vigilance : l'autonomie financière n'est que de 15,58% (très en dessous du seuil sain de 30%), le ratio d'endettement atteint 135,85%, et la liquidité générale de 79,86% est inférieure à 1, ce qui indique une capacité limitée à honorer les dettes à court terme avec l'actif circulant. Le BFR de 22,63 milliards FCFA et le fonds de roulement négatif de -24,21 milliards FCFA traduisent un besoin de financement structurel, tandis que les délais clients (74,30 jours) et de stockage (59,39 jours) immobilisent du capital et exposent l'entreprise à un risque de trésorerie. La trésorerie nette est d'ailleurs négative à -46,83 milliards FCFA, ce qui explique la hausse des frais financiers (+25,8% à 7,96 milliards FCFA en 2025).</w:t>
      </w:r>
    </w:p>
    <w:p>
      <w:pPr>
        <w:spacing w:after="120" w:line="276" w:lineRule="auto"/>
      </w:pPr>
      <w:r>
        <w:t>Les rapports trimestriels récents confirment cette dynamique contrastée. Le rapport du T1 2026 (publié en 2026) fait état d'un chiffre d'affaires de 70,82 milliards FCFA, en croissance spectaculaire de +31% par rapport au T1 2025, et d'un résultat net de 7,53 milliards FCFA, en hausse de +37%. La marge nette s'améliore à 10,6% (contre 10,1% au T1 2025), ce qui suggère une meilleure efficacité opérationnelle. Sur la base de ce rapport T1 2026, on peut estimer que l'exercice 2026 devrait afficher une accélération de la croissance du chiffre d'affaires (potentiellement +15% à +20% sur l'année) et une amélioration de la rentabilité nette, sous réserve que les pressions sur les coûts des matières premières (cacao, lait, emballages) restent maîtrisées. Le rapport annuel 2025 (publié en 2026) indique une réduction volontaire du dividende (9,27 milliards FCFA contre 18,10 milliards en 2024), avec un payout ratio ramené à 50,3% contre 99,7% en 2024, signalant une stratégie de réinvestissement et de renforcement des fonds propres — une décision prudente qui pourrait soutenir la croissance future mais décevoir les investisseurs en quête de rendement immédiat.</w:t>
      </w:r>
    </w:p>
    <w:p>
      <w:pPr>
        <w:spacing w:after="120" w:line="276" w:lineRule="auto"/>
      </w:pPr>
      <w:r>
        <w:t>L'évolution temporelle des indicateurs montre une entreprise qui a su traverser une période difficile en 2025 (T1 2025 : CA -11%, S1 2025 : résultat net -23,5%) pour retrouver une dynamique très positive au T1 2026. La recommandation fondamentale est donc **CONSERVER** avec un biais positif : la solidité des marques, la croissance retrouvée et l'amélioration de la marge nette sont des atouts majeurs, mais la structure financière (endettement élevé, trésorerie négative) et la dépendance aux matières premières constituent des risques à surveiller. Les perspectives à moyen terme sont favorables, portées par la dynamique du T1 2026 et les investissements en cours (usines de Yopougon et Zone 4).</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révèle une convergence partielle des signaux, avec des nuances importantes. Sur le plan de la **valorisation (Partie 0)**, le PER de 17,8x et le P/B de 11,11x indiquent une valorisation exigeante, voire surévaluée par rapport aux standards du marché BRVM, bien que l'EV/EBITDA de 9,0x reste raisonnable — ce qui suggère que la prime de qualité est déjà largement intégrée dans le cours. Le **comportement du cours (Partie 1)** est préoccupant à court terme : malgré une performance de +27,90% sur 100 jours, le titre est en correction depuis les sommets de 18 000 FCFA, avec une volatilité élevée (37,2%) et une asymétrie négative (skewness de -0,990) qui indique que les baisses sont plus prononcées que les hausses. Les **signaux techniques (Partie 2)** sont contradictoires : les moyennes mobiles et le MACD sont baissiers, tandis que le RSI (23,68) et le stochastique (16,67) sont en zone de survente et génèrent des signaux d'achat — une configuration qui suggère un rebond technique possible mais fragile. Les **fondamentaux (Partie 3)** sont solides mais contrastés : la croissance du CA (+5,97% en 2025) et l'amélioration de la marge nette au T1 2026 (+10,6%) sont des points positifs, mais l'endettement élevé (135,85%), la trésorerie négative (-46,83 milliards FCFA) et la réduction du dividende (payout à 50,3%) tempèrent l'optimisme. Les **prédictions IA (J+1 à J+10)** anticipent une légère baisse du cours, de 15 137 FCFA à 15 095 FCFA, ce qui contredit les signaux d'achat techniques à court terme et confirme la tendance baissière de fond.</w:t>
      </w:r>
    </w:p>
    <w:p>
      <w:pPr>
        <w:spacing w:after="120" w:line="276" w:lineRule="auto"/>
      </w:pPr>
      <w:r>
        <w:t>Sur la base de cette synthèse globale, la recommandation finale est **CONSERVER**, avec un niveau de confiance **Moyen** et un niveau de risque global **Élevé**. Cette recommandation se justifie par la convergence des signaux fondamentaux (croissance retrouvée, rentabilité exceptionnelle) et des prédictions IA (stabilité relative), mais elle est tempérée par la divergence des signaux techniques (survente vs tendance baissière) et la valorisation exigeante. L'horizon d'investissement optimal est le **moyen terme (3-12 mois)**, le temps que la dynamique du T1 2026 se confirme sur les trimestres suivants et que la structure financière s'améliore. Les investisseurs déjà positionnés sont invités à conserver leurs titres en surveillant les niveaux de support (14 082 FCFA) et les prochaines publications trimestrielles, tandis que les nouveaux entrants devraient attendre une correction plus prononcée ou une confirmation de la reprise technique avant d'investir.</w:t>
      </w:r>
    </w:p>
    <w:p>
      <w:pPr>
        <w:spacing w:after="120" w:line="276" w:lineRule="auto"/>
      </w:pPr>
      <w:r>
        <w:t>---</w:t>
      </w:r>
    </w:p>
    <w:p>
      <w:pPr>
        <w:spacing w:after="120" w:line="276" w:lineRule="auto"/>
      </w:pPr>
      <w:r>
        <w:t>*Rapport généré le 1er octobre 2026 — Sources : BRVM, états financiers NTLC 2025, rapports trimestriels T1 2026, analyses fondamentales DeepSeek/Mistral, prédictions IA.*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5,504 titres</w:t>
            </w:r>
          </w:p>
        </w:tc>
        <w:tc>
          <w:tcPr>
            <w:tcW w:type="dxa" w:w="2268"/>
            <w:shd w:fill="FFF2CC" w:val="clear"/>
          </w:tcPr>
          <w:p>
            <w:r>
              <w:rPr>
                <w:b/>
                <w:color w:val="503200"/>
                <w:sz w:val="16"/>
              </w:rPr>
              <w:t xml:space="preserve">Cours actuel : </w:t>
            </w:r>
            <w:r>
              <w:rPr>
                <w:color w:val="000000"/>
                <w:sz w:val="17"/>
              </w:rPr>
              <w:t>2,935 FCFA</w:t>
            </w:r>
          </w:p>
          <w:p>
            <w:r>
              <w:rPr>
                <w:b/>
                <w:color w:val="503200"/>
                <w:sz w:val="16"/>
              </w:rPr>
              <w:t xml:space="preserve">Var. 100 jours : </w:t>
            </w:r>
            <w:r>
              <w:rPr>
                <w:b/>
                <w:color w:val="007800"/>
                <w:sz w:val="17"/>
              </w:rPr>
              <w:t>+6.34%</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2.84% (Faible) — μ=2,849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β=0.5153 (Défensif) — Cov=0.000036, Var(idx)=0.000070, ρ=0.209,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2,827</w:t>
            </w:r>
          </w:p>
        </w:tc>
        <w:tc>
          <w:tcPr>
            <w:tcW w:type="dxa" w:w="1440"/>
            <w:shd w:fill="FAFAFA" w:val="clear"/>
          </w:tcPr>
          <w:p>
            <w:r>
              <w:rPr>
                <w:b/>
                <w:sz w:val="17"/>
              </w:rPr>
              <w:t>2,928</w:t>
            </w:r>
          </w:p>
        </w:tc>
        <w:tc>
          <w:tcPr>
            <w:tcW w:type="dxa" w:w="1440"/>
            <w:shd w:fill="FAFAFA" w:val="clear"/>
          </w:tcPr>
          <w:p>
            <w:r>
              <w:rPr>
                <w:sz w:val="17"/>
              </w:rPr>
              <w:t>3,029</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2,778</w:t>
            </w:r>
          </w:p>
        </w:tc>
        <w:tc>
          <w:tcPr>
            <w:tcW w:type="dxa" w:w="1440"/>
            <w:shd w:fill="FAFAFA" w:val="clear"/>
          </w:tcPr>
          <w:p>
            <w:r>
              <w:rPr>
                <w:b/>
                <w:sz w:val="17"/>
              </w:rPr>
              <w:t>2,921</w:t>
            </w:r>
          </w:p>
        </w:tc>
        <w:tc>
          <w:tcPr>
            <w:tcW w:type="dxa" w:w="1440"/>
            <w:shd w:fill="FAFAFA" w:val="clear"/>
          </w:tcPr>
          <w:p>
            <w:r>
              <w:rPr>
                <w:sz w:val="17"/>
              </w:rPr>
              <w:t>3,063</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2,740</w:t>
            </w:r>
          </w:p>
        </w:tc>
        <w:tc>
          <w:tcPr>
            <w:tcW w:type="dxa" w:w="1440"/>
            <w:shd w:fill="FAFAFA" w:val="clear"/>
          </w:tcPr>
          <w:p>
            <w:r>
              <w:rPr>
                <w:b/>
                <w:sz w:val="17"/>
              </w:rPr>
              <w:t>2,914</w:t>
            </w:r>
          </w:p>
        </w:tc>
        <w:tc>
          <w:tcPr>
            <w:tcW w:type="dxa" w:w="1440"/>
            <w:shd w:fill="FAFAFA" w:val="clear"/>
          </w:tcPr>
          <w:p>
            <w:r>
              <w:rPr>
                <w:sz w:val="17"/>
              </w:rPr>
              <w:t>3,088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2,706</w:t>
            </w:r>
          </w:p>
        </w:tc>
        <w:tc>
          <w:tcPr>
            <w:tcW w:type="dxa" w:w="1440"/>
            <w:shd w:fill="FAFAFA" w:val="clear"/>
          </w:tcPr>
          <w:p>
            <w:r>
              <w:rPr>
                <w:b/>
                <w:sz w:val="17"/>
              </w:rPr>
              <w:t>2,907</w:t>
            </w:r>
          </w:p>
        </w:tc>
        <w:tc>
          <w:tcPr>
            <w:tcW w:type="dxa" w:w="1440"/>
            <w:shd w:fill="FAFAFA" w:val="clear"/>
          </w:tcPr>
          <w:p>
            <w:r>
              <w:rPr>
                <w:sz w:val="17"/>
              </w:rPr>
              <w:t>3,107</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2,676</w:t>
            </w:r>
          </w:p>
        </w:tc>
        <w:tc>
          <w:tcPr>
            <w:tcW w:type="dxa" w:w="1440"/>
            <w:shd w:fill="FAFAFA" w:val="clear"/>
          </w:tcPr>
          <w:p>
            <w:r>
              <w:rPr>
                <w:b/>
                <w:sz w:val="17"/>
              </w:rPr>
              <w:t>2,900</w:t>
            </w:r>
          </w:p>
        </w:tc>
        <w:tc>
          <w:tcPr>
            <w:tcW w:type="dxa" w:w="1440"/>
            <w:shd w:fill="FAFAFA" w:val="clear"/>
          </w:tcPr>
          <w:p>
            <w:r>
              <w:rPr>
                <w:sz w:val="17"/>
              </w:rPr>
              <w:t>3,123</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2,649</w:t>
            </w:r>
          </w:p>
        </w:tc>
        <w:tc>
          <w:tcPr>
            <w:tcW w:type="dxa" w:w="1440"/>
            <w:shd w:fill="FAFAFA" w:val="clear"/>
          </w:tcPr>
          <w:p>
            <w:r>
              <w:rPr>
                <w:b/>
                <w:sz w:val="17"/>
              </w:rPr>
              <w:t>2,893</w:t>
            </w:r>
          </w:p>
        </w:tc>
        <w:tc>
          <w:tcPr>
            <w:tcW w:type="dxa" w:w="1440"/>
            <w:shd w:fill="FAFAFA" w:val="clear"/>
          </w:tcPr>
          <w:p>
            <w:r>
              <w:rPr>
                <w:sz w:val="17"/>
              </w:rPr>
              <w:t>3,137</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2,623</w:t>
            </w:r>
          </w:p>
        </w:tc>
        <w:tc>
          <w:tcPr>
            <w:tcW w:type="dxa" w:w="1440"/>
            <w:shd w:fill="FAFAFA" w:val="clear"/>
          </w:tcPr>
          <w:p>
            <w:r>
              <w:rPr>
                <w:b/>
                <w:sz w:val="17"/>
              </w:rPr>
              <w:t>2,887</w:t>
            </w:r>
          </w:p>
        </w:tc>
        <w:tc>
          <w:tcPr>
            <w:tcW w:type="dxa" w:w="1440"/>
            <w:shd w:fill="FAFAFA" w:val="clear"/>
          </w:tcPr>
          <w:p>
            <w:r>
              <w:rPr>
                <w:sz w:val="17"/>
              </w:rPr>
              <w:t>3,150</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2,599</w:t>
            </w:r>
          </w:p>
        </w:tc>
        <w:tc>
          <w:tcPr>
            <w:tcW w:type="dxa" w:w="1440"/>
            <w:shd w:fill="FAFAFA" w:val="clear"/>
          </w:tcPr>
          <w:p>
            <w:r>
              <w:rPr>
                <w:b/>
                <w:sz w:val="17"/>
              </w:rPr>
              <w:t>2,880</w:t>
            </w:r>
          </w:p>
        </w:tc>
        <w:tc>
          <w:tcPr>
            <w:tcW w:type="dxa" w:w="1440"/>
            <w:shd w:fill="FAFAFA" w:val="clear"/>
          </w:tcPr>
          <w:p>
            <w:r>
              <w:rPr>
                <w:sz w:val="17"/>
              </w:rPr>
              <w:t>3,161</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2,577</w:t>
            </w:r>
          </w:p>
        </w:tc>
        <w:tc>
          <w:tcPr>
            <w:tcW w:type="dxa" w:w="1440"/>
            <w:shd w:fill="FFDCE0" w:val="clear"/>
          </w:tcPr>
          <w:p>
            <w:r>
              <w:rPr>
                <w:b/>
                <w:sz w:val="17"/>
              </w:rPr>
              <w:t>2,874</w:t>
            </w:r>
          </w:p>
        </w:tc>
        <w:tc>
          <w:tcPr>
            <w:tcW w:type="dxa" w:w="1440"/>
            <w:shd w:fill="FFDCE0" w:val="clear"/>
          </w:tcPr>
          <w:p>
            <w:r>
              <w:rPr>
                <w:sz w:val="17"/>
              </w:rPr>
              <w:t>3,171</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2,555</w:t>
            </w:r>
          </w:p>
        </w:tc>
        <w:tc>
          <w:tcPr>
            <w:tcW w:type="dxa" w:w="1440"/>
            <w:shd w:fill="FFDCE0" w:val="clear"/>
          </w:tcPr>
          <w:p>
            <w:r>
              <w:rPr>
                <w:b/>
                <w:sz w:val="17"/>
              </w:rPr>
              <w:t>2,867</w:t>
            </w:r>
          </w:p>
        </w:tc>
        <w:tc>
          <w:tcPr>
            <w:tcW w:type="dxa" w:w="1440"/>
            <w:shd w:fill="FFDCE0" w:val="clear"/>
          </w:tcPr>
          <w:p>
            <w:r>
              <w:rPr>
                <w:sz w:val="17"/>
              </w:rPr>
              <w:t>3,180</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199,58 milliards FCFA, ONTBF se positionne parmi les valeurs moyennes à grandes de la cote BRVM, loin derrière Sonatel mais devant la plupart des valeurs bancaires régionales. Le BPA de 234 FCFA/action signifie que chaque titre génère près de 234 FCFA de bénéfice net, ce qui, rapporté au cours actuel de 2 935 FCFA, donne un PER de 12,6x — un niveau modéré, légèrement supérieur à la moyenne BRVM (~8-12x), traduisant une prime de qualité pour un leader télécom. Le P/B de 3,47x indique que le marché valorise l'action à plus de trois fois sa valeur comptable, une prime de croissance justifiée par la rentabilité élevée des fonds propres (ROE de 27,6%). Enfin, l'EV/EBITDA de 5,2x situe la valeur totale (capitalisation + dette nette) à un niveau raisonnable face à la capacité opérationnelle, bien en deçà des standards internationaux du secteur télécom (8-12x), ce qui suggère une valorisation attractive sur ce critère.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ONTBF affiche une performance positive de +6,34%, malgré un léger repli de -0,34% lors de la dernière séance, signalant une consolidation après la progression. Le titre a évolué dans un range de 395 FCFA, entre un plus bas de 2 675 FCFA et un plus haut de 3 070 FCFA, avec un cours actuel de 2 935 FCFA positionné dans la partie haute de cette fourchette — signe d'une tendance haussière maîtrisée. Les statistiques descriptives révèlent une moyenne de 2 849 FCFA très proche de la médiane (2 852 FCFA) et du mode (2 800 FCFA), confirmant une distribution symétrique (skewness de -0,055) sans biais directionnel marqué. L'écart-type de 81 FCFA, soit un coefficient de variation de seulement 2,9%, traduit une dispersion très faible du cours, gage de stabilité. Le kurtosis de -0,263 (mésokurtique) indique une distribution proche de la normale, sans risque de pics extrêmes — un profil rassurant pour les investisseurs averses au risque. Enfin, la volatilité annualisée de 32,2% classe le titre dans la catégorie des valeurs à volatilité élevée (&gt;30%), ce qui reste cohérent avec un marché frontière comme la BRVM mais invite à la prudence sur les horizons courts.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(2 891,5 FCFA) et la MM50 (2 884,3 FCFA) se situent toutes deux sous le cours actuel (2 935 FCFA), avec la MM20 légèrement au-dessus de la MM50 — configuration haussière classique. Le croisement doré (MM20 &gt; MM50) confirme la dynamique positive, justifiant la décision d'**Achat**.</w:t>
      </w:r>
    </w:p>
    <w:p>
      <w:pPr>
        <w:spacing w:after="120" w:line="276" w:lineRule="auto"/>
      </w:pPr>
      <w:r>
        <w:t>**Bandes de Bollinger** : Le cours (2 935 FCFA) évolue dans la moitié supérieure de la bande, entre la borne inférieure (2 777,5 FCFA) et la borne supérieure (3 005,5 FCFA), sans franchir cette dernière. Cette position médiane-haute, avec un cours proche de la MM20, traduit une volatilité contenue et une absence de signal extrême, d'où la décision **Neutre**.</w:t>
      </w:r>
    </w:p>
    <w:p>
      <w:pPr>
        <w:spacing w:after="120" w:line="276" w:lineRule="auto"/>
      </w:pPr>
      <w:r>
        <w:t>**MACD** : La ligne MACD (15,211) surpasse nettement son signal (8,399), avec un histogramme positif et en expansion — signe d'un momentum haussier en cours de renforcement. Cette divergence positive confirme la décision d'**Achat**.</w:t>
      </w:r>
    </w:p>
    <w:p>
      <w:pPr>
        <w:spacing w:after="120" w:line="276" w:lineRule="auto"/>
      </w:pPr>
      <w:r>
        <w:t>**RSI** : À 54,815, le RSI se situe dans la zone neutre (30-70), sans approcher la zone de surachat (&gt;70) ni de survente (&lt;30). Cette position équilibrée indique que le titre dispose encore de marge de progression sans risque immédiat de correction, justifiant la décision **Neutre**.</w:t>
      </w:r>
    </w:p>
    <w:p>
      <w:pPr>
        <w:spacing w:after="120" w:line="276" w:lineRule="auto"/>
      </w:pPr>
      <w:r>
        <w:t>**Stochastique** : Le %K (72,917) est légèrement inférieur au %D (76,389), avec les deux lignes en zone haute (&gt;70), proches du seuil de surachat. L'absence de croisement baissier franc et la proximité du seuil critique incitent à la prudence, d'où la décision **Neutre**.</w:t>
      </w:r>
    </w:p>
    <w:p>
      <w:pPr>
        <w:spacing w:after="120" w:line="276" w:lineRule="auto"/>
      </w:pPr>
      <w:r>
        <w:t>**Conclusion technique** : La convergence des signaux haussiers (MM, MACD) et neutres (Bollinger, RSI, Stochastique) dessine un tableau technique modérément positif. Le titre bénéficie d'un momentum favorable mais approche de zones de résistance (borne supérieure de Bollinger à 3 005 FCFA, seuil de surachat stochastique), ce qui suggère une progression mesurée plutôt qu'une accélération.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 Burkina Faso) affiche un chiffre d'affaires de 146,18 milliards FCFA, en hausse de +3,1% sur un an, porté par le FTTH (+33% de parc), l'Internet mobile (+5%) et le Mobile Money (+14%). Le résultat net s'établit à 15,89 milliards FCFA, en net repli de -26% par rapport aux 21,47 milliards de 2024, sous l'effet d'une compression des marges (EBE en baisse de -12% à 56,73 milliards, résultat d'exploitation -24% à 25,67 milliards) liée à la hausse des charges opérationnelles (énergie, maintenance en zones à défi sécuritaire, indemnités de fin d'engagement, sanction ARCEP de 1,543 milliard FCFA). Malgré cette dégradation, la rentabilité reste solide : le ROE atteint 27,6% (excellent, &gt;15%) et le ROA 4,89%, tandis que la marge nette se maintient à 10,87%. La structure financière révèle toutefois des fragilités : l'autonomie financière n'est que de 17,71% (capitaux propres/total bilan), bien en deçà du seuil sain de 30%, et le ratio d'endettement de 186,99% (dettes totales/capitaux propres) traduit une dépendance élevée aux financements externes, avec des dettes financières de 107,6 milliards FCFA. La génération de trésorerie demeure robuste (CAFG de 46,95 milliards, flux opérationnels de 68,49 milliards), mais le Free Cash Flow chute à 1,556 milliard FCFA après un programme d'investissement lourd (-45,22 milliards). Le rapport du T1 2026 (publié le 30 avril 2026) indique un chiffre d'affaires de 37,1 milliards FCFA (+2,7%), un résultat net de 3,577 milliards FCFA (marge nette de 9,6% OHADA) et un taux de marge EBITDA maintenu à 41,3%, avec une base clients de 12,65 millions (+3,3%) — suggérant une stabilisation progressive de la rentabilité. Sur la base de ce T1 2026, on peut estimer que l'exercice 2026 devrait afficher une croissance modérée du CA (~3%) et une légère amélioration du résultat net si les efforts d'optimisation des coûts portent leurs fruits. Le dividende proposé de 166,0816 FCFA/action (145,32 FCFA net, rendement ~5,0% au cours actuel) reste attractif mais représente 70% du bénéfice distribuable, un taux élevé qui pourrait peser sur la trésorerie si la baisse des profits se poursuit. En synthèse, ONTBF présente des fondamentaux contrastés : leader télécom avec une rentabilité des fonds propres exceptionnelle et une génération de cash solide, mais confronté à une érosion de ses marges, un endettement élevé et des risques réglementaires/sécuritaires persistants.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d'investissement équilibré mais prudent. Sur le plan de la **valorisation (Partie 0)**, le PER de 12,6x et l'EV/EBITDA de 5,2x indiquent une valorisation raisonnable, voire légèrement attractive sur le critère opérationnel, bien que le P/B de 3,47x intègre déjà une prime de qualité. Le **comportement du cours (Partie 1)** est favorable : tendance haussière (+6,34%), distribution symétrique (skewness -0,055), faible dispersion (CV 2,9%) et absence de pics extrêmes (kurtosis -0,263), malgré une volatilité annualisée élevée (32,2%). Les **signaux techniques (Partie 2)** convergent modérément à la hausse : MM haussières et MACD positif soutiennent l'achat, tandis que le RSI neutre (54,8) et le stochastique proche du surachat (72,9/76,4) invitent à la prudence sur les niveaux actuels. Les **fondamentaux (Partie 3)** révèlent une entreprise solide mais en transition : ROE exceptionnel (27,6%), génération de cash robuste, mais résultat net en repli de -26% en 2025 et endettement élevé (186,99%). Les **prédictions IA (J+1 à J+10)** anticipent une légère correction vers 2 900-2 928 FCFA, en phase avec la consolidation technique observée. Sur la base de cette convergence — valorisation correcte, technique modérément haussière, fondamentaux résilients mais sous pression, prédictions en légère baisse — la recommandation finale est **CONSERVER**. Cette position se justifie par l'absence de signal de vente fort (les fondamentaux restent solides, le dividende attractif) mais aussi par l'absence de catalyseur haussier immédiat (baisse du résultat net, prédictions baissières à court terme). Le niveau de confiance est **Moyen**, car les signaux sont mitigés entre technique haussier et fondamental en repli. Le niveau de risque global est **Moyen**, pondéré par la volatilité élevée du titre et les incertitudes réglementaires/sécuritaires. L'horizon d'investissement optimal est le **moyen terme (3-12 mois)**, en attendant la confirmation d'une stabilisation de la rentabilité au T2 2026 et l'impact des actions d'optimisation des coûts annoncées par la direction.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3284.29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3,471 titres</w:t>
            </w:r>
          </w:p>
        </w:tc>
        <w:tc>
          <w:tcPr>
            <w:tcW w:type="dxa" w:w="2268"/>
            <w:shd w:fill="FFF2CC" w:val="clear"/>
          </w:tcPr>
          <w:p>
            <w:r>
              <w:rPr>
                <w:b/>
                <w:color w:val="503200"/>
                <w:sz w:val="16"/>
              </w:rPr>
              <w:t xml:space="preserve">Cours actuel : </w:t>
            </w:r>
            <w:r>
              <w:rPr>
                <w:color w:val="000000"/>
                <w:sz w:val="17"/>
              </w:rPr>
              <w:t>21,800 FCFA</w:t>
            </w:r>
          </w:p>
          <w:p>
            <w:r>
              <w:rPr>
                <w:b/>
                <w:color w:val="503200"/>
                <w:sz w:val="16"/>
              </w:rPr>
              <w:t xml:space="preserve">Var. 100 jours : </w:t>
            </w:r>
            <w:r>
              <w:rPr>
                <w:b/>
                <w:color w:val="007800"/>
                <w:sz w:val="17"/>
              </w:rPr>
              <w:t>+46.11%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14,920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13.77% (Moyenne) — μ=17,914 FCFA, σ=2,468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β=1.1953 (Neutre (suit le marché)) — Cov=0.000083, Var(idx)=0.000070, ρ=0.515,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20,751</w:t>
            </w:r>
          </w:p>
        </w:tc>
        <w:tc>
          <w:tcPr>
            <w:tcW w:type="dxa" w:w="1440"/>
            <w:shd w:fill="FAFAFA" w:val="clear"/>
          </w:tcPr>
          <w:p>
            <w:r>
              <w:rPr>
                <w:b/>
                <w:sz w:val="17"/>
              </w:rPr>
              <w:t>21,552</w:t>
            </w:r>
          </w:p>
        </w:tc>
        <w:tc>
          <w:tcPr>
            <w:tcW w:type="dxa" w:w="1440"/>
            <w:shd w:fill="FAFAFA" w:val="clear"/>
          </w:tcPr>
          <w:p>
            <w:r>
              <w:rPr>
                <w:sz w:val="17"/>
              </w:rPr>
              <w:t>22,353</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20,414</w:t>
            </w:r>
          </w:p>
        </w:tc>
        <w:tc>
          <w:tcPr>
            <w:tcW w:type="dxa" w:w="1440"/>
            <w:shd w:fill="FAFAFA" w:val="clear"/>
          </w:tcPr>
          <w:p>
            <w:r>
              <w:rPr>
                <w:b/>
                <w:sz w:val="17"/>
              </w:rPr>
              <w:t>21,546</w:t>
            </w:r>
          </w:p>
        </w:tc>
        <w:tc>
          <w:tcPr>
            <w:tcW w:type="dxa" w:w="1440"/>
            <w:shd w:fill="FAFAFA" w:val="clear"/>
          </w:tcPr>
          <w:p>
            <w:r>
              <w:rPr>
                <w:sz w:val="17"/>
              </w:rPr>
              <w:t>22,678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20,136</w:t>
            </w:r>
          </w:p>
        </w:tc>
        <w:tc>
          <w:tcPr>
            <w:tcW w:type="dxa" w:w="1440"/>
            <w:shd w:fill="FAFAFA" w:val="clear"/>
          </w:tcPr>
          <w:p>
            <w:r>
              <w:rPr>
                <w:b/>
                <w:sz w:val="17"/>
              </w:rPr>
              <w:t>21,521</w:t>
            </w:r>
          </w:p>
        </w:tc>
        <w:tc>
          <w:tcPr>
            <w:tcW w:type="dxa" w:w="1440"/>
            <w:shd w:fill="FAFAFA" w:val="clear"/>
          </w:tcPr>
          <w:p>
            <w:r>
              <w:rPr>
                <w:sz w:val="17"/>
              </w:rPr>
              <w:t>22,907</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19,897</w:t>
            </w:r>
          </w:p>
        </w:tc>
        <w:tc>
          <w:tcPr>
            <w:tcW w:type="dxa" w:w="1440"/>
            <w:shd w:fill="FAFAFA" w:val="clear"/>
          </w:tcPr>
          <w:p>
            <w:r>
              <w:rPr>
                <w:b/>
                <w:sz w:val="17"/>
              </w:rPr>
              <w:t>21,494</w:t>
            </w:r>
          </w:p>
        </w:tc>
        <w:tc>
          <w:tcPr>
            <w:tcW w:type="dxa" w:w="1440"/>
            <w:shd w:fill="FAFAFA" w:val="clear"/>
          </w:tcPr>
          <w:p>
            <w:r>
              <w:rPr>
                <w:sz w:val="17"/>
              </w:rPr>
              <w:t>23,092</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19,684</w:t>
            </w:r>
          </w:p>
        </w:tc>
        <w:tc>
          <w:tcPr>
            <w:tcW w:type="dxa" w:w="1440"/>
            <w:shd w:fill="FAFAFA" w:val="clear"/>
          </w:tcPr>
          <w:p>
            <w:r>
              <w:rPr>
                <w:b/>
                <w:sz w:val="17"/>
              </w:rPr>
              <w:t>21,468</w:t>
            </w:r>
          </w:p>
        </w:tc>
        <w:tc>
          <w:tcPr>
            <w:tcW w:type="dxa" w:w="1440"/>
            <w:shd w:fill="FAFAFA" w:val="clear"/>
          </w:tcPr>
          <w:p>
            <w:r>
              <w:rPr>
                <w:sz w:val="17"/>
              </w:rPr>
              <w:t>23,252</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19,491</w:t>
            </w:r>
          </w:p>
        </w:tc>
        <w:tc>
          <w:tcPr>
            <w:tcW w:type="dxa" w:w="1440"/>
            <w:shd w:fill="FAFAFA" w:val="clear"/>
          </w:tcPr>
          <w:p>
            <w:r>
              <w:rPr>
                <w:b/>
                <w:sz w:val="17"/>
              </w:rPr>
              <w:t>21,442</w:t>
            </w:r>
          </w:p>
        </w:tc>
        <w:tc>
          <w:tcPr>
            <w:tcW w:type="dxa" w:w="1440"/>
            <w:shd w:fill="FAFAFA" w:val="clear"/>
          </w:tcPr>
          <w:p>
            <w:r>
              <w:rPr>
                <w:sz w:val="17"/>
              </w:rPr>
              <w:t>23,394</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19,311</w:t>
            </w:r>
          </w:p>
        </w:tc>
        <w:tc>
          <w:tcPr>
            <w:tcW w:type="dxa" w:w="1440"/>
            <w:shd w:fill="FAFAFA" w:val="clear"/>
          </w:tcPr>
          <w:p>
            <w:r>
              <w:rPr>
                <w:b/>
                <w:sz w:val="17"/>
              </w:rPr>
              <w:t>21,417</w:t>
            </w:r>
          </w:p>
        </w:tc>
        <w:tc>
          <w:tcPr>
            <w:tcW w:type="dxa" w:w="1440"/>
            <w:shd w:fill="FAFAFA" w:val="clear"/>
          </w:tcPr>
          <w:p>
            <w:r>
              <w:rPr>
                <w:sz w:val="17"/>
              </w:rPr>
              <w:t>23,523</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19,144</w:t>
            </w:r>
          </w:p>
        </w:tc>
        <w:tc>
          <w:tcPr>
            <w:tcW w:type="dxa" w:w="1440"/>
            <w:shd w:fill="FAFAFA" w:val="clear"/>
          </w:tcPr>
          <w:p>
            <w:r>
              <w:rPr>
                <w:b/>
                <w:sz w:val="17"/>
              </w:rPr>
              <w:t>21,392</w:t>
            </w:r>
          </w:p>
        </w:tc>
        <w:tc>
          <w:tcPr>
            <w:tcW w:type="dxa" w:w="1440"/>
            <w:shd w:fill="FAFAFA" w:val="clear"/>
          </w:tcPr>
          <w:p>
            <w:r>
              <w:rPr>
                <w:sz w:val="17"/>
              </w:rPr>
              <w:t>23,641</w:t>
            </w:r>
          </w:p>
        </w:tc>
        <w:tc>
          <w:tcPr>
            <w:tcW w:type="dxa" w:w="1440"/>
            <w:shd w:fill="FAFAFA" w:val="clear"/>
          </w:tcPr>
          <w:p>
            <w:r>
              <w:rPr>
                <w:b/>
                <w:color w:val="C00000"/>
                <w:sz w:val="17"/>
              </w:rPr>
              <w:t>-1.9%</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18,986</w:t>
            </w:r>
          </w:p>
        </w:tc>
        <w:tc>
          <w:tcPr>
            <w:tcW w:type="dxa" w:w="1440"/>
            <w:shd w:fill="FAFAFA" w:val="clear"/>
          </w:tcPr>
          <w:p>
            <w:r>
              <w:rPr>
                <w:b/>
                <w:sz w:val="17"/>
              </w:rPr>
              <w:t>21,368</w:t>
            </w:r>
          </w:p>
        </w:tc>
        <w:tc>
          <w:tcPr>
            <w:tcW w:type="dxa" w:w="1440"/>
            <w:shd w:fill="FAFAFA" w:val="clear"/>
          </w:tcPr>
          <w:p>
            <w:r>
              <w:rPr>
                <w:sz w:val="17"/>
              </w:rPr>
              <w:t>23,750</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18,836</w:t>
            </w:r>
          </w:p>
        </w:tc>
        <w:tc>
          <w:tcPr>
            <w:tcW w:type="dxa" w:w="1440"/>
            <w:shd w:fill="FFDCE0" w:val="clear"/>
          </w:tcPr>
          <w:p>
            <w:r>
              <w:rPr>
                <w:b/>
                <w:sz w:val="17"/>
              </w:rPr>
              <w:t>21,344</w:t>
            </w:r>
          </w:p>
        </w:tc>
        <w:tc>
          <w:tcPr>
            <w:tcW w:type="dxa" w:w="1440"/>
            <w:shd w:fill="FFDCE0" w:val="clear"/>
          </w:tcPr>
          <w:p>
            <w:r>
              <w:rPr>
                <w:sz w:val="17"/>
              </w:rPr>
              <w:t>23,852</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ORANGE CÔTE D'IVOIRE (ORAC)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3 284,29 milliards FCFA, ORAC s'impose comme l'une des toutes premières capitalisations de la BRVM, représentant à elle seule plus du quart de la capitalisation totale du marché régional — un statut de valeur phare incontestable. Le BPA de 1 114 FCFA par action signifie que chaque titre génère un bénéfice net de plus de mille francs, ce qui, rapporté au cours actuel de 21 800 FCFA, aboutit à un PER de 19,6x. Ce niveau, nettement supérieur à la moyenne du marché BRVM (généralement comprise entre 8 et 12x), traduit une prime de qualité que les investisseurs acceptent de payer pour un leader télécom en forte croissance, mais qui laisse peu de marge d'erreur en cas de déception. Le P/B de 4,64x confirme cette valorisation exigeante : le marché valorise ORAC à plus de quatre fois ses fonds propres comptables (707,8 milliards FCFA), ce qui est cohérent avec un ROE élevé de 23,7% mais expose le titre à une correction si la rentabilité venait à fléchir. Enfin, l'EV/EBITDA de 7,8x, situé dans la fourchette raisonnable de 5-10x, indique que la valeur d'entreprise reste correctement proportionnée à la capacité opérationnelle de génération de cash-flows, offrant un contrepoids rassurant à la cherté apparente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spectaculaire de +46,11%, portée par une dernière séance encore positive de +1,40%, ce qui témoigne d'un momentum haussier toujours intact à court terme. Le titre a évolué dans un range très large, entre un plus bas de 14 920 FCFA et un plus haut de 22 500 FCFA, soit une amplitude de plus de 50%, avant de se stabiliser autour du cours actuel de 21 800 FCFA, proche du sommet de sa fourchette. La tendance générale est donc clairement haussière, soutenue par des fondamentaux solides et un intérêt marqué des investisseurs pour les valeurs télécoms de la zone UEMOA. Les statistiques descriptives révèlent une distribution asymétrique : la moyenne (17 914 FCFA) est supérieure à la médiane (16 725 FCFA), et le mode se situe à 16 000 FCFA, ce qui confirme un skewness positif de 0,708 — autrement dit, davantage de journées se sont négociées sous la moyenne, avec quelques séances exceptionnellement haussières tirant la moyenne vers le haut. L'écart-type de 2 480 FCFA, correspondant à un coefficient de variation de 13,8%, indique une dispersion modérée du cours autour de sa tendance, tandis que le kurtosis négatif (-1,175, distribution platykurtique) signale une faible concentration des rendements et un risque de pics extrêmes relativement limité. Avec une volatilité annualisée de 30,5%, ORAC se situe à la frontière haute de la catégorie "modérée", ce qui reste acceptable pour une valeur de croissance mais impose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21 705,75 FCFA et la MM50 à 19 806,0 FCFA, toutes deux inférieures au cours actuel de 21 800 FCFA, ce qui place le titre en position haussière sur les deux horizons. L'écart positif entre la MM20 et la MM50 (environ 1 900 FCFA) confirme une dynamique ascendante bien établie, justifiant la décision technique d'**Achat**.</w:t>
      </w:r>
    </w:p>
    <w:p>
      <w:pPr>
        <w:spacing w:after="120" w:line="276" w:lineRule="auto"/>
      </w:pPr>
      <w:r>
        <w:t>**Bandes de Bollinger** — Le cours (21 800 FCFA) évolue dans la partie supérieure du canal, entre la borne inférieure (20 439,62 FCFA) et la borne supérieure (22 971,88 FCFA), sans toutefois la franchir. Cette position médiane-haute, couplée à un resserrement relatif des bandes, traduit une volatilité contenue et une décision **Neutre** : le titre n'est ni en situation de surchauffe, ni en zone de rebond technique.</w:t>
      </w:r>
    </w:p>
    <w:p>
      <w:pPr>
        <w:spacing w:after="120" w:line="276" w:lineRule="auto"/>
      </w:pPr>
      <w:r>
        <w:t>**MACD** — La ligne MACD (394,0) est inférieure à sa ligne de signal (544,048), générant un croisement baissier qui pèse sur le momentum de court terme. Cette configuration, bien que le MACD reste en territoire positif, justifie la décision de **Vente** technique et suggère une possible consolidation avant une nouvelle impulsion haussière.</w:t>
      </w:r>
    </w:p>
    <w:p>
      <w:pPr>
        <w:spacing w:after="120" w:line="276" w:lineRule="auto"/>
      </w:pPr>
      <w:r>
        <w:t>**RSI** — À 42,729, le RSI se situe dans la zone neutre (30-70), légèrement en dessous du seuil médian de 50, ce qui indique un équilibre entre acheteurs et vendeurs sans pression extrême. La décision **Neutre** est cohérente : ni surachat (&gt;70) ni survente (&lt;30), le titre dispose d'un potentiel de rebond comme de repli.</w:t>
      </w:r>
    </w:p>
    <w:p>
      <w:pPr>
        <w:spacing w:after="120" w:line="276" w:lineRule="auto"/>
      </w:pPr>
      <w:r>
        <w:t>**Stochastique** — Le %K (66,667) est supérieur au %D (61,984), avec un croisement récent à la hausse qui suggère une reprise du momentum acheteur. Toutefois, les deux courbes restent sous le seuil de 80, maintenant la décision **Neutre** : le signal est constructif mais pas encore suffisamment fort pour déclencher un achat agressif.</w:t>
      </w:r>
    </w:p>
    <w:p>
      <w:pPr>
        <w:spacing w:after="120" w:line="276" w:lineRule="auto"/>
      </w:pPr>
      <w:r>
        <w:t>**Conclusion technique** — Les indicateurs techniques présentent un tableau mitigé : les moyennes mobiles confirment la tendance haussière de fond, mais le MACD baissier et le RSI neutre-bas suggèrent une consolidation à court terme. Le stochastique haussier et la position du cours dans les bandes de Bollinger offrent un léger biais positif, mais l'absence de convergence forte entre les signaux invite à la prudence. La configuration globale plaide pour un **attentisme actif**, avec un avantage aux acheteurs sur le moyen terme.</w:t>
      </w:r>
    </w:p>
    <w:p>
      <w:pPr>
        <w:spacing w:after="120" w:line="276" w:lineRule="auto"/>
      </w:pPr>
      <w:r>
        <w:t>---</w:t>
      </w:r>
    </w:p>
    <w:p>
      <w:pPr>
        <w:spacing w:after="120" w:line="276" w:lineRule="auto"/>
      </w:pPr>
      <w:r>
        <w:t>## PARTIE 3 : ANALYSE FONDAMENTALE</w:t>
      </w:r>
    </w:p>
    <w:p>
      <w:pPr>
        <w:spacing w:after="120" w:line="276" w:lineRule="auto"/>
      </w:pPr>
      <w:r>
        <w:t>En 2025, Orange Côte d'Ivoire a réalisé un chiffre d'affaires consolidé de 1 197,1 milliards FCFA, en progression de +10,4% par rapport à 2024 (1 084,1 milliards FCFA), confirmant la vigueur de sa dynamique commerciale portée par les trois filiales (Côte d'Ivoire, Burkina Faso, Libéria). Le résultat net consolidé s'établit à 167,8 milliards FCFA (+6,1%), tandis que le résultat net part du groupe atteint 129,1 milliards FCFA (+14,5%), et la marge nette ressort à 14,0% (contre 14,6% en 2024), traduisant une légère érosion sous l'effet de la pression fiscale et réglementaire. Les ratios de rentabilité demeurent excellents : le ROE de 23,7% dépasse largement le seuil de 15% considéré comme "excellent", et le ROA de 6,57% reflète une utilisation efficace de l'actif total (2 554,1 milliards FCFA). Sur le plan de la structure financière, l'autonomie financière de 27,7% reste légèrement en dessous du seuil de 30% considéré comme sain, mais la solvabilité générale de 138,3% et la couverture des intérêts de 1 018,4% témoignent d'une capacité de remboursement très confortable (0,99 an de dettes financières / CAF). L'analyse du besoin en fonds de roulement révèle un BFR négatif de -198,0 milliards FCFA — un signal favorable pour une entreprise non bancaire — soutenu par un délai fournisseurs élevé de 210,87 jours qui finance l'exploitation, tandis que le délai clients de 52,26 jours et la durée de stockage de 19,64 jours restent maîtrisés. Les rapports trimestriels récents confirment cette trajectoire : le T1 2026 (publié le 31 mars 2026) affiche un chiffre d'affaires de 325,6 milliards FCFA (+14,8%) et un résultat net de 48,3 milliards FCFA (+25,2%), avec une marge nette en amélioration à 14,8% — on estime donc que l'exercice 2026 devrait dépasser les 1 300 milliards FCFA de CA et approcher les 190 milliards FCFA de résultat net consolidé si la dynamique se maintient. Le dividende proposé de 800 FCFA brut par action (720 FCFA net pour les personnes morales, 704 FCFA pour les personnes physiques), prélevé sur le report à nouveau, offre un rendement attractif d'environ 3,7% au cours actuel, bien qu'en baisse par rapport au DPA implicite de 1 278 FCFA versé en 2025 — la direction privilégiant le financement des investissements (184,2 milliards FCFA de CAPEX en 2025) pour soutenir la croissance future. Au final, les fondamentaux d'ORAC demeurent **solides et résilients**, avec une croissance à deux chiffres, une rentabilité élevée et une structure financière maîtrisée, mais les points de vigilance (pression sur les marges, hausse des charges financières, baisse du dividende) justifient une recommandation fondamentale de **CONSERVER**, en attendant la confirmation d'une amélioration durable de la profitabilité.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le plan de la **valorisation**, le PER de 19,6x et le P/B de 4,64x indiquent une surévaluation relative par rapport à la moyenne du marché BRVM, tempérée par un EV/EBITDA raisonnable de 7,8x et un ROE de 23,7% qui justifie une prime de qualité. Le **comportement du cours** est nettement haussier (+46,11% sur 100 jours), avec une volatilité modérée (30,5%) et des statistiques rassurantes (kurtosis négatif, skewness positif modéré), bien que la proximité du plus haut (22 500 FCFA) invite à la prudence. Les **signaux techniques** sont mitigés : les moyennes mobiles confirment la tendance haussière, mais le MACD baissier et le RSI neutre-bas suggèrent une consolidation à court terme, sans divergence majeure entre les indicateurs. Les **fondamentaux** restent solides (CA +10,4%, résultat net +14,5%, ROE 23,7%, BFR négatif), avec des estimations T1 2026 très encourageantes (+14,8% de CA, +25,2% de résultat net) qui pourraient soutenir une révision à la hausse des bénéfices. Les **prédictions IA** pour les 10 prochains jours (21552, 21546, 21521, 21494, 21468 FCFA) anticipent une légère consolidation baissière d'environ -1,5% depuis le cours actuel, ce qui contredit partiellement le momentum haussier récent mais s'aligne sur le signal baissier du MACD. Sur la base de cette synthèse globale, la recommandation finale est **CONSERVER**, avec un niveau de confiance **Moyen** et un risque global **Moyen**. En effet, la convergence entre fondamentaux solides et valorisation exigeante, couplée à des signaux techniques mitigés et à des prédictions de court terme baissières, ne justifie pas un achat agressif à ce niveau de prix, mais ne remet pas en cause la qualité intrinsèque du titre. L'horizon d'investissement optimal est le **moyen terme (3-12 mois)**, en attendant une clarification technique (franchissement du MACD au-dessus de son signal) et une confirmation de l'amélioration des marges au T2 2026, qui pourraient alors justifier un passage à l'**ACHAT**.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5,116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+17.65%</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8.51% (Moyenne) — μ=2,888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β=0.6619 (Défensif) — Cov=0.000046, Var(idx)=0.000070, ρ=0.228,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2,836</w:t>
            </w:r>
          </w:p>
        </w:tc>
        <w:tc>
          <w:tcPr>
            <w:tcW w:type="dxa" w:w="1440"/>
            <w:shd w:fill="FAFAFA" w:val="clear"/>
          </w:tcPr>
          <w:p>
            <w:r>
              <w:rPr>
                <w:b/>
                <w:sz w:val="17"/>
              </w:rPr>
              <w:t>2,963</w:t>
            </w:r>
          </w:p>
        </w:tc>
        <w:tc>
          <w:tcPr>
            <w:tcW w:type="dxa" w:w="1440"/>
            <w:shd w:fill="FAFAFA" w:val="clear"/>
          </w:tcPr>
          <w:p>
            <w:r>
              <w:rPr>
                <w:sz w:val="17"/>
              </w:rPr>
              <w:t>3,090</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2,783</w:t>
            </w:r>
          </w:p>
        </w:tc>
        <w:tc>
          <w:tcPr>
            <w:tcW w:type="dxa" w:w="1440"/>
            <w:shd w:fill="FAFAFA" w:val="clear"/>
          </w:tcPr>
          <w:p>
            <w:r>
              <w:rPr>
                <w:b/>
                <w:sz w:val="17"/>
              </w:rPr>
              <w:t>2,962</w:t>
            </w:r>
          </w:p>
        </w:tc>
        <w:tc>
          <w:tcPr>
            <w:tcW w:type="dxa" w:w="1440"/>
            <w:shd w:fill="FAFAFA" w:val="clear"/>
          </w:tcPr>
          <w:p>
            <w:r>
              <w:rPr>
                <w:sz w:val="17"/>
              </w:rPr>
              <w:t>3,142</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2,739</w:t>
            </w:r>
          </w:p>
        </w:tc>
        <w:tc>
          <w:tcPr>
            <w:tcW w:type="dxa" w:w="1440"/>
            <w:shd w:fill="FAFAFA" w:val="clear"/>
          </w:tcPr>
          <w:p>
            <w:r>
              <w:rPr>
                <w:b/>
                <w:sz w:val="17"/>
              </w:rPr>
              <w:t>2,958</w:t>
            </w:r>
          </w:p>
        </w:tc>
        <w:tc>
          <w:tcPr>
            <w:tcW w:type="dxa" w:w="1440"/>
            <w:shd w:fill="FAFAFA" w:val="clear"/>
          </w:tcPr>
          <w:p>
            <w:r>
              <w:rPr>
                <w:sz w:val="17"/>
              </w:rPr>
              <w:t>3,178</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2,701</w:t>
            </w:r>
          </w:p>
        </w:tc>
        <w:tc>
          <w:tcPr>
            <w:tcW w:type="dxa" w:w="1440"/>
            <w:shd w:fill="FAFAFA" w:val="clear"/>
          </w:tcPr>
          <w:p>
            <w:r>
              <w:rPr>
                <w:b/>
                <w:sz w:val="17"/>
              </w:rPr>
              <w:t>2,954</w:t>
            </w:r>
          </w:p>
        </w:tc>
        <w:tc>
          <w:tcPr>
            <w:tcW w:type="dxa" w:w="1440"/>
            <w:shd w:fill="FAFAFA" w:val="clear"/>
          </w:tcPr>
          <w:p>
            <w:r>
              <w:rPr>
                <w:sz w:val="17"/>
              </w:rPr>
              <w:t>3,207</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2,668</w:t>
            </w:r>
          </w:p>
        </w:tc>
        <w:tc>
          <w:tcPr>
            <w:tcW w:type="dxa" w:w="1440"/>
            <w:shd w:fill="FAFAFA" w:val="clear"/>
          </w:tcPr>
          <w:p>
            <w:r>
              <w:rPr>
                <w:b/>
                <w:sz w:val="17"/>
              </w:rPr>
              <w:t>2,950</w:t>
            </w:r>
          </w:p>
        </w:tc>
        <w:tc>
          <w:tcPr>
            <w:tcW w:type="dxa" w:w="1440"/>
            <w:shd w:fill="FAFAFA" w:val="clear"/>
          </w:tcPr>
          <w:p>
            <w:r>
              <w:rPr>
                <w:sz w:val="17"/>
              </w:rPr>
              <w:t>3,233</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2,638</w:t>
            </w:r>
          </w:p>
        </w:tc>
        <w:tc>
          <w:tcPr>
            <w:tcW w:type="dxa" w:w="1440"/>
            <w:shd w:fill="FAFAFA" w:val="clear"/>
          </w:tcPr>
          <w:p>
            <w:r>
              <w:rPr>
                <w:b/>
                <w:sz w:val="17"/>
              </w:rPr>
              <w:t>2,947</w:t>
            </w:r>
          </w:p>
        </w:tc>
        <w:tc>
          <w:tcPr>
            <w:tcW w:type="dxa" w:w="1440"/>
            <w:shd w:fill="FAFAFA" w:val="clear"/>
          </w:tcPr>
          <w:p>
            <w:r>
              <w:rPr>
                <w:sz w:val="17"/>
              </w:rPr>
              <w:t>3,256</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2,610</w:t>
            </w:r>
          </w:p>
        </w:tc>
        <w:tc>
          <w:tcPr>
            <w:tcW w:type="dxa" w:w="1440"/>
            <w:shd w:fill="FAFAFA" w:val="clear"/>
          </w:tcPr>
          <w:p>
            <w:r>
              <w:rPr>
                <w:b/>
                <w:sz w:val="17"/>
              </w:rPr>
              <w:t>2,943</w:t>
            </w:r>
          </w:p>
        </w:tc>
        <w:tc>
          <w:tcPr>
            <w:tcW w:type="dxa" w:w="1440"/>
            <w:shd w:fill="FAFAFA" w:val="clear"/>
          </w:tcPr>
          <w:p>
            <w:r>
              <w:rPr>
                <w:sz w:val="17"/>
              </w:rPr>
              <w:t>3,276</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2,584</w:t>
            </w:r>
          </w:p>
        </w:tc>
        <w:tc>
          <w:tcPr>
            <w:tcW w:type="dxa" w:w="1440"/>
            <w:shd w:fill="FFDCE0" w:val="clear"/>
          </w:tcPr>
          <w:p>
            <w:r>
              <w:rPr>
                <w:b/>
                <w:sz w:val="17"/>
              </w:rPr>
              <w:t>2,939</w:t>
            </w:r>
          </w:p>
        </w:tc>
        <w:tc>
          <w:tcPr>
            <w:tcW w:type="dxa" w:w="1440"/>
            <w:shd w:fill="FFDCE0" w:val="clear"/>
          </w:tcPr>
          <w:p>
            <w:r>
              <w:rPr>
                <w:sz w:val="17"/>
              </w:rPr>
              <w:t>3,295</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2,559</w:t>
            </w:r>
          </w:p>
        </w:tc>
        <w:tc>
          <w:tcPr>
            <w:tcW w:type="dxa" w:w="1440"/>
            <w:shd w:fill="FFDCE0" w:val="clear"/>
          </w:tcPr>
          <w:p>
            <w:r>
              <w:rPr>
                <w:b/>
                <w:sz w:val="17"/>
              </w:rPr>
              <w:t>2,936</w:t>
            </w:r>
          </w:p>
        </w:tc>
        <w:tc>
          <w:tcPr>
            <w:tcW w:type="dxa" w:w="1440"/>
            <w:shd w:fill="FFDCE0" w:val="clear"/>
          </w:tcPr>
          <w:p>
            <w:r>
              <w:rPr>
                <w:sz w:val="17"/>
              </w:rPr>
              <w:t>3,313</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2,536</w:t>
            </w:r>
          </w:p>
        </w:tc>
        <w:tc>
          <w:tcPr>
            <w:tcW w:type="dxa" w:w="1440"/>
            <w:shd w:fill="FFDCE0" w:val="clear"/>
          </w:tcPr>
          <w:p>
            <w:r>
              <w:rPr>
                <w:b/>
                <w:sz w:val="17"/>
              </w:rPr>
              <w:t>2,933</w:t>
            </w:r>
          </w:p>
        </w:tc>
        <w:tc>
          <w:tcPr>
            <w:tcW w:type="dxa" w:w="1440"/>
            <w:shd w:fill="FFDCE0" w:val="clear"/>
          </w:tcPr>
          <w:p>
            <w:r>
              <w:rPr>
                <w:sz w:val="17"/>
              </w:rPr>
              <w:t>3,330</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ORAGROUP (ORGT)</w:t>
        <w:br/>
        <w:t>### 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se positionne comme une valeur de premier plan de la cote BRVM, reflétant l'importance systémique du groupe bancaire panafricain dans la zone UEMOA. Le BPA de 312 FCFA/action signifie que chaque titre génère un bénéfice net de 312 FCFA, ce qui, rapporté au cours actuel de 3 000 FCFA, donne un PER de 9,6x — un niveau modéré et légèrement inférieur à la moyenne du marché BRVM (8-12x), suggérant une valorisation raisonnable voire une légère sous-évaluation au regard des bénéfices. Le ratio P/B de 1,84x indique que le marché valorise l'action à près du double de sa valeur comptable (capitaux propres de 113,165 Mds FCFA), ce qui traduit une prime de qualité justifiée par le redressement spectaculaire de la rentabilité (ROE de 19,1%). En revanche, l'EV/EBITDA de 19,7x apparaît très exigeant (&gt;15x), signalant que la valeur d'entreprise intègre déjà une forte anticipation de croissance opérationnelle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performance remarquable de **+17,65%**, avec une accélération notable de **+3,45%** sur la seule séance J-1, confirmant un momentum haussier de court terme. Le titre a évolué dans un range de 965 FCFA, entre un plus bas de 2 435 FCFA et un plus haut de 3 400 FCFA, pour un cours actuel de 3 000 FCFA — soit à mi-chemin du range, ce qui suggère une phase de consolidation après le rallye. La tendance générale est donc clairement haussière, portée par le retour à la rentabilité du groupe et l'amélioration de la qualité des actifs. Les statistiques descriptives révèlent une **moyenne (2 888 FCFA) supérieure à la médiane (2 790 FCFA)**, avec un skewness de +0,300 indiquant une distribution légèrement asymétrique à droite — les pics de hausse tirent la moyenne vers le haut. L'écart-type de 247 FCFA (CV de 8,5%) traduit une dispersion modérée du cours, tandis que le kurtosis de -1,210 (distribution platykurtique) signale une **faible concentration des rendements et un risque de pics extrêmes limité** — un profil rassurant pour la gestion du risque. La volatilité annualisée de 38,7% classe le titre dans la catégorie **élevée (&gt;30%)**, ce qui est cohérent avec une valeur de redressement en phase de re-rating.</w:t>
      </w:r>
    </w:p>
    <w:p>
      <w:pPr>
        <w:spacing w:after="120" w:line="276" w:lineRule="auto"/>
      </w:pPr>
      <w:r>
        <w:t>---</w:t>
      </w:r>
    </w:p>
    <w:p>
      <w:pPr>
        <w:spacing w:after="120" w:line="276" w:lineRule="auto"/>
      </w:pPr>
      <w:r>
        <w:t>## PARTIE 2 : ANALYSE TECHNIQUE DÉTAILLÉE</w:t>
      </w:r>
    </w:p>
    <w:p>
      <w:pPr>
        <w:spacing w:after="120" w:line="276" w:lineRule="auto"/>
      </w:pPr>
      <w:r>
        <w:t>**Moyennes Mobiles** : La MM20 (3 146,5 FCFA) et la MM50 (3 090,0 FCFA) se situent toutes deux **au-dessus du cours actuel** (3 000 FCFA), ce qui place le titre en position de faiblesse relative à court terme. Toutefois, la MM20 &gt; MM50 indique une structure haussière de fond, et la décision fournie est **Achat** — le croisement des moyennes reste favorable malgré la correction actuelle.</w:t>
      </w:r>
    </w:p>
    <w:p>
      <w:pPr>
        <w:spacing w:after="120" w:line="276" w:lineRule="auto"/>
      </w:pPr>
      <w:r>
        <w:t>**Bandes de Bollinger** : Le cours (3 000 FCFA) évolue dans la partie médiane de la bande, entre la borne inférieure (2 787,96 FCFA) et la borne supérieure (3 505,04 FCFA). La décision est **Neutre**, ce qui reflète l'absence de signal extrême : le titre n'est ni en surachat (proche borne sup) ni en survente (proche borne inf), et la volatilité implicite reste contenue.</w:t>
      </w:r>
    </w:p>
    <w:p>
      <w:pPr>
        <w:spacing w:after="120" w:line="276" w:lineRule="auto"/>
      </w:pPr>
      <w:r>
        <w:t>**MACD** : La valeur du MACD (-49,105) est **inférieure à son signal (-19,342)**, générant un histogramme négatif et une décision **Vente**. Ce croisement baissier indique un momentum négatif de court terme, en contradiction avec la tendance de fond — un signal de prudence qui suggère une possible poursuite de la consolidation.</w:t>
      </w:r>
    </w:p>
    <w:p>
      <w:pPr>
        <w:spacing w:after="120" w:line="276" w:lineRule="auto"/>
      </w:pPr>
      <w:r>
        <w:t>**RSI** : À 40,889, le RSI se situe en **zone neutre basse** (30-70), sans signal de survente (&lt;30) ni de surachat (&gt;70). La décision est **Neutre** : le titre dispose d'un potentiel de rebond mais manque de catalyseur technique immédiat.</w:t>
      </w:r>
    </w:p>
    <w:p>
      <w:pPr>
        <w:spacing w:after="120" w:line="276" w:lineRule="auto"/>
      </w:pPr>
      <w:r>
        <w:t>**Stochastique** : Le %K (40,404) est **supérieur au %D (33,535)**, avec un croisement récent potentiellement haussier. La décision reste **Neutre**, mais la configuration suggère une possible inflexion positive si le %K franchit durablement le %D.</w:t>
      </w:r>
    </w:p>
    <w:p>
      <w:pPr>
        <w:spacing w:after="120" w:line="276" w:lineRule="auto"/>
      </w:pPr>
      <w:r>
        <w:t>**Conclusion technique** : Les indicateurs sont **mitigés et divergents** — les moyennes mobiles et le stochastique penchent pour un rebond, tandis que le MACD signale une pression baissière persistante. Le RSI et les Bollinger confirment une phase de consolidation neutre. Dans l'ensemble, le titre se trouve à un **point d'inflexion technique** : la convergence des signaux nécessite une confirmation par le franchissement de la MM20 (3 146 FCFA) pour valider un retour haussier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 réalisé un **Produit Net Bancaire (PNB) de 186,609 Mds FCFA**, en recul de -4,52% par rapport à 2024 (195,436 Mds FCFA), reflétant une contraction volontaire de l'activité de crédit (-12% du portefeuille) dans le cadre de sa stratégie d'assainissement. Le **résultat net consolidé s'établit à 21,643 Mds FCFA**, marquant un redressement spectaculaire après la perte de -44,363 Mds FCFA en 2024 (+149%). Cette performance est portée par une **réduction drastique du coût net du risque (-90%, à -6,971 Mds FCFA)** et une baisse des frais généraux de -12%. Le **ROE atteint 19,13%** (&gt;15% = excellent), le **ROA est de 0,54%**, et le **coefficient d'exploitation de 42,85%** (&lt;60% = banque efficace, &lt;50% = excellente), confirmant la qualité de la gestion opérationnelle. Le **coût du risque/charges financières de 3,74%** reste contenu, témoignant d'un portefeuille de crédit assaini. La structure bilancielle affiche des **dépôts clientèle de 3 088,698 Mds FCFA** (principale ressource) contre des **créances clientèle de 1 523,765 Mds FCFA**, soit un ratio de transformation de 49,3% — une marge de progression importante pour la relance de l'activité. Les **capitaux propres se renforcent à 113,165 Mds FCFA (+17%)**, améliorant la solvabilité.</w:t>
      </w:r>
    </w:p>
    <w:p>
      <w:pPr>
        <w:spacing w:after="120" w:line="276" w:lineRule="auto"/>
      </w:pPr>
      <w:r>
        <w:t>**Estimations basées sur les rapports trimestriels** : Le rapport **T1 2026 (publié en 2026)** indique un PNB de 50,124 Mds FCFA (-2%) mais un **résultat net en hausse de +37% à 6,555 Mds FCFA**, avec des dépôts clientèle en progression de +14% à 3 343,025 Mds FCFA et une baisse des frais généraux de -44%. Sur cette base, on estime que l'exercice 2026 devrait confirmer la **consolidation du redressement**, avec un résultat net annualisé potentiellement supérieur à 25 Mds FCFA si la dynamique se poursuit. Le rapport **T3 2025 (30/09/2025)** confirmait déjà un résultat net de 19,604 Mds FCFA (+248%) et une marge nette de 12,8%. Le rapport **S1 2025 (30/06/2025)** affichait un bénéfice net de 18,3 Mds FCFA (+232%) et un RBE en hausse de +129%. **Cependant**, l'absence de dividende (confirmée par l'avis de convocation à l'AG du 23/07/2026) et la perte nette sociale de -8,04 Mds FCFA au niveau de la holding constituent des points de vigilance.</w:t>
      </w:r>
    </w:p>
    <w:p>
      <w:pPr>
        <w:spacing w:after="120" w:line="276" w:lineRule="auto"/>
      </w:pPr>
      <w:r>
        <w:t>**Recommandation fondamentale** : La solidité financière est **avérée** (ROE excellent, coefficient d'exploitation maîtrisé, capitaux propres renforcés), mais la **faiblesse du PNB** et l'absence de dividende tempèrent l'enthousiasme. La stratégie de redressement porte ses fruits, mais la **relance de la croissance commerciale** reste le défi majeur pour 2026-2027.</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modérée — PER de 9,6x légèrement sous la moyenne du marché, P/B de 1,84x raisonnable, mais EV/EBITDA de 19,7x exigeant. Le **comportement du cours (Partie 1)** est haussier (+17,65% sur 100 jours) avec une volatilité élevée (38,7%) mais une distribution platykurtique (risque de pics limité) et un skewness positif — un profil favorable malgré la correction récente. Les **signaux techniques (Partie 2)** sont **divergents** : MM haussières et stochastique positif contre MACD baissier et RSI neutre, suggérant une consolidation en cours. Les **fondamentaux (Partie 3)** sont **solides** : ROE de 19,1%, coefficient d'exploitation de 42,85%, retour à la rentabilité confirmé par les rapports T1 2026 (+37% de résultat net) et T3 2025 (+248%). Les **prédictions IA (J+1 à J+10)** anticipent une **légère baisse** (2 963 → 2 950 FCFA), confirmant la phase de consolidation technique sans remettre en cause la tendance de fond.</w:t>
      </w:r>
    </w:p>
    <w:p>
      <w:pPr>
        <w:spacing w:after="120" w:line="276" w:lineRule="auto"/>
      </w:pPr>
      <w:r>
        <w:t>**Recommandation finale** : **CONSERVER** — avec un biais positif à moyen terme. La convergence entre la **sous-évaluation relative** (PER 9,6x), la **solidité fondamentale** (ROE 19,1%, redressement confirmé) et la **tendance haussière de fond** (+17,65%) soutient une perspective favorable, mais la **divergence technique** (MACD baissier) et l'**absence de dividende** justifient la prudence à court terme. Un **ACHAT** serait justifié si le cours franchit la MM20 (3 146 FCFA) avec confirmation du MACD.</w:t>
      </w:r>
    </w:p>
    <w:p>
      <w:pPr>
        <w:spacing w:after="120" w:line="276" w:lineRule="auto"/>
      </w:pPr>
      <w:r>
        <w:t>- **Niveau de confiance** : **Moyen** (fondamentaux solides mais technique incertaine)</w:t>
        <w:br/>
        <w:t>- **Niveau de risque global** : **Moyen** (volatilité élevée mais distribution des rendements favorable)</w:t>
        <w:br/>
        <w:t>- **Horizon d'investissement optimal** : **Moyen terme (3-12 mois)** — le temps que la relance du PNB se matérialise et que les indicateurs techniques convergent.</w:t>
      </w:r>
    </w:p>
    <w:p>
      <w:pPr>
        <w:spacing w:after="120" w:line="276" w:lineRule="auto"/>
      </w:pPr>
      <w:r>
        <w:t>---</w:t>
      </w:r>
    </w:p>
    <w:p>
      <w:pPr>
        <w:spacing w:after="120" w:line="276" w:lineRule="auto"/>
      </w:pPr>
      <w:r>
        <w:t>*Rapport généré le 1er octobre 2026 — Sources : BRVM, états financiers ORGT 2025, rapports trimestriels T1 2026 et T3 2025, analyses fondamentales certifiées.*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3,937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+6.41%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5.62% (Moyenne) — μ=8,613 FCFA, σ=484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β=0.0562 (Défensif) — Cov=0.000004, Var(idx)=0.000070, ρ=0.023,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7,977</w:t>
            </w:r>
          </w:p>
        </w:tc>
        <w:tc>
          <w:tcPr>
            <w:tcW w:type="dxa" w:w="1440"/>
            <w:shd w:fill="FAFAFA" w:val="clear"/>
          </w:tcPr>
          <w:p>
            <w:r>
              <w:rPr>
                <w:b/>
                <w:sz w:val="17"/>
              </w:rPr>
              <w:t>8,194</w:t>
            </w:r>
          </w:p>
        </w:tc>
        <w:tc>
          <w:tcPr>
            <w:tcW w:type="dxa" w:w="1440"/>
            <w:shd w:fill="FAFAFA" w:val="clear"/>
          </w:tcPr>
          <w:p>
            <w:r>
              <w:rPr>
                <w:sz w:val="17"/>
              </w:rPr>
              <w:t>8,411</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7,845</w:t>
            </w:r>
          </w:p>
        </w:tc>
        <w:tc>
          <w:tcPr>
            <w:tcW w:type="dxa" w:w="1440"/>
            <w:shd w:fill="FAFAFA" w:val="clear"/>
          </w:tcPr>
          <w:p>
            <w:r>
              <w:rPr>
                <w:b/>
                <w:sz w:val="17"/>
              </w:rPr>
              <w:t>8,151</w:t>
            </w:r>
          </w:p>
        </w:tc>
        <w:tc>
          <w:tcPr>
            <w:tcW w:type="dxa" w:w="1440"/>
            <w:shd w:fill="FAFAFA" w:val="clear"/>
          </w:tcPr>
          <w:p>
            <w:r>
              <w:rPr>
                <w:sz w:val="17"/>
              </w:rPr>
              <w:t>8,456</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2026-10-06</w:t>
            </w:r>
          </w:p>
        </w:tc>
        <w:tc>
          <w:tcPr>
            <w:tcW w:type="dxa" w:w="1440"/>
            <w:shd w:fill="FFDCE0" w:val="clear"/>
          </w:tcPr>
          <w:p>
            <w:r>
              <w:rPr>
                <w:sz w:val="17"/>
              </w:rPr>
              <w:t>7,728</w:t>
            </w:r>
          </w:p>
        </w:tc>
        <w:tc>
          <w:tcPr>
            <w:tcW w:type="dxa" w:w="1440"/>
            <w:shd w:fill="FFDCE0" w:val="clear"/>
          </w:tcPr>
          <w:p>
            <w:r>
              <w:rPr>
                <w:b/>
                <w:sz w:val="17"/>
              </w:rPr>
              <w:t>8,100</w:t>
            </w:r>
          </w:p>
        </w:tc>
        <w:tc>
          <w:tcPr>
            <w:tcW w:type="dxa" w:w="1440"/>
            <w:shd w:fill="FFDCE0" w:val="clear"/>
          </w:tcPr>
          <w:p>
            <w:r>
              <w:rPr>
                <w:sz w:val="17"/>
              </w:rPr>
              <w:t>8,472</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2026-10-07</w:t>
            </w:r>
          </w:p>
        </w:tc>
        <w:tc>
          <w:tcPr>
            <w:tcW w:type="dxa" w:w="1440"/>
            <w:shd w:fill="FFDCE0" w:val="clear"/>
          </w:tcPr>
          <w:p>
            <w:r>
              <w:rPr>
                <w:sz w:val="17"/>
              </w:rPr>
              <w:t>7,624</w:t>
            </w:r>
          </w:p>
        </w:tc>
        <w:tc>
          <w:tcPr>
            <w:tcW w:type="dxa" w:w="1440"/>
            <w:shd w:fill="FFDCE0" w:val="clear"/>
          </w:tcPr>
          <w:p>
            <w:r>
              <w:rPr>
                <w:b/>
                <w:sz w:val="17"/>
              </w:rPr>
              <w:t>8,051</w:t>
            </w:r>
          </w:p>
        </w:tc>
        <w:tc>
          <w:tcPr>
            <w:tcW w:type="dxa" w:w="1440"/>
            <w:shd w:fill="FFDCE0" w:val="clear"/>
          </w:tcPr>
          <w:p>
            <w:r>
              <w:rPr>
                <w:sz w:val="17"/>
              </w:rPr>
              <w:t>8,478</w:t>
            </w:r>
          </w:p>
        </w:tc>
        <w:tc>
          <w:tcPr>
            <w:tcW w:type="dxa" w:w="1440"/>
            <w:shd w:fill="FFDCE0" w:val="clear"/>
          </w:tcPr>
          <w:p>
            <w:r>
              <w:rPr>
                <w:b/>
                <w:color w:val="C00000"/>
                <w:sz w:val="17"/>
              </w:rPr>
              <w:t>-3.0%</w:t>
            </w:r>
          </w:p>
        </w:tc>
      </w:tr>
      <w:tr>
        <w:tc>
          <w:tcPr>
            <w:tcW w:type="dxa" w:w="1440"/>
            <w:shd w:fill="FFDCE0" w:val="clear"/>
          </w:tcPr>
          <w:p>
            <w:r>
              <w:rPr>
                <w:sz w:val="17"/>
              </w:rPr>
              <w:t>J+5  Moyenne</w:t>
            </w:r>
          </w:p>
        </w:tc>
        <w:tc>
          <w:tcPr>
            <w:tcW w:type="dxa" w:w="1440"/>
            <w:shd w:fill="FFDCE0" w:val="clear"/>
          </w:tcPr>
          <w:p>
            <w:r>
              <w:rPr>
                <w:sz w:val="17"/>
              </w:rPr>
              <w:t>2026-10-08</w:t>
            </w:r>
          </w:p>
        </w:tc>
        <w:tc>
          <w:tcPr>
            <w:tcW w:type="dxa" w:w="1440"/>
            <w:shd w:fill="FFDCE0" w:val="clear"/>
          </w:tcPr>
          <w:p>
            <w:r>
              <w:rPr>
                <w:sz w:val="17"/>
              </w:rPr>
              <w:t>7,531</w:t>
            </w:r>
          </w:p>
        </w:tc>
        <w:tc>
          <w:tcPr>
            <w:tcW w:type="dxa" w:w="1440"/>
            <w:shd w:fill="FFDCE0" w:val="clear"/>
          </w:tcPr>
          <w:p>
            <w:r>
              <w:rPr>
                <w:b/>
                <w:sz w:val="17"/>
              </w:rPr>
              <w:t>8,005</w:t>
            </w:r>
          </w:p>
        </w:tc>
        <w:tc>
          <w:tcPr>
            <w:tcW w:type="dxa" w:w="1440"/>
            <w:shd w:fill="FFDCE0" w:val="clear"/>
          </w:tcPr>
          <w:p>
            <w:r>
              <w:rPr>
                <w:sz w:val="17"/>
              </w:rPr>
              <w:t>8,480</w:t>
            </w:r>
          </w:p>
        </w:tc>
        <w:tc>
          <w:tcPr>
            <w:tcW w:type="dxa" w:w="1440"/>
            <w:shd w:fill="FFDCE0" w:val="clear"/>
          </w:tcPr>
          <w:p>
            <w:r>
              <w:rPr>
                <w:b/>
                <w:color w:val="C00000"/>
                <w:sz w:val="17"/>
              </w:rPr>
              <w:t>-3.6%</w:t>
            </w:r>
          </w:p>
        </w:tc>
      </w:tr>
      <w:tr>
        <w:tc>
          <w:tcPr>
            <w:tcW w:type="dxa" w:w="1440"/>
            <w:shd w:fill="FFDCE0" w:val="clear"/>
          </w:tcPr>
          <w:p>
            <w:r>
              <w:rPr>
                <w:sz w:val="17"/>
              </w:rPr>
              <w:t>J+6  Moyenne</w:t>
            </w:r>
          </w:p>
        </w:tc>
        <w:tc>
          <w:tcPr>
            <w:tcW w:type="dxa" w:w="1440"/>
            <w:shd w:fill="FFDCE0" w:val="clear"/>
          </w:tcPr>
          <w:p>
            <w:r>
              <w:rPr>
                <w:sz w:val="17"/>
              </w:rPr>
              <w:t>2026-10-09</w:t>
            </w:r>
          </w:p>
        </w:tc>
        <w:tc>
          <w:tcPr>
            <w:tcW w:type="dxa" w:w="1440"/>
            <w:shd w:fill="FFDCE0" w:val="clear"/>
          </w:tcPr>
          <w:p>
            <w:r>
              <w:rPr>
                <w:sz w:val="17"/>
              </w:rPr>
              <w:t>7,444</w:t>
            </w:r>
          </w:p>
        </w:tc>
        <w:tc>
          <w:tcPr>
            <w:tcW w:type="dxa" w:w="1440"/>
            <w:shd w:fill="FFDCE0" w:val="clear"/>
          </w:tcPr>
          <w:p>
            <w:r>
              <w:rPr>
                <w:b/>
                <w:sz w:val="17"/>
              </w:rPr>
              <w:t>7,961</w:t>
            </w:r>
          </w:p>
        </w:tc>
        <w:tc>
          <w:tcPr>
            <w:tcW w:type="dxa" w:w="1440"/>
            <w:shd w:fill="FFDCE0" w:val="clear"/>
          </w:tcPr>
          <w:p>
            <w:r>
              <w:rPr>
                <w:sz w:val="17"/>
              </w:rPr>
              <w:t>8,478</w:t>
            </w:r>
          </w:p>
        </w:tc>
        <w:tc>
          <w:tcPr>
            <w:tcW w:type="dxa" w:w="1440"/>
            <w:shd w:fill="FFDCE0" w:val="clear"/>
          </w:tcPr>
          <w:p>
            <w:r>
              <w:rPr>
                <w:b/>
                <w:color w:val="C00000"/>
                <w:sz w:val="17"/>
              </w:rPr>
              <w:t>-4.1%</w:t>
            </w:r>
          </w:p>
        </w:tc>
      </w:tr>
      <w:tr>
        <w:tc>
          <w:tcPr>
            <w:tcW w:type="dxa" w:w="1440"/>
            <w:shd w:fill="FFDCE0" w:val="clear"/>
          </w:tcPr>
          <w:p>
            <w:r>
              <w:rPr>
                <w:sz w:val="17"/>
              </w:rPr>
              <w:t>J+7  Moyenne</w:t>
            </w:r>
          </w:p>
        </w:tc>
        <w:tc>
          <w:tcPr>
            <w:tcW w:type="dxa" w:w="1440"/>
            <w:shd w:fill="FFDCE0" w:val="clear"/>
          </w:tcPr>
          <w:p>
            <w:r>
              <w:rPr>
                <w:sz w:val="17"/>
              </w:rPr>
              <w:t>2026-10-12</w:t>
            </w:r>
          </w:p>
        </w:tc>
        <w:tc>
          <w:tcPr>
            <w:tcW w:type="dxa" w:w="1440"/>
            <w:shd w:fill="FFDCE0" w:val="clear"/>
          </w:tcPr>
          <w:p>
            <w:r>
              <w:rPr>
                <w:sz w:val="17"/>
              </w:rPr>
              <w:t>7,364</w:t>
            </w:r>
          </w:p>
        </w:tc>
        <w:tc>
          <w:tcPr>
            <w:tcW w:type="dxa" w:w="1440"/>
            <w:shd w:fill="FFDCE0" w:val="clear"/>
          </w:tcPr>
          <w:p>
            <w:r>
              <w:rPr>
                <w:b/>
                <w:sz w:val="17"/>
              </w:rPr>
              <w:t>7,919</w:t>
            </w:r>
          </w:p>
        </w:tc>
        <w:tc>
          <w:tcPr>
            <w:tcW w:type="dxa" w:w="1440"/>
            <w:shd w:fill="FFDCE0" w:val="clear"/>
          </w:tcPr>
          <w:p>
            <w:r>
              <w:rPr>
                <w:sz w:val="17"/>
              </w:rPr>
              <w:t>8,475</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2026-10-13</w:t>
            </w:r>
          </w:p>
        </w:tc>
        <w:tc>
          <w:tcPr>
            <w:tcW w:type="dxa" w:w="1440"/>
            <w:shd w:fill="FFDCE0" w:val="clear"/>
          </w:tcPr>
          <w:p>
            <w:r>
              <w:rPr>
                <w:sz w:val="17"/>
              </w:rPr>
              <w:t>7,288</w:t>
            </w:r>
          </w:p>
        </w:tc>
        <w:tc>
          <w:tcPr>
            <w:tcW w:type="dxa" w:w="1440"/>
            <w:shd w:fill="FFDCE0" w:val="clear"/>
          </w:tcPr>
          <w:p>
            <w:r>
              <w:rPr>
                <w:b/>
                <w:sz w:val="17"/>
              </w:rPr>
              <w:t>7,879</w:t>
            </w:r>
          </w:p>
        </w:tc>
        <w:tc>
          <w:tcPr>
            <w:tcW w:type="dxa" w:w="1440"/>
            <w:shd w:fill="FFDCE0" w:val="clear"/>
          </w:tcPr>
          <w:p>
            <w:r>
              <w:rPr>
                <w:sz w:val="17"/>
              </w:rPr>
              <w:t>8,470</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2026-10-14</w:t>
            </w:r>
          </w:p>
        </w:tc>
        <w:tc>
          <w:tcPr>
            <w:tcW w:type="dxa" w:w="1440"/>
            <w:shd w:fill="FFDCE0" w:val="clear"/>
          </w:tcPr>
          <w:p>
            <w:r>
              <w:rPr>
                <w:sz w:val="17"/>
              </w:rPr>
              <w:t>7,217</w:t>
            </w:r>
          </w:p>
        </w:tc>
        <w:tc>
          <w:tcPr>
            <w:tcW w:type="dxa" w:w="1440"/>
            <w:shd w:fill="FFDCE0" w:val="clear"/>
          </w:tcPr>
          <w:p>
            <w:r>
              <w:rPr>
                <w:b/>
                <w:sz w:val="17"/>
              </w:rPr>
              <w:t>7,840</w:t>
            </w:r>
          </w:p>
        </w:tc>
        <w:tc>
          <w:tcPr>
            <w:tcW w:type="dxa" w:w="1440"/>
            <w:shd w:fill="FFDCE0" w:val="clear"/>
          </w:tcPr>
          <w:p>
            <w:r>
              <w:rPr>
                <w:sz w:val="17"/>
              </w:rPr>
              <w:t>8,464</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2026-10-15</w:t>
            </w:r>
          </w:p>
        </w:tc>
        <w:tc>
          <w:tcPr>
            <w:tcW w:type="dxa" w:w="1440"/>
            <w:shd w:fill="FFDCE0" w:val="clear"/>
          </w:tcPr>
          <w:p>
            <w:r>
              <w:rPr>
                <w:sz w:val="17"/>
              </w:rPr>
              <w:t>7,149</w:t>
            </w:r>
          </w:p>
        </w:tc>
        <w:tc>
          <w:tcPr>
            <w:tcW w:type="dxa" w:w="1440"/>
            <w:shd w:fill="FFDCE0" w:val="clear"/>
          </w:tcPr>
          <w:p>
            <w:r>
              <w:rPr>
                <w:b/>
                <w:sz w:val="17"/>
              </w:rPr>
              <w:t>7,804</w:t>
            </w:r>
          </w:p>
        </w:tc>
        <w:tc>
          <w:tcPr>
            <w:tcW w:type="dxa" w:w="1440"/>
            <w:shd w:fill="FFDCE0" w:val="clear"/>
          </w:tcPr>
          <w:p>
            <w:r>
              <w:rPr>
                <w:sz w:val="17"/>
              </w:rPr>
              <w:t>8,458</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128,31 milliards FCFA, PALC se positionne parmi les valeurs moyennes-capitalisations de la cote BRVM, ce qui lui confère une certaine liquidité tout en restant exposée à la faible profondeur du marché régional. Le BPA de 1 003 FCFA/action signifie que chaque titre génère environ 1 003 FCFA de bénéfice net, ce qui, rapporté au cours actuel de 8 300 FCFA, donne un PER de 8,3x — un niveau inférieur à la moyenne historique du marché BRVM (8-12x), suggérant une valorisation raisonnable voire légèrement sous-évaluée. Le ratio P/B de 0,90x est particulièrement intéressant : le marché valorise PALC en dessous de sa valeur comptable (capitaux propres de 142,6 Mds FCFA pour une capitalisation de 128,3 Mds), ce qui constitue historiquement un signal d'opportunité potentielle, bien qu'il faille vérifier la qualité des actifs sous-jacents. Enfin, l'EV/EBITDA de 4,0x, très inférieur au seuil de 5x, indique que la valeur d'entreprise (capitalisation + dette nette) ne représente que 4 fois la capacité opérationnelle de l'entreprise — un niveau très attractif qui traduit soit une sous-évaluation manifeste, soit une anticipation par le marché d'une dégradation des marges. L'ensemble de ces ratios dresse le portrait d'un titre « value » bon marché, mais dont la décote pourrait refléter les inquiétudes liées à la volatilité des cours de l'huile de palme et à la récente contre-performance trimestrielle.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enregistré une progression totale de +6,41%, avec une légère hausse de +0,12% lors de la dernière séance, s'établissant à 8 300 FCFA. Le titre a évolué dans un range relativement large de 1 960 FCFA, entre un plus bas de 7 680 FCFA et un plus haut de 9 640 FCFA, ce qui témoigne d'une volatilité intra-période significative malgré une tendance globale haussière. La moyenne du cours s'établit à 8 613 FCFA, légèrement supérieure à la médiane de 8 690 FCFA, tandis que le mode (8 300 FCFA) correspond exactement au cours actuel — indiquant que ce niveau constitue un point d'équilibre fréquemment testé. L'écart-type de 487 FCFA, associé à un coefficient de variation de 5,7%, révèle une dispersion modérée du cours autour de sa moyenne, ce qui est rassurant pour un titre de cette taille. Le kurtosis de -0,422 (mésokurtique) suggère une distribution proche de la normale, sans risque excessif de pics extrêmes, tandis que le skewness de -0,220 indique une légère asymétrie négative — les baisses sont marginalement plus fréquentes que les hausses, mais de moindre amplitude. Avec une volatilité annualisée de 31,9%, PALC se situe dans la catégorie des titres à volatilité élevée (&gt;30%), ce qui est cohérent avec son exposition aux matières premières agricoles et justifie une prime de risque dans l'évaluation.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(8 393,25 FCFA) et la MM50 (8 824,0 FCFA) encadrent le cours actuel de 8 300 FCFA, qui se situe en dessous des deux moyennes. Cette configuration baissière (cours &lt; MM20 &lt; MM50) traduit une pression vendeuse persistante à court et moyen terme, justifiant la décision technique de « Vente ». Le croisement potentiel de la MM20 sous la MM50 confirmerait une tendance baissière de fond.</w:t>
      </w:r>
    </w:p>
    <w:p>
      <w:pPr>
        <w:spacing w:after="120" w:line="276" w:lineRule="auto"/>
      </w:pPr>
      <w:r>
        <w:t>**Bandes de Bollinger** : Le cours (8 300 FCFA) évolue dans la partie inférieure de la bande, entre la borne inférieure (7 913,73 FCFA) et la borne supérieure (8 872,77 FCFA), sans atteindre les extrêmes. Cette position médiane-basse, combinée à une largeur de bande modérée, indique une absence de signal directionnel fort — d'où la décision « Neutre ». Une cassure sous 7 913 FCFA serait un signal baissier, tandis qu'un retour au-dessus de 8 500 FCFA suggérerait une reprise.</w:t>
      </w:r>
    </w:p>
    <w:p>
      <w:pPr>
        <w:spacing w:after="120" w:line="276" w:lineRule="auto"/>
      </w:pPr>
      <w:r>
        <w:t>**MACD** : La valeur du MACD (-195,952) est légèrement supérieure à son signal (-203,4), générant un croisement haussier marginal et une décision d'« Achat ». Cependant, les deux lignes restent profondément en territoire négatif, ce qui limite la portée de ce signal : il s'agit davantage d'un ralentissement de la dynamique baissière que d'un véritable retournement.</w:t>
      </w:r>
    </w:p>
    <w:p>
      <w:pPr>
        <w:spacing w:after="120" w:line="276" w:lineRule="auto"/>
      </w:pPr>
      <w:r>
        <w:t>**RSI** : À 50,0, le RSI se situe exactement à mi-chemin entre surachat (&gt;70) et survente (&lt;30), traduisant un équilibre parfait entre acheteurs et vendeurs. Cette neutralité confirme l'absence de pression directionnelle claire et justifie la décision « Neutre ».</w:t>
      </w:r>
    </w:p>
    <w:p>
      <w:pPr>
        <w:spacing w:after="120" w:line="276" w:lineRule="auto"/>
      </w:pPr>
      <w:r>
        <w:t>**Stochastique** : Le %K (44,954) est légèrement supérieur au %D (41,284), sans croisement significatif ni divergence notable. Les deux indicateurs évoluent dans la zone neutre (20-80), sans signal de surachat ou de survente — d'où la décision « Neutre ».</w:t>
      </w:r>
    </w:p>
    <w:p>
      <w:pPr>
        <w:spacing w:after="120" w:line="276" w:lineRule="auto"/>
      </w:pPr>
      <w:r>
        <w:t>**Conclusion technique** : Les indicateurs techniques sont majoritairement neutres (Bollinger, RSI, Stochastique) ou contradictoires (MM baissières vs MACD haussier marginal). Le titre se trouve dans une phase de consolidation sans direction claire, avec une légère pression baissière à moyen terme (cours sous les MM). L'absence de signal fort suggère d'attendre une cassure nette (au-dessus de 8 500 FCFA ou en dessous de 7 900 FCFA) avant de prendre position.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 réalisé un chiffre d'affaires de 197,630 milliards FCFA, en croissance de +14,78% par rapport à 2024 (172,2 Mds FCFA), portée par une hausse des volumes vendus et des prix de l'huile de palme. Le résultat net s'établit à 15,509 milliards FCFA, en léger recul de -2,2% par rapport à 2024 (15,9 Mds FCFA), tandis que le ROE atteint 10,87% et le ROA 7,79% — des niveaux corrects mais en deçà du seuil d'excellence de 15% pour le ROE. La structure financière demeure très solide, avec une autonomie financière de 71,64% (capitaux propres de 142,6 Mds FCFA pour un total bilan de 199,1 Mds), un ratio d'endettement quasi nul (0,56%) et une trésorerie nette négative de -4,559 Mds FCFA, ce qui constitue un point de vigilance. En tant qu'entreprise agro-industrielle, PALC affiche un BFR de 44,623 Mds FCFA (positif, donc défavorable) et un délai client élevé de 142,58 jours, révélant un risque de trésorerie lié aux créances clients (78,270 Mds FCFA) — bien que la liquidité générale (171,95%) et la couverture des intérêts (1415,66%) restent excellentes. Les rapports trimestriels de 2025 confirment cette dynamique : le T1 2025 (rapport du 31/03/2025) affichait un CA de 67,5 Mds FCFA (+32%) et un résultat net de 11,6 Mds FCFA (+65%), tandis que le S1 2025 (rapport du 30/06/2025) enregistrait un CA de 134,8 Mds FCFA (+25%) et un résultat net de 22,9 Mds FCFA (+37%). Cependant, le T3 2025 (rapport du 30/09/2025) marque un ralentissement avec un CA cumulé de 168,9 Mds FCFA (+18%) et un résultat net de 18,0 Mds FCFA (+11%), suggérant une pression sur les coûts au second semestre. Plus préoccupant, le rapport du T1 2026 (publié en 2026) révèle un effondrement du CA de -27% à 49,4 Mds FCFA et du résultat net de -86% à 1,6 Mds FCFA, que la direction attribue à un décalage temporel des ventes — un argument à surveiller de près. Sur la base de ces éléments, on estime que l'exercice 2026 pourrait être nettement moins favorable que 2025, avec un résultat net potentiellement inférieur à 10 Mds FCFA si la tendance du T1 2026 se confirme. La recommandation fondamentale est de **CONSERVER** avec une surveillance active : la solidité du bilan et la décote boursière sont attractives, mais la dégradation récente des marges et la volatilité des cours de l'huile de palme imposent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**Sur le plan de la valorisation (Partie 0)** , les ratios PER (8,3x), P/B (0,90x) et EV/EBITDA (4,0x) indiquent une sous-évaluation manifeste, avec une décote par rapport à la valeur comptable et à la capacité opérationnelle — un signal haussier à long terme. **Le comportement du cours (Partie 1)** est modérément favorable : tendance haussière sur 100 jours (+6,41%), volatilité élevée (31,9%) mais distribution normale (kurtosis -0,422) et légère asymétrie négative (skewness -0,220), ce qui suggère un risque maîtrisé malgré des baisses marginalement plus fréquentes. **Les signaux techniques (Partie 2)** sont majoritairement neutres ou divergents : les MM sont baissières, le MACD donne un signal d'achat marginal, tandis que le RSI et le Stochastique sont neutres — une configuration qui plaide pour l'attente. **Les fondamentaux (Partie 3)** révèlent une entreprise solide (autonomie financière de 71,64%, ROE de 10,87%) mais confrontée à un ralentissement marqué au T1 2026 (CA -27%, résultat net -86%), ce qui pourrait peser sur les performances annuelles. **Les prédictions IA (J+1 à J+10)** anticipent une trajectoire baissière vers 8 005 FCFA d'ici le 8 octobre 2026, en contradiction avec la sous-évaluation fondamentale mais en cohérence avec la pression technique à court terme. **Recommandation finale : CONSERVER**, avec un niveau de confiance **Moyen** et un risque global **Moyen**. La convergence entre la sous-évaluation (Partie 0) et la solidité financière (Partie 3) soutient une vision positive à long terme, mais la divergence avec les signaux techniques (Partie 2) et les prédictions IA (baissières à court terme) incite à la prudence. L'horizon d'investissement optimal est le **moyen terme (3-12 mois)** , en surveillant les prochains rapports trimestriels (T2 2026) pour confirmer ou infirmer le redressement des ventes évoqué par la direction. Un investisseur averse au risque attendra une stabilisation du cours au-dessus de 8 500 FCFA avant de renforcer sa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39.99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1,132 titres</w:t>
            </w:r>
          </w:p>
        </w:tc>
        <w:tc>
          <w:tcPr>
            <w:tcW w:type="dxa" w:w="2268"/>
            <w:shd w:fill="FFF2CC" w:val="clear"/>
          </w:tcPr>
          <w:p>
            <w:r>
              <w:rPr>
                <w:b/>
                <w:color w:val="503200"/>
                <w:sz w:val="16"/>
              </w:rPr>
              <w:t xml:space="preserve">Cours actuel : </w:t>
            </w:r>
            <w:r>
              <w:rPr>
                <w:color w:val="000000"/>
                <w:sz w:val="17"/>
              </w:rPr>
              <w:t>3,905 FCFA</w:t>
            </w:r>
          </w:p>
          <w:p>
            <w:r>
              <w:rPr>
                <w:b/>
                <w:color w:val="503200"/>
                <w:sz w:val="16"/>
              </w:rPr>
              <w:t xml:space="preserve">Var. 100 jours : </w:t>
            </w:r>
            <w:r>
              <w:rPr>
                <w:b/>
                <w:color w:val="007800"/>
                <w:sz w:val="17"/>
              </w:rPr>
              <w:t>+5.68%</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5.99% (Moyenne) — μ=4,346 FCFA, σ=260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β=-0.2959 (Contre-cyclique) — Cov=-0.000021, Var(idx)=0.000070, ρ=-0.113,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3,825</w:t>
            </w:r>
          </w:p>
        </w:tc>
        <w:tc>
          <w:tcPr>
            <w:tcW w:type="dxa" w:w="1440"/>
            <w:shd w:fill="FAFAFA" w:val="clear"/>
          </w:tcPr>
          <w:p>
            <w:r>
              <w:rPr>
                <w:b/>
                <w:sz w:val="17"/>
              </w:rPr>
              <w:t>3,973</w:t>
            </w:r>
          </w:p>
        </w:tc>
        <w:tc>
          <w:tcPr>
            <w:tcW w:type="dxa" w:w="1440"/>
            <w:shd w:fill="FAFAFA" w:val="clear"/>
          </w:tcPr>
          <w:p>
            <w:r>
              <w:rPr>
                <w:sz w:val="17"/>
              </w:rPr>
              <w:t>4,121</w:t>
            </w:r>
          </w:p>
        </w:tc>
        <w:tc>
          <w:tcPr>
            <w:tcW w:type="dxa" w:w="1440"/>
            <w:shd w:fill="FAFAFA" w:val="clear"/>
          </w:tcPr>
          <w:p>
            <w:r>
              <w:rPr>
                <w:b/>
                <w:color w:val="008000"/>
                <w:sz w:val="17"/>
              </w:rPr>
              <w:t>+1.7%</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3,756</w:t>
            </w:r>
          </w:p>
        </w:tc>
        <w:tc>
          <w:tcPr>
            <w:tcW w:type="dxa" w:w="1440"/>
            <w:shd w:fill="FAFAFA" w:val="clear"/>
          </w:tcPr>
          <w:p>
            <w:r>
              <w:rPr>
                <w:b/>
                <w:sz w:val="17"/>
              </w:rPr>
              <w:t>3,964</w:t>
            </w:r>
          </w:p>
        </w:tc>
        <w:tc>
          <w:tcPr>
            <w:tcW w:type="dxa" w:w="1440"/>
            <w:shd w:fill="FAFAFA" w:val="clear"/>
          </w:tcPr>
          <w:p>
            <w:r>
              <w:rPr>
                <w:sz w:val="17"/>
              </w:rPr>
              <w:t>4,173</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3,711</w:t>
            </w:r>
          </w:p>
        </w:tc>
        <w:tc>
          <w:tcPr>
            <w:tcW w:type="dxa" w:w="1440"/>
            <w:shd w:fill="FAFAFA" w:val="clear"/>
          </w:tcPr>
          <w:p>
            <w:r>
              <w:rPr>
                <w:b/>
                <w:sz w:val="17"/>
              </w:rPr>
              <w:t>3,967</w:t>
            </w:r>
          </w:p>
        </w:tc>
        <w:tc>
          <w:tcPr>
            <w:tcW w:type="dxa" w:w="1440"/>
            <w:shd w:fill="FAFAFA" w:val="clear"/>
          </w:tcPr>
          <w:p>
            <w:r>
              <w:rPr>
                <w:sz w:val="17"/>
              </w:rPr>
              <w:t>4,223</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3,674</w:t>
            </w:r>
          </w:p>
        </w:tc>
        <w:tc>
          <w:tcPr>
            <w:tcW w:type="dxa" w:w="1440"/>
            <w:shd w:fill="FAFAFA" w:val="clear"/>
          </w:tcPr>
          <w:p>
            <w:r>
              <w:rPr>
                <w:b/>
                <w:sz w:val="17"/>
              </w:rPr>
              <w:t>3,970</w:t>
            </w:r>
          </w:p>
        </w:tc>
        <w:tc>
          <w:tcPr>
            <w:tcW w:type="dxa" w:w="1440"/>
            <w:shd w:fill="FAFAFA" w:val="clear"/>
          </w:tcPr>
          <w:p>
            <w:r>
              <w:rPr>
                <w:sz w:val="17"/>
              </w:rPr>
              <w:t>4,266</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3,642</w:t>
            </w:r>
          </w:p>
        </w:tc>
        <w:tc>
          <w:tcPr>
            <w:tcW w:type="dxa" w:w="1440"/>
            <w:shd w:fill="FAFAFA" w:val="clear"/>
          </w:tcPr>
          <w:p>
            <w:r>
              <w:rPr>
                <w:b/>
                <w:sz w:val="17"/>
              </w:rPr>
              <w:t>3,973</w:t>
            </w:r>
          </w:p>
        </w:tc>
        <w:tc>
          <w:tcPr>
            <w:tcW w:type="dxa" w:w="1440"/>
            <w:shd w:fill="FAFAFA" w:val="clear"/>
          </w:tcPr>
          <w:p>
            <w:r>
              <w:rPr>
                <w:sz w:val="17"/>
              </w:rPr>
              <w:t>4,303</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3,612</w:t>
            </w:r>
          </w:p>
        </w:tc>
        <w:tc>
          <w:tcPr>
            <w:tcW w:type="dxa" w:w="1440"/>
            <w:shd w:fill="FAFAFA" w:val="clear"/>
          </w:tcPr>
          <w:p>
            <w:r>
              <w:rPr>
                <w:b/>
                <w:sz w:val="17"/>
              </w:rPr>
              <w:t>3,975</w:t>
            </w:r>
          </w:p>
        </w:tc>
        <w:tc>
          <w:tcPr>
            <w:tcW w:type="dxa" w:w="1440"/>
            <w:shd w:fill="FAFAFA" w:val="clear"/>
          </w:tcPr>
          <w:p>
            <w:r>
              <w:rPr>
                <w:sz w:val="17"/>
              </w:rPr>
              <w:t>4,337</w:t>
            </w:r>
          </w:p>
        </w:tc>
        <w:tc>
          <w:tcPr>
            <w:tcW w:type="dxa" w:w="1440"/>
            <w:shd w:fill="FAFAFA" w:val="clear"/>
          </w:tcPr>
          <w:p>
            <w:r>
              <w:rPr>
                <w:b/>
                <w:color w:val="008000"/>
                <w:sz w:val="17"/>
              </w:rPr>
              <w:t>+1.8%</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3,585</w:t>
            </w:r>
          </w:p>
        </w:tc>
        <w:tc>
          <w:tcPr>
            <w:tcW w:type="dxa" w:w="1440"/>
            <w:shd w:fill="FAFAFA" w:val="clear"/>
          </w:tcPr>
          <w:p>
            <w:r>
              <w:rPr>
                <w:b/>
                <w:sz w:val="17"/>
              </w:rPr>
              <w:t>3,977</w:t>
            </w:r>
          </w:p>
        </w:tc>
        <w:tc>
          <w:tcPr>
            <w:tcW w:type="dxa" w:w="1440"/>
            <w:shd w:fill="FAFAFA" w:val="clear"/>
          </w:tcPr>
          <w:p>
            <w:r>
              <w:rPr>
                <w:sz w:val="17"/>
              </w:rPr>
              <w:t>4,369</w:t>
            </w:r>
          </w:p>
        </w:tc>
        <w:tc>
          <w:tcPr>
            <w:tcW w:type="dxa" w:w="1440"/>
            <w:shd w:fill="FAFAFA" w:val="clear"/>
          </w:tcPr>
          <w:p>
            <w:r>
              <w:rPr>
                <w:b/>
                <w:color w:val="008000"/>
                <w:sz w:val="17"/>
              </w:rPr>
              <w:t>+1.8%</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3,560</w:t>
            </w:r>
          </w:p>
        </w:tc>
        <w:tc>
          <w:tcPr>
            <w:tcW w:type="dxa" w:w="1440"/>
            <w:shd w:fill="FAFAFA" w:val="clear"/>
          </w:tcPr>
          <w:p>
            <w:r>
              <w:rPr>
                <w:b/>
                <w:sz w:val="17"/>
              </w:rPr>
              <w:t>3,980</w:t>
            </w:r>
          </w:p>
        </w:tc>
        <w:tc>
          <w:tcPr>
            <w:tcW w:type="dxa" w:w="1440"/>
            <w:shd w:fill="FAFAFA" w:val="clear"/>
          </w:tcPr>
          <w:p>
            <w:r>
              <w:rPr>
                <w:sz w:val="17"/>
              </w:rPr>
              <w:t>4,399</w:t>
            </w:r>
          </w:p>
        </w:tc>
        <w:tc>
          <w:tcPr>
            <w:tcW w:type="dxa" w:w="1440"/>
            <w:shd w:fill="FAFAFA" w:val="clear"/>
          </w:tcPr>
          <w:p>
            <w:r>
              <w:rPr>
                <w:b/>
                <w:color w:val="008000"/>
                <w:sz w:val="17"/>
              </w:rPr>
              <w:t>+1.9%</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3,537</w:t>
            </w:r>
          </w:p>
        </w:tc>
        <w:tc>
          <w:tcPr>
            <w:tcW w:type="dxa" w:w="1440"/>
            <w:shd w:fill="FAFAFA" w:val="clear"/>
          </w:tcPr>
          <w:p>
            <w:r>
              <w:rPr>
                <w:b/>
                <w:sz w:val="17"/>
              </w:rPr>
              <w:t>3,982</w:t>
            </w:r>
          </w:p>
        </w:tc>
        <w:tc>
          <w:tcPr>
            <w:tcW w:type="dxa" w:w="1440"/>
            <w:shd w:fill="FAFAFA" w:val="clear"/>
          </w:tcPr>
          <w:p>
            <w:r>
              <w:rPr>
                <w:sz w:val="17"/>
              </w:rPr>
              <w:t>4,426</w:t>
            </w:r>
          </w:p>
        </w:tc>
        <w:tc>
          <w:tcPr>
            <w:tcW w:type="dxa" w:w="1440"/>
            <w:shd w:fill="FAFAFA" w:val="clear"/>
          </w:tcPr>
          <w:p>
            <w:r>
              <w:rPr>
                <w:b/>
                <w:color w:val="008000"/>
                <w:sz w:val="17"/>
              </w:rPr>
              <w:t>+2.0%</w:t>
            </w:r>
          </w:p>
        </w:tc>
      </w:tr>
      <w:tr>
        <w:tc>
          <w:tcPr>
            <w:tcW w:type="dxa" w:w="1440"/>
            <w:shd w:fill="C6EFCE" w:val="clear"/>
          </w:tcPr>
          <w:p>
            <w:r>
              <w:rPr>
                <w:sz w:val="17"/>
              </w:rPr>
              <w:t>J+10  ⭐</w:t>
            </w:r>
          </w:p>
        </w:tc>
        <w:tc>
          <w:tcPr>
            <w:tcW w:type="dxa" w:w="1440"/>
            <w:shd w:fill="C6EFCE" w:val="clear"/>
          </w:tcPr>
          <w:p>
            <w:r>
              <w:rPr>
                <w:sz w:val="17"/>
              </w:rPr>
              <w:t>2026-10-15</w:t>
            </w:r>
          </w:p>
        </w:tc>
        <w:tc>
          <w:tcPr>
            <w:tcW w:type="dxa" w:w="1440"/>
            <w:shd w:fill="C6EFCE" w:val="clear"/>
          </w:tcPr>
          <w:p>
            <w:r>
              <w:rPr>
                <w:sz w:val="17"/>
              </w:rPr>
              <w:t>3,515</w:t>
            </w:r>
          </w:p>
        </w:tc>
        <w:tc>
          <w:tcPr>
            <w:tcW w:type="dxa" w:w="1440"/>
            <w:shd w:fill="C6EFCE" w:val="clear"/>
          </w:tcPr>
          <w:p>
            <w:r>
              <w:rPr>
                <w:b/>
                <w:sz w:val="17"/>
              </w:rPr>
              <w:t>3,984</w:t>
            </w:r>
          </w:p>
        </w:tc>
        <w:tc>
          <w:tcPr>
            <w:tcW w:type="dxa" w:w="1440"/>
            <w:shd w:fill="C6EFCE" w:val="clear"/>
          </w:tcPr>
          <w:p>
            <w:r>
              <w:rPr>
                <w:sz w:val="17"/>
              </w:rPr>
              <w:t>4,453</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39,99 milliards FCFA, PRSC se positionne comme une valeur de taille intermédiaire sur le compartiment des sociétés non bancaires de la BRVM, représentant un poids modéré dans l'indice composite. Le BPA de 231 FCFA/action signifie que chaque titre génère près de 231 FCFA de bénéfice net, ce qui, rapporté au cours actuel de 3 905 FCFA, aboutit à un PER de 16,9x — soit un niveau supérieur à la moyenne du marché BRVM (généralement située entre 8 et 12x), traduisant une prime de valorisation que les investisseurs accordent à la qualité de la franchise Tractafric. Le P/B de 3,47x confirme cette prime, le marché valorisant l'entreprise à plus de trois fois ses fonds propres comptables (11,531 Mds FCFA), ce qui est cohérent pour un distributeur à forte rotation d'actifs (169,6%) et à ROE élevé (20,53%). L'EV/EBITDA de 8,9x, situé dans la fourchette raisonnable de 5-10x, indique que la valeur d'entreprise reste maîtrisée au regard de la capacité opérationnelle dégagée (EBE de 5,787 Mds FCFA), suggérant que la prime de PER/P/B est davantage justifiée par la rentabilité des fonds propres que par un emballement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variation totale positive de +5,68%, mais la dernière séance (J-1) a enregistré une correction marquée de -4,76%, signalant une pression vendeuse récente qui ramène le cours à 3 905 FCFA. Le range de trading s'étend du plus bas de 3 620 FCFA au plus haut de 4 740 FCFA, soit une amplitude de 1 120 FCFA (30,9% du plus bas), ce qui témoigne d'une volatilité intra-période significative. La tendance générale reste haussière sur la période, mais le titre s'inscrit actuellement dans un repli correctif depuis son sommet, s'approchant de sa borne basse. Les statistiques descriptives révèlent une moyenne (4 346 FCFA) légèrement inférieure à la médiane (4 402 FCFA) et au mode (4 400 FCFA), confirmant une asymétrie négative (skewness de -1,269) : le cours a passé plus de journées au-dessus de la moyenne, mais les baisses récentes tirent la moyenne vers le bas. L'écart-type de 261 FCFA avec un coefficient de variation de 6,0% indique une dispersion modérée autour de la moyenne, tandis que le kurtosis de 1,103 (leptokurtique) signale des queues épaisses et un risque de pics de volatilité — ce que la chute de -4,76% en J-1 illustre parfaitement. La volatilité annualisée de 37,3% classe PRSC dans la catégorie des titres à volatilité élevée (&gt;30%), ce qui implique un risque de marché supérieur à la moyenne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(4 272,25 FCFA) et la MM50 (4 398,20 FCFA) se situent toutes deux nettement au-dessus du cours actuel (3 905 FCFA), avec un écart respectif de -8,6% et -11,2%. Cette configuration baissière — cours sous les deux moyennes — confirme la décision technique de **Vente**, le titre ayant cassé ses supports mobiles à court et moyen terme. La MM20 étant elle-même sous la MM50, on observe un croisement baissier (death cross) qui renforce le signal négatif.</w:t>
      </w:r>
    </w:p>
    <w:p>
      <w:pPr>
        <w:spacing w:after="120" w:line="276" w:lineRule="auto"/>
      </w:pPr>
      <w:r>
        <w:t>**Bandes de Bollinger** : Le cours actuel (3 905 FCFA) se situe légèrement sous la borne inférieure (3 920,48 FCFA), ce qui constitue un signal de **surliquidation** et justifie la décision technique d'**Achat** par retour à la moyenne. La largeur des bandes (4 624,02 - 3 920,48 = 703,54 FCFA) reflète une volatilité élevée, et la position du cours sous la borne basse suggère un potentiel de rebond technique vers la bande médiane (estimée autour de 4 272 FCFA, soit la MM20).</w:t>
      </w:r>
    </w:p>
    <w:p>
      <w:pPr>
        <w:spacing w:after="120" w:line="276" w:lineRule="auto"/>
      </w:pPr>
      <w:r>
        <w:t>**MACD** : La valeur du MACD (-116,421) est inférieure à son signal (-78,458), avec un histogramme négatif d'environ -38 points. Cette divergence baissière indique que le momentum reste négatif et que la pression vendeuse persiste, justifiant la décision de **Vente**. Aucun signe de retournement (croisement haussier) n'est encore visible.</w:t>
      </w:r>
    </w:p>
    <w:p>
      <w:pPr>
        <w:spacing w:after="120" w:line="276" w:lineRule="auto"/>
      </w:pPr>
      <w:r>
        <w:t>**RSI** : À 31,818, le RSI se situe juste au-dessus du seuil de survente (30), ce qui le place en zone **Neutre** basse. Le titre n'est pas encore techniquement en survente extrême, mais la proximité du seuil suggère que la pression baissière pourrait s'atténuer à court terme, sans pour autant générer un signal d'achat franc.</w:t>
      </w:r>
    </w:p>
    <w:p>
      <w:pPr>
        <w:spacing w:after="120" w:line="276" w:lineRule="auto"/>
      </w:pPr>
      <w:r>
        <w:t>**Stochastique** : Le %K (0,862) est très inférieur au %D (11,782), avec un croisement en zone basse. Cette configuration est typique d'une situation de **surliquidation** et justifie la décision d'**Achat** par anticipation d'un rebond technique. Le %K proche de zéro indique que le cours a atteint des niveaux extrêmes de faiblesse relative.</w:t>
      </w:r>
    </w:p>
    <w:p>
      <w:pPr>
        <w:spacing w:after="120" w:line="276" w:lineRule="auto"/>
      </w:pPr>
      <w:r>
        <w:t>**Conclusion technique** : Les indicateurs présentent une divergence notable. Les moyennes mobiles et le MACD confirment une tendance baissière de fond (décision Vente), tandis que les Bandes de Bollinger et le Stochastique signalent une surliquidation propice à un rebond technique (décision Achat). Le RSI neutre à 31,8 ne tranche pas. Cette configuration suggère un **rebond technique à court terme possible**, mais la tendance de fond reste fragile tant que le cours n'aura pas réintégré la MM20 (4 272 FCFA). La prudence est de mise : le signal d'achat technique est contrarien et ne remet pas en cause la tendance baissière tant que les moyennes mobiles ne se retournent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Tractafric Motors Côte d'Ivoire a réalisé un chiffre d'affaires de 81,127 Mds FCFA, en croissance de 8,64% par rapport à 2024 (74,45 Mds FCFA selon le rapport Mistral du 30/03/2026), confirmant la dynamique commerciale positive du distributeur automobile. Le résultat net s'établit à 2,367 Mds FCFA, en légère hausse par rapport aux 2,177 Mds FCFA de 2024, mais la marge nette reste faible à 2,92%, reflétant la nature à faible marge du métier de distribution. Le ROE de 20,53% est excellent (&gt;15%), témoignant d'une rentabilité des fonds propres très satisfaisante, tandis que le ROA de 4,95% reste modéré en raison de la forte rotation des actifs (169,6%). La structure financière présente des signaux contrastés : l'autonomie financière de 24,1% est inférieure au seuil de 30% considéré comme sain, et le ratio d'endettement de 314,9% (dettes totales/capitaux propres) est élevé, bien que la solvabilité générale (131,8%) reste supérieure à 1. Le BFR de 11,267 Mds FCFA est positif et représente un besoin de financement significatif, alourdi par des délais clients de 46 jours et une durée de stockage de 150,5 jours — ce dernier indicateur étant particulièrement élevé pour un distributeur et immobilisant du capital. La trésorerie nette est négative (-4,092 Mds FCFA), et le Free Cash Flow de -2,616 Mds FCFA signale que les flux opérationnels (3,482 Mds FCFA) ne suffisent pas à couvrir les investissements et le remboursement des dettes. Le rapport officiel du 15/06/2026 confirme le versement d'un dividende de 209 FCFA/action (soit un rendement de 5,35% au cours actuel de 3 905 FCFA), avec une mise en paiement prévue au plus tard le 30/09/2026 — un signal positif pour les actionnaires. Les rapports trimestriels (S1 2025, analysé le 15/03/2026) indiquent un CA semestriel de 39,968 Mds FCFA (+15,1%) et un résultat net de 1,436 Mds FCFA (×28 vs S1 2024), avec une marge nette semestrielle de 3,6% — nettement supérieure à la moyenne annuelle. **Estimation** : sur la base de cette dynamique semestrielle, on peut estimer que l'exercice 2026 devrait bénéficier d'une croissance du CA de l'ordre de 8-10%, avec une marge nette potentiellement stabilisée autour de 3,0-3,5% si la pression sur les coûts reste maîtrisée. Cependant, les risques identifiés dans les rapports (contexte électoral ivoirien, repli du segment location de -29%, déclin des berlines) incitent à la prudence pour le second semestre 2026. **Recommandation fondamentale** : la solidité du modèle commercial (leader sur les véhicules industriels et pick-up), le ROE élevé et le dividende attractif soutiennent une recommandation de **Conserver**, mais la faible marge nette, le BFR élevé et la trésorerie négative limitent le potentiel d'achat agressif.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la valorisation (Partie 0)** , le PER de 16,9x et le P/B de 3,47x indiquent une prime de valorisation par rapport au marché BRVM, mais l'EV/EBITDA de 8,9x reste raisonnable — le titre n'est donc ni sous-évalué ni excessivement surévalué, mais intègre déjà une bonne partie de ses qualités. **Sur le comportement du cours (Partie 1)** , la tendance haussière de +5,68% sur 100 jours est tempérée par une correction récente de -4,76% et une volatilité élevée (37,3%), avec un skewness négatif et un kurtosis leptokurtique qui signalent un risque de pics baissiers — un profil préoccupant pour les investisseurs à court terme. **Sur les signaux techniques (Partie 2)** , la divergence entre les indicateurs baissiers (MM, MACD) et les signaux de surliquidation (Bollinger, Stochastique) suggère un rebond technique possible à court terme, mais la tendance de fond reste baissière tant que le cours n'aura pas réintégré la MM20 (4 272 FCFA). **Sur les fondamentaux (Partie 3)** , la croissance du CA (+8,64% en 2025), le ROE excellent (20,53%) et le dividende attractif (209 FCFA/action, rendement 5,35%) sont des atouts majeurs, mais la faible marge nette (2,92%), le BFR élevé (11,267 Mds FCFA) et la trésorerie négative (-4,092 Mds FCFA) constituent des vulnérabilités. **Les prédictions IA (J+1 à J+10)** anticipent une stabilisation autour de 3 964-3 973 FCFA, soit une légère reprise de +1,5% à +1,7% par rapport au cours actuel — une trajectoire qui confirme le scénario d'un rebond technique modéré sans retournement majeur de tendance. **Recommandation finale : CONSERVER**, avec un niveau de confiance **Moyen** et un risque global **Élevé**. La convergence entre la surliquidation technique, le dividende attractif et la croissance fondamentale soutient le maintien en portefeuille, mais l'absence de signal d'achat fort (tendance baissière sous les moyennes mobiles, trésorerie négative) et la volatilité élevée déconseillent un renforcement agressif. **Horizon d'investissement optimal : moyen terme (3-12 mois)** , en surveillant la capacité de l'entreprise à améliorer sa marge nette et à réduire son BFR, ainsi que la confirmation d'un retournement technique au-dessus de la MM20.</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52.82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8,892 titres</w:t>
            </w:r>
          </w:p>
        </w:tc>
        <w:tc>
          <w:tcPr>
            <w:tcW w:type="dxa" w:w="2268"/>
            <w:shd w:fill="FFF2CC" w:val="clear"/>
          </w:tcPr>
          <w:p>
            <w:r>
              <w:rPr>
                <w:b/>
                <w:color w:val="503200"/>
                <w:sz w:val="16"/>
              </w:rPr>
              <w:t xml:space="preserve">Cours actuel : </w:t>
            </w:r>
            <w:r>
              <w:rPr>
                <w:color w:val="000000"/>
                <w:sz w:val="17"/>
              </w:rPr>
              <w:t>4,450 FCFA</w:t>
            </w:r>
          </w:p>
          <w:p>
            <w:r>
              <w:rPr>
                <w:b/>
                <w:color w:val="503200"/>
                <w:sz w:val="16"/>
              </w:rPr>
              <w:t xml:space="preserve">Var. 100 jours : </w:t>
            </w:r>
            <w:r>
              <w:rPr>
                <w:b/>
                <w:color w:val="007800"/>
                <w:sz w:val="17"/>
              </w:rPr>
              <w:t>+27.14%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15.81% (Élevée) — μ=4,651 FCFA, σ=735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β=1.1882 (Neutre (suit le marché)) — Cov=0.000083, Var(idx)=0.000070, ρ=0.255,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8,892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σ_j=3.89%/j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2026-10-02</w:t>
            </w:r>
          </w:p>
        </w:tc>
        <w:tc>
          <w:tcPr>
            <w:tcW w:type="dxa" w:w="1440"/>
            <w:shd w:fill="FFDCE0" w:val="clear"/>
          </w:tcPr>
          <w:p>
            <w:r>
              <w:rPr>
                <w:sz w:val="17"/>
              </w:rPr>
              <w:t>4,034</w:t>
            </w:r>
          </w:p>
        </w:tc>
        <w:tc>
          <w:tcPr>
            <w:tcW w:type="dxa" w:w="1440"/>
            <w:shd w:fill="FFDCE0" w:val="clear"/>
          </w:tcPr>
          <w:p>
            <w:r>
              <w:rPr>
                <w:b/>
                <w:sz w:val="17"/>
              </w:rPr>
              <w:t>4,346</w:t>
            </w:r>
          </w:p>
        </w:tc>
        <w:tc>
          <w:tcPr>
            <w:tcW w:type="dxa" w:w="1440"/>
            <w:shd w:fill="FFDCE0" w:val="clear"/>
          </w:tcPr>
          <w:p>
            <w:r>
              <w:rPr>
                <w:sz w:val="17"/>
              </w:rPr>
              <w:t>4,658</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2026-10-05</w:t>
            </w:r>
          </w:p>
        </w:tc>
        <w:tc>
          <w:tcPr>
            <w:tcW w:type="dxa" w:w="1440"/>
            <w:shd w:fill="FFDCE0" w:val="clear"/>
          </w:tcPr>
          <w:p>
            <w:r>
              <w:rPr>
                <w:sz w:val="17"/>
              </w:rPr>
              <w:t>3,868</w:t>
            </w:r>
          </w:p>
        </w:tc>
        <w:tc>
          <w:tcPr>
            <w:tcW w:type="dxa" w:w="1440"/>
            <w:shd w:fill="FFDCE0" w:val="clear"/>
          </w:tcPr>
          <w:p>
            <w:r>
              <w:rPr>
                <w:b/>
                <w:sz w:val="17"/>
              </w:rPr>
              <w:t>4,305</w:t>
            </w:r>
          </w:p>
        </w:tc>
        <w:tc>
          <w:tcPr>
            <w:tcW w:type="dxa" w:w="1440"/>
            <w:shd w:fill="FFDCE0" w:val="clear"/>
          </w:tcPr>
          <w:p>
            <w:r>
              <w:rPr>
                <w:sz w:val="17"/>
              </w:rPr>
              <w:t>4,742</w:t>
            </w:r>
          </w:p>
        </w:tc>
        <w:tc>
          <w:tcPr>
            <w:tcW w:type="dxa" w:w="1440"/>
            <w:shd w:fill="FFDCE0" w:val="clear"/>
          </w:tcPr>
          <w:p>
            <w:r>
              <w:rPr>
                <w:b/>
                <w:color w:val="C00000"/>
                <w:sz w:val="17"/>
              </w:rPr>
              <w:t>-3.3%</w:t>
            </w:r>
          </w:p>
        </w:tc>
      </w:tr>
      <w:tr>
        <w:tc>
          <w:tcPr>
            <w:tcW w:type="dxa" w:w="1440"/>
            <w:shd w:fill="FFDCE0" w:val="clear"/>
          </w:tcPr>
          <w:p>
            <w:r>
              <w:rPr>
                <w:sz w:val="17"/>
              </w:rPr>
              <w:t>J+3  ⭐</w:t>
            </w:r>
          </w:p>
        </w:tc>
        <w:tc>
          <w:tcPr>
            <w:tcW w:type="dxa" w:w="1440"/>
            <w:shd w:fill="FFDCE0" w:val="clear"/>
          </w:tcPr>
          <w:p>
            <w:r>
              <w:rPr>
                <w:sz w:val="17"/>
              </w:rPr>
              <w:t>2026-10-06</w:t>
            </w:r>
          </w:p>
        </w:tc>
        <w:tc>
          <w:tcPr>
            <w:tcW w:type="dxa" w:w="1440"/>
            <w:shd w:fill="FFDCE0" w:val="clear"/>
          </w:tcPr>
          <w:p>
            <w:r>
              <w:rPr>
                <w:sz w:val="17"/>
              </w:rPr>
              <w:t>3,760</w:t>
            </w:r>
          </w:p>
        </w:tc>
        <w:tc>
          <w:tcPr>
            <w:tcW w:type="dxa" w:w="1440"/>
            <w:shd w:fill="FFDCE0" w:val="clear"/>
          </w:tcPr>
          <w:p>
            <w:r>
              <w:rPr>
                <w:b/>
                <w:sz w:val="17"/>
              </w:rPr>
              <w:t>4,294</w:t>
            </w:r>
          </w:p>
        </w:tc>
        <w:tc>
          <w:tcPr>
            <w:tcW w:type="dxa" w:w="1440"/>
            <w:shd w:fill="FFDCE0" w:val="clear"/>
          </w:tcPr>
          <w:p>
            <w:r>
              <w:rPr>
                <w:sz w:val="17"/>
              </w:rPr>
              <w:t>4,828</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3,672</w:t>
            </w:r>
          </w:p>
        </w:tc>
        <w:tc>
          <w:tcPr>
            <w:tcW w:type="dxa" w:w="1440"/>
            <w:shd w:fill="FFDCE0" w:val="clear"/>
          </w:tcPr>
          <w:p>
            <w:r>
              <w:rPr>
                <w:b/>
                <w:sz w:val="17"/>
              </w:rPr>
              <w:t>4,288</w:t>
            </w:r>
          </w:p>
        </w:tc>
        <w:tc>
          <w:tcPr>
            <w:tcW w:type="dxa" w:w="1440"/>
            <w:shd w:fill="FFDCE0" w:val="clear"/>
          </w:tcPr>
          <w:p>
            <w:r>
              <w:rPr>
                <w:sz w:val="17"/>
              </w:rPr>
              <w:t>4,904</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3,595</w:t>
            </w:r>
          </w:p>
        </w:tc>
        <w:tc>
          <w:tcPr>
            <w:tcW w:type="dxa" w:w="1440"/>
            <w:shd w:fill="FFDCE0" w:val="clear"/>
          </w:tcPr>
          <w:p>
            <w:r>
              <w:rPr>
                <w:b/>
                <w:sz w:val="17"/>
              </w:rPr>
              <w:t>4,282</w:t>
            </w:r>
          </w:p>
        </w:tc>
        <w:tc>
          <w:tcPr>
            <w:tcW w:type="dxa" w:w="1440"/>
            <w:shd w:fill="FFDCE0" w:val="clear"/>
          </w:tcPr>
          <w:p>
            <w:r>
              <w:rPr>
                <w:sz w:val="17"/>
              </w:rPr>
              <w:t>4,970</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3,525</w:t>
            </w:r>
          </w:p>
        </w:tc>
        <w:tc>
          <w:tcPr>
            <w:tcW w:type="dxa" w:w="1440"/>
            <w:shd w:fill="FFDCE0" w:val="clear"/>
          </w:tcPr>
          <w:p>
            <w:r>
              <w:rPr>
                <w:b/>
                <w:sz w:val="17"/>
              </w:rPr>
              <w:t>4,277</w:t>
            </w:r>
          </w:p>
        </w:tc>
        <w:tc>
          <w:tcPr>
            <w:tcW w:type="dxa" w:w="1440"/>
            <w:shd w:fill="FFDCE0" w:val="clear"/>
          </w:tcPr>
          <w:p>
            <w:r>
              <w:rPr>
                <w:sz w:val="17"/>
              </w:rPr>
              <w:t>5,029</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3,460</w:t>
            </w:r>
          </w:p>
        </w:tc>
        <w:tc>
          <w:tcPr>
            <w:tcW w:type="dxa" w:w="1440"/>
            <w:shd w:fill="FFDCE0" w:val="clear"/>
          </w:tcPr>
          <w:p>
            <w:r>
              <w:rPr>
                <w:b/>
                <w:sz w:val="17"/>
              </w:rPr>
              <w:t>4,271</w:t>
            </w:r>
          </w:p>
        </w:tc>
        <w:tc>
          <w:tcPr>
            <w:tcW w:type="dxa" w:w="1440"/>
            <w:shd w:fill="FFDCE0" w:val="clear"/>
          </w:tcPr>
          <w:p>
            <w:r>
              <w:rPr>
                <w:sz w:val="17"/>
              </w:rPr>
              <w:t>5,083</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3,400</w:t>
            </w:r>
          </w:p>
        </w:tc>
        <w:tc>
          <w:tcPr>
            <w:tcW w:type="dxa" w:w="1440"/>
            <w:shd w:fill="FFDCE0" w:val="clear"/>
          </w:tcPr>
          <w:p>
            <w:r>
              <w:rPr>
                <w:b/>
                <w:sz w:val="17"/>
              </w:rPr>
              <w:t>4,266</w:t>
            </w:r>
          </w:p>
        </w:tc>
        <w:tc>
          <w:tcPr>
            <w:tcW w:type="dxa" w:w="1440"/>
            <w:shd w:fill="FFDCE0" w:val="clear"/>
          </w:tcPr>
          <w:p>
            <w:r>
              <w:rPr>
                <w:sz w:val="17"/>
              </w:rPr>
              <w:t>5,132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3,343</w:t>
            </w:r>
          </w:p>
        </w:tc>
        <w:tc>
          <w:tcPr>
            <w:tcW w:type="dxa" w:w="1440"/>
            <w:shd w:fill="FFDCE0" w:val="clear"/>
          </w:tcPr>
          <w:p>
            <w:r>
              <w:rPr>
                <w:b/>
                <w:sz w:val="17"/>
              </w:rPr>
              <w:t>4,261</w:t>
            </w:r>
          </w:p>
        </w:tc>
        <w:tc>
          <w:tcPr>
            <w:tcW w:type="dxa" w:w="1440"/>
            <w:shd w:fill="FFDCE0" w:val="clear"/>
          </w:tcPr>
          <w:p>
            <w:r>
              <w:rPr>
                <w:sz w:val="17"/>
              </w:rPr>
              <w:t>5,179</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3,289</w:t>
            </w:r>
          </w:p>
        </w:tc>
        <w:tc>
          <w:tcPr>
            <w:tcW w:type="dxa" w:w="1440"/>
            <w:shd w:fill="FFDCE0" w:val="clear"/>
          </w:tcPr>
          <w:p>
            <w:r>
              <w:rPr>
                <w:b/>
                <w:sz w:val="17"/>
              </w:rPr>
              <w:t>4,256</w:t>
            </w:r>
          </w:p>
        </w:tc>
        <w:tc>
          <w:tcPr>
            <w:tcW w:type="dxa" w:w="1440"/>
            <w:shd w:fill="FFDCE0" w:val="clear"/>
          </w:tcPr>
          <w:p>
            <w:r>
              <w:rPr>
                <w:sz w:val="17"/>
              </w:rPr>
              <w:t>5,222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 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**52,82 Mds FCFA**, SAFC se situe dans la catégorie des valeurs moyennes de la cote BRVM, loin des mastodontes bancaires régionaux mais suffisamment liquide pour intéresser les investisseurs institutionnels. Le BPA de **59 FCFA/action** (exercice 2025) traduit un bénéfice net de 701 M FCFA rapporté au capital, mais le **PER de 75,4x** révèle que le marché paie très cher chaque franc de bénéfice — un niveau 6 à 9 fois supérieur à la moyenne BRVM (~8-12x), ce qui intègre déjà une anticipation forte du redressement en cours. Le **P/B de 8,93x** confirme cette prime exigeante : le marché valorise SAFC près de 9 fois ses fonds propres comptables (5,916 Mds FCFA), alors qu'une banque saine se négocie généralement entre 1x et 2x. Enfin, l'**EV/EBITDA de 85,1x** (très au-delà du seuil de 15x) signale une valorisation opérationnelle tendue, cohérente avec un établissement en phase de retournement où les multiples restent déconnectés des fondamentaux actuels — ces ratios élevés constituent un signal de prudence majeur, le titre ayant déjà « priced in » plusieurs années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SAFC affiche une **progression totale de +27,14%**, mais la dernière séance (J-1) marque un repli de **-3,16%**, signe d'une prise de bénéfices après le rallye. Le cours actuel de **4 450 FCFA** évolue dans un range très large de **3 485 FCFA (plus bas) à 6 200 FCFA (plus haut)**, soit une amplitude de 78% qui témoigne d'une forte nervosité. La tendance générale est haussière sur la période, mais le titre s'est nettement replié depuis son sommet, perdant près de 28% depuis le pic — un mouvement correctif classique après une flambée spéculative. Les statistiques descriptives révèlent une **moyenne (4 651 FCFA) légèrement supérieure à la médiane (4 580 FCFA)**, avec un mode à 3 700 FCFA : la distribution est donc légèrement asymétrique à droite, le skewness de **0,312** confirmant cette symétrie quasi-parfaite, tandis que le kurtosis de **-0,931** (mésokurtique) indique une distribution proche de la normale, sans risque extrême de pics. L'écart-type de **739 FCFA (CV = 15,9%)** traduit une dispersion modérée du cours autour de sa moyenne, mais la **volatilité annualisée de 61,7%** classe résolument SAFC parmi les titres à volatilité **élevée** (&gt;30%),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(4 920,25 FCFA) et la MM50 (5 203,5 FCFA) se situent toutes deux **au-dessus du cours actuel** (4 450 FCFA), configuration baissière caractéristique où le prix évolue sous ses moyennes. La MM20 étant elle-même inférieure à la MM50, on observe un croisement baissier (death cross) confirmé, justifiant la **décision de Vente**.</w:t>
      </w:r>
    </w:p>
    <w:p>
      <w:pPr>
        <w:spacing w:after="120" w:line="276" w:lineRule="auto"/>
      </w:pPr>
      <w:r>
        <w:t>**Bandes de Bollinger** : Le cours (4 450 FCFA) se situe dans la moitié inférieure de la bande, entre la borne inférieure (3 726,66 FCFA) et la borne supérieure (6 113,84 FCFA), sans toucher les extrêmes. Cette position médiane, couplée à un écart-type élevé, traduit une volatilité importante mais sans signal de retournement imminent — d'où la **décision Neutre**.</w:t>
      </w:r>
    </w:p>
    <w:p>
      <w:pPr>
        <w:spacing w:after="120" w:line="276" w:lineRule="auto"/>
      </w:pPr>
      <w:r>
        <w:t>**MACD** : La valeur du MACD (-264,585) est **inférieure à son signal (-236,44)**, avec un histogramme négatif qui indique un momentum baissier persistant. La divergence négative entre les deux lignes confirme la pression vendeuse, justifiant la **décision de Vente**.</w:t>
      </w:r>
    </w:p>
    <w:p>
      <w:pPr>
        <w:spacing w:after="120" w:line="276" w:lineRule="auto"/>
      </w:pPr>
      <w:r>
        <w:t>**RSI** : À **33,564**, le RSI se situe juste au-dessus du seuil de survente (30), zone où le titre devient techniquement intéressant pour un rebond mais sans encore de signal d'achat franc. Cette position neutre-basse justifie la **décision Neutre**, avec une vigilance sur une éventuelle cassure sous 30.</w:t>
      </w:r>
    </w:p>
    <w:p>
      <w:pPr>
        <w:spacing w:after="120" w:line="276" w:lineRule="auto"/>
      </w:pPr>
      <w:r>
        <w:t>**Stochastique** : Le %K (38,525) est **inférieur au %D (45,38)**, configuration baissière où les deux lignes évoluent en zone neutre-basse sans croisement haussier. L'absence de signal d'achat clair justifie la **décision Neutre**.</w:t>
      </w:r>
    </w:p>
    <w:p>
      <w:pPr>
        <w:spacing w:after="120" w:line="276" w:lineRule="auto"/>
      </w:pPr>
      <w:r>
        <w:t>**Conclusion technique** : Les indicateurs convergent majoritairement vers un **biais baissier** — moyennes mobiles en configuration défavorable, MACD négatif, cours sous ses références — tandis que le RSI et le stochastique en zone neutre-basse suggèrent un potentiel de rebond technique à court terme. Le titre se trouve dans une phase de consolidation corrective après un rallye épuisé, avec un support critique à surveiller autour de 3 726 FCFA (borne inférieure de Bollinger) et une résistance immédiate à 4 920 FCFA (MM20).</w:t>
      </w:r>
    </w:p>
    <w:p>
      <w:pPr>
        <w:spacing w:after="120" w:line="276" w:lineRule="auto"/>
      </w:pPr>
      <w:r>
        <w:t>---</w:t>
      </w:r>
    </w:p>
    <w:p>
      <w:pPr>
        <w:spacing w:after="120" w:line="276" w:lineRule="auto"/>
      </w:pPr>
      <w:r>
        <w:t>## PARTIE 3 : ANALYSE FONDAMENTALE</w:t>
      </w:r>
    </w:p>
    <w:p>
      <w:pPr>
        <w:spacing w:after="120" w:line="276" w:lineRule="auto"/>
      </w:pPr>
      <w:r>
        <w:t>**Données structurées (exercice 2025)** : SAFC affiche un **Produit Net Bancaire (PNB) de 5 735 M FCFA** en 2025, en **croissance spectaculaire de +44,1%** par rapport aux 3 980 M FCFA de 2024, portée par la hausse des intérêts et produits assimilés (8 236 M FCFA) et le doublement des commissions (686 M FCFA). Le **résultat net s'établit à 701 M FCFA**, marquant un **retournement historique** après une perte de -165 M FCFA en 2024 — la fin de huit années consécutives de déficits. Les ratios de rentabilité s'améliorent nettement : **ROE de 11,85%** (contre négatif en 2024) et **ROA de 0,88%**, tandis que la **marge nette atteint 12,22%** et la marge opérationnelle 15,80%. En tant que banque, le **coefficient d'exploitation de 77,63%** reste élevé (norme &lt;60% pour une banque efficace), et le **coût du risque de 6,57%** (provisions/charges financières) demeure significatif, bien qu'en amélioration. La structure financière reste fragile : **autonomie financière de seulement 7,44%** (capitaux propres/total bilan), **ratio d'endettement de 856%** et **trésorerie nette négative de -35,32 Mds FCFA**, avec une dépendance marquée aux dettes interbancaires (35,75 Mds FCFA).</w:t>
      </w:r>
    </w:p>
    <w:p>
      <w:pPr>
        <w:spacing w:after="120" w:line="276" w:lineRule="auto"/>
      </w:pPr>
      <w:r>
        <w:t>**Estimations basées sur les rapports trimestriels** : Le rapport **S1 2026 (30 juin 2026)** confirme l'accélération avec un **PNB de 2 907 M FCFA (+37%)** et un **résultat net de 731 M FCFA (+231%)**, déjà supérieur au bénéfice annuel 2025 — porté par une **reprise nette sur coût du risque de 261 M FCFA** (contre une charge de 93 M FCFA un an plus tôt). Le **T1 2026** affichait déjà un résultat net de 151 M FCFA (+1 062%) et un ratio CET1 remonté à 11,49%. Sur cette base, on peut **estimer que l'exercice 2026 devrait générer un résultat net annuel compris entre 1,4 et 1,6 Md FCFA**, soit un doublement par rapport à 2025, avec un PNB projeté autour de 5,8-6,0 Mds FCFA. L'augmentation de capital de 1,5 Md FCFA (avis BRVM du 14/04/2026, 3 750 000 actions nouvelles à 400 FCFA) devrait renforcer les fonds propres et soutenir les ratios prudentiels.</w:t>
      </w:r>
    </w:p>
    <w:p>
      <w:pPr>
        <w:spacing w:after="120" w:line="276" w:lineRule="auto"/>
      </w:pPr>
      <w:r>
        <w:t>**Recommandation fondamentale** : La dynamique de redressement est **indéniable et spectaculaire**, portée par l'entrée de CREDAF Group comme actionnaire principal (avril 2025) et une gestion rigoureuse du risque. Cependant, la **fragilité structurelle persiste** — fonds propres modestes, report à nouveau négatif (-4 123 M FCFA), dépendance au financement interbancaire — ce qui maintient le titre dans une catégorie **spéculative à haut risque**. Les perspectives 2026 sont favorables, mais la valorisation actuelle (PER 75x) intègre déjà une grande partie du redressement.</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**décalage préoccupant entre la valorisation et les fondamentaux**. Les ratios de valorisation (PER 75,4x, P/B 8,93x, EV/EBITDA 85,1x) indiquent une **surévaluation manifeste** par rapport aux standards BRVM, le marché ayant déjà anticipé plusieurs années de croissance. Le comportement du cours (Partie 1) montre une tendance haussière sur 100 jours (+27,14%) mais un repli récent (-3,16% en J-1) et une volatilité élevée (61,7%), avec des statistiques (kurtosis -0,931, skewness 0,312) qui ne signalent pas de risque extrême mais confirment une nervosité importante. Les signaux techniques (Partie 2) sont majoritairement **baissiers** — moyennes mobiles défavorables, MACD négatif — bien que le RSI (33,56) et le stochastique approchent de zones de survente propices à un rebond technique. Les fondamentaux (Partie 3) sont **en nette amélioration** (PNB +44%, résultat net positif, S1 2026 +231%), mais la structure financière reste fragile et la valorisation exigeante. Les **prédictions IA (J+1 à J+10)** anticipent une **poursuite de la correction baissière** (4 346 → 4 282 FCFA), confirmant les signaux techniques baissiers à court terme.</w:t>
      </w:r>
    </w:p>
    <w:p>
      <w:pPr>
        <w:spacing w:after="120" w:line="276" w:lineRule="auto"/>
      </w:pPr>
      <w:r>
        <w:t>**Recommandation finale : CONSERVER** (avec surveillance active)</w:t>
        <w:br/>
        <w:t>**Justification** : Il y a **divergence** entre le fondamental (amélioration réelle et durable) et la technique/valorisation (surévaluation et momentum baissier). Le titre mérite d'être conservé pour les investisseurs déjà positionnés, mais **l'achat n'est pas justifié à ces niveaux** — une correction vers 3 800-4 000 FCFA offrirait un point d'entrée plus attractif. La **vente** serait prématurée compte tenu de la dynamique opérationnelle.</w:t>
        <w:br/>
        <w:t>**Niveau de confiance** : Moyen (les fondamentaux soutiennent le titre mais la valorisation limite le potentiel)</w:t>
        <w:br/>
        <w:t>**Niveau de risque global** : Élevé (volatilité 61,7%, structure financière fragile, dépendance au financement interbancaire)</w:t>
        <w:br/>
        <w:t>**Horizon d'investissement optimal** : Moyen terme (3-12 mois), en attendant la confirmation des résultats annuels 2026 et la consolidation des fonds propres post-augmentation de capital.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11,214 titres</w:t>
            </w:r>
          </w:p>
        </w:tc>
        <w:tc>
          <w:tcPr>
            <w:tcW w:type="dxa" w:w="2268"/>
            <w:shd w:fill="FFF2CC" w:val="clear"/>
          </w:tcPr>
          <w:p>
            <w:r>
              <w:rPr>
                <w:b/>
                <w:color w:val="503200"/>
                <w:sz w:val="16"/>
              </w:rPr>
              <w:t xml:space="preserve">Cours actuel : </w:t>
            </w:r>
            <w:r>
              <w:rPr>
                <w:color w:val="000000"/>
                <w:sz w:val="17"/>
              </w:rPr>
              <w:t>2,790 FCFA</w:t>
            </w:r>
          </w:p>
          <w:p>
            <w:r>
              <w:rPr>
                <w:b/>
                <w:color w:val="503200"/>
                <w:sz w:val="16"/>
              </w:rPr>
              <w:t xml:space="preserve">Var. 100 jours : </w:t>
            </w:r>
            <w:r>
              <w:rPr>
                <w:b/>
                <w:color w:val="007800"/>
                <w:sz w:val="17"/>
              </w:rPr>
              <w:t>+30.68%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2,080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14.64% (Moyenne) — μ=3,172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β=1.3655 (Agressif) — Cov=0.000088, Var(idx)=0.000065, ρ=0.293,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11,214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2026-10-02</w:t>
            </w:r>
          </w:p>
        </w:tc>
        <w:tc>
          <w:tcPr>
            <w:tcW w:type="dxa" w:w="1440"/>
            <w:shd w:fill="C6EFCE" w:val="clear"/>
          </w:tcPr>
          <w:p>
            <w:r>
              <w:rPr>
                <w:sz w:val="17"/>
              </w:rPr>
              <w:t>2,688</w:t>
            </w:r>
          </w:p>
        </w:tc>
        <w:tc>
          <w:tcPr>
            <w:tcW w:type="dxa" w:w="1440"/>
            <w:shd w:fill="C6EFCE" w:val="clear"/>
          </w:tcPr>
          <w:p>
            <w:r>
              <w:rPr>
                <w:b/>
                <w:sz w:val="17"/>
              </w:rPr>
              <w:t>2,847</w:t>
            </w:r>
          </w:p>
        </w:tc>
        <w:tc>
          <w:tcPr>
            <w:tcW w:type="dxa" w:w="1440"/>
            <w:shd w:fill="C6EFCE" w:val="clear"/>
          </w:tcPr>
          <w:p>
            <w:r>
              <w:rPr>
                <w:sz w:val="17"/>
              </w:rPr>
              <w:t>3,006</w:t>
            </w:r>
          </w:p>
        </w:tc>
        <w:tc>
          <w:tcPr>
            <w:tcW w:type="dxa" w:w="1440"/>
            <w:shd w:fill="C6EFCE" w:val="clear"/>
          </w:tcPr>
          <w:p>
            <w:r>
              <w:rPr>
                <w:b/>
                <w:color w:val="008000"/>
                <w:sz w:val="17"/>
              </w:rPr>
              <w:t>+2.0%</w:t>
            </w:r>
          </w:p>
        </w:tc>
      </w:tr>
      <w:tr>
        <w:tc>
          <w:tcPr>
            <w:tcW w:type="dxa" w:w="1440"/>
            <w:shd w:fill="C6EFCE" w:val="clear"/>
          </w:tcPr>
          <w:p>
            <w:r>
              <w:rPr>
                <w:sz w:val="17"/>
              </w:rPr>
              <w:t>J+2  Moyenne</w:t>
            </w:r>
          </w:p>
        </w:tc>
        <w:tc>
          <w:tcPr>
            <w:tcW w:type="dxa" w:w="1440"/>
            <w:shd w:fill="C6EFCE" w:val="clear"/>
          </w:tcPr>
          <w:p>
            <w:r>
              <w:rPr>
                <w:sz w:val="17"/>
              </w:rPr>
              <w:t>2026-10-05</w:t>
            </w:r>
          </w:p>
        </w:tc>
        <w:tc>
          <w:tcPr>
            <w:tcW w:type="dxa" w:w="1440"/>
            <w:shd w:fill="C6EFCE" w:val="clear"/>
          </w:tcPr>
          <w:p>
            <w:r>
              <w:rPr>
                <w:sz w:val="17"/>
              </w:rPr>
              <w:t>2,696</w:t>
            </w:r>
          </w:p>
        </w:tc>
        <w:tc>
          <w:tcPr>
            <w:tcW w:type="dxa" w:w="1440"/>
            <w:shd w:fill="C6EFCE" w:val="clear"/>
          </w:tcPr>
          <w:p>
            <w:r>
              <w:rPr>
                <w:b/>
                <w:sz w:val="17"/>
              </w:rPr>
              <w:t>2,927</w:t>
            </w:r>
          </w:p>
        </w:tc>
        <w:tc>
          <w:tcPr>
            <w:tcW w:type="dxa" w:w="1440"/>
            <w:shd w:fill="C6EFCE" w:val="clear"/>
          </w:tcPr>
          <w:p>
            <w:r>
              <w:rPr>
                <w:sz w:val="17"/>
              </w:rPr>
              <w:t>3,159</w:t>
            </w:r>
          </w:p>
        </w:tc>
        <w:tc>
          <w:tcPr>
            <w:tcW w:type="dxa" w:w="1440"/>
            <w:shd w:fill="C6EFCE" w:val="clear"/>
          </w:tcPr>
          <w:p>
            <w:r>
              <w:rPr>
                <w:b/>
                <w:color w:val="008000"/>
                <w:sz w:val="17"/>
              </w:rPr>
              <w:t>+4.9%</w:t>
            </w:r>
          </w:p>
        </w:tc>
      </w:tr>
      <w:tr>
        <w:tc>
          <w:tcPr>
            <w:tcW w:type="dxa" w:w="1440"/>
            <w:shd w:fill="C6EFCE" w:val="clear"/>
          </w:tcPr>
          <w:p>
            <w:r>
              <w:rPr>
                <w:sz w:val="17"/>
              </w:rPr>
              <w:t>J+3  Moyenne</w:t>
            </w:r>
          </w:p>
        </w:tc>
        <w:tc>
          <w:tcPr>
            <w:tcW w:type="dxa" w:w="1440"/>
            <w:shd w:fill="C6EFCE" w:val="clear"/>
          </w:tcPr>
          <w:p>
            <w:r>
              <w:rPr>
                <w:sz w:val="17"/>
              </w:rPr>
              <w:t>2026-10-06</w:t>
            </w:r>
          </w:p>
        </w:tc>
        <w:tc>
          <w:tcPr>
            <w:tcW w:type="dxa" w:w="1440"/>
            <w:shd w:fill="C6EFCE" w:val="clear"/>
          </w:tcPr>
          <w:p>
            <w:r>
              <w:rPr>
                <w:sz w:val="17"/>
              </w:rPr>
              <w:t>2,721</w:t>
            </w:r>
          </w:p>
        </w:tc>
        <w:tc>
          <w:tcPr>
            <w:tcW w:type="dxa" w:w="1440"/>
            <w:shd w:fill="C6EFCE" w:val="clear"/>
          </w:tcPr>
          <w:p>
            <w:r>
              <w:rPr>
                <w:b/>
                <w:sz w:val="17"/>
              </w:rPr>
              <w:t>3,013</w:t>
            </w:r>
          </w:p>
        </w:tc>
        <w:tc>
          <w:tcPr>
            <w:tcW w:type="dxa" w:w="1440"/>
            <w:shd w:fill="C6EFCE" w:val="clear"/>
          </w:tcPr>
          <w:p>
            <w:r>
              <w:rPr>
                <w:sz w:val="17"/>
              </w:rPr>
              <w:t>3,304</w:t>
            </w:r>
          </w:p>
        </w:tc>
        <w:tc>
          <w:tcPr>
            <w:tcW w:type="dxa" w:w="1440"/>
            <w:shd w:fill="C6EFCE" w:val="clear"/>
          </w:tcPr>
          <w:p>
            <w:r>
              <w:rPr>
                <w:b/>
                <w:color w:val="008000"/>
                <w:sz w:val="17"/>
              </w:rPr>
              <w:t>+8.0%</w:t>
            </w:r>
          </w:p>
        </w:tc>
      </w:tr>
      <w:tr>
        <w:tc>
          <w:tcPr>
            <w:tcW w:type="dxa" w:w="1440"/>
            <w:shd w:fill="C6EFCE" w:val="clear"/>
          </w:tcPr>
          <w:p>
            <w:r>
              <w:rPr>
                <w:sz w:val="17"/>
              </w:rPr>
              <w:t>J+4  ⭐</w:t>
            </w:r>
          </w:p>
        </w:tc>
        <w:tc>
          <w:tcPr>
            <w:tcW w:type="dxa" w:w="1440"/>
            <w:shd w:fill="C6EFCE" w:val="clear"/>
          </w:tcPr>
          <w:p>
            <w:r>
              <w:rPr>
                <w:sz w:val="17"/>
              </w:rPr>
              <w:t>2026-10-07</w:t>
            </w:r>
          </w:p>
        </w:tc>
        <w:tc>
          <w:tcPr>
            <w:tcW w:type="dxa" w:w="1440"/>
            <w:shd w:fill="C6EFCE" w:val="clear"/>
          </w:tcPr>
          <w:p>
            <w:r>
              <w:rPr>
                <w:sz w:val="17"/>
              </w:rPr>
              <w:t>2,736</w:t>
            </w:r>
          </w:p>
        </w:tc>
        <w:tc>
          <w:tcPr>
            <w:tcW w:type="dxa" w:w="1440"/>
            <w:shd w:fill="C6EFCE" w:val="clear"/>
          </w:tcPr>
          <w:p>
            <w:r>
              <w:rPr>
                <w:b/>
                <w:sz w:val="17"/>
              </w:rPr>
              <w:t>3,081</w:t>
            </w:r>
          </w:p>
        </w:tc>
        <w:tc>
          <w:tcPr>
            <w:tcW w:type="dxa" w:w="1440"/>
            <w:shd w:fill="C6EFCE" w:val="clear"/>
          </w:tcPr>
          <w:p>
            <w:r>
              <w:rPr>
                <w:sz w:val="17"/>
              </w:rPr>
              <w:t>3,425</w:t>
            </w:r>
          </w:p>
        </w:tc>
        <w:tc>
          <w:tcPr>
            <w:tcW w:type="dxa" w:w="1440"/>
            <w:shd w:fill="C6EFCE" w:val="clear"/>
          </w:tcPr>
          <w:p>
            <w:r>
              <w:rPr>
                <w:b/>
                <w:color w:val="008000"/>
                <w:sz w:val="17"/>
              </w:rPr>
              <w:t>+10.4%</w:t>
            </w:r>
          </w:p>
        </w:tc>
      </w:tr>
      <w:tr>
        <w:tc>
          <w:tcPr>
            <w:tcW w:type="dxa" w:w="1440"/>
            <w:shd w:fill="C6EFCE" w:val="clear"/>
          </w:tcPr>
          <w:p>
            <w:r>
              <w:rPr>
                <w:sz w:val="17"/>
              </w:rPr>
              <w:t>J+5  ⭐</w:t>
            </w:r>
          </w:p>
        </w:tc>
        <w:tc>
          <w:tcPr>
            <w:tcW w:type="dxa" w:w="1440"/>
            <w:shd w:fill="C6EFCE" w:val="clear"/>
          </w:tcPr>
          <w:p>
            <w:r>
              <w:rPr>
                <w:sz w:val="17"/>
              </w:rPr>
              <w:t>2026-10-08</w:t>
            </w:r>
          </w:p>
        </w:tc>
        <w:tc>
          <w:tcPr>
            <w:tcW w:type="dxa" w:w="1440"/>
            <w:shd w:fill="C6EFCE" w:val="clear"/>
          </w:tcPr>
          <w:p>
            <w:r>
              <w:rPr>
                <w:sz w:val="17"/>
              </w:rPr>
              <w:t>2,741</w:t>
            </w:r>
          </w:p>
        </w:tc>
        <w:tc>
          <w:tcPr>
            <w:tcW w:type="dxa" w:w="1440"/>
            <w:shd w:fill="C6EFCE" w:val="clear"/>
          </w:tcPr>
          <w:p>
            <w:r>
              <w:rPr>
                <w:b/>
                <w:sz w:val="17"/>
              </w:rPr>
              <w:t>3,133</w:t>
            </w:r>
          </w:p>
        </w:tc>
        <w:tc>
          <w:tcPr>
            <w:tcW w:type="dxa" w:w="1440"/>
            <w:shd w:fill="C6EFCE" w:val="clear"/>
          </w:tcPr>
          <w:p>
            <w:r>
              <w:rPr>
                <w:sz w:val="17"/>
              </w:rPr>
              <w:t>3,525</w:t>
            </w:r>
          </w:p>
        </w:tc>
        <w:tc>
          <w:tcPr>
            <w:tcW w:type="dxa" w:w="1440"/>
            <w:shd w:fill="C6EFCE" w:val="clear"/>
          </w:tcPr>
          <w:p>
            <w:r>
              <w:rPr>
                <w:b/>
                <w:color w:val="008000"/>
                <w:sz w:val="17"/>
              </w:rPr>
              <w:t>+12.3%</w:t>
            </w:r>
          </w:p>
        </w:tc>
      </w:tr>
      <w:tr>
        <w:tc>
          <w:tcPr>
            <w:tcW w:type="dxa" w:w="1440"/>
            <w:shd w:fill="C6EFCE" w:val="clear"/>
          </w:tcPr>
          <w:p>
            <w:r>
              <w:rPr>
                <w:sz w:val="17"/>
              </w:rPr>
              <w:t>J+6  ⭐</w:t>
            </w:r>
          </w:p>
        </w:tc>
        <w:tc>
          <w:tcPr>
            <w:tcW w:type="dxa" w:w="1440"/>
            <w:shd w:fill="C6EFCE" w:val="clear"/>
          </w:tcPr>
          <w:p>
            <w:r>
              <w:rPr>
                <w:sz w:val="17"/>
              </w:rPr>
              <w:t>2026-10-09</w:t>
            </w:r>
          </w:p>
        </w:tc>
        <w:tc>
          <w:tcPr>
            <w:tcW w:type="dxa" w:w="1440"/>
            <w:shd w:fill="C6EFCE" w:val="clear"/>
          </w:tcPr>
          <w:p>
            <w:r>
              <w:rPr>
                <w:sz w:val="17"/>
              </w:rPr>
              <w:t>2,740</w:t>
            </w:r>
          </w:p>
        </w:tc>
        <w:tc>
          <w:tcPr>
            <w:tcW w:type="dxa" w:w="1440"/>
            <w:shd w:fill="C6EFCE" w:val="clear"/>
          </w:tcPr>
          <w:p>
            <w:r>
              <w:rPr>
                <w:b/>
                <w:sz w:val="17"/>
              </w:rPr>
              <w:t>3,175</w:t>
            </w:r>
          </w:p>
        </w:tc>
        <w:tc>
          <w:tcPr>
            <w:tcW w:type="dxa" w:w="1440"/>
            <w:shd w:fill="C6EFCE" w:val="clear"/>
          </w:tcPr>
          <w:p>
            <w:r>
              <w:rPr>
                <w:sz w:val="17"/>
              </w:rPr>
              <w:t>3,610</w:t>
            </w:r>
          </w:p>
        </w:tc>
        <w:tc>
          <w:tcPr>
            <w:tcW w:type="dxa" w:w="1440"/>
            <w:shd w:fill="C6EFCE" w:val="clear"/>
          </w:tcPr>
          <w:p>
            <w:r>
              <w:rPr>
                <w:b/>
                <w:color w:val="008000"/>
                <w:sz w:val="17"/>
              </w:rPr>
              <w:t>+13.8%</w:t>
            </w:r>
          </w:p>
        </w:tc>
      </w:tr>
      <w:tr>
        <w:tc>
          <w:tcPr>
            <w:tcW w:type="dxa" w:w="1440"/>
            <w:shd w:fill="C6EFCE" w:val="clear"/>
          </w:tcPr>
          <w:p>
            <w:r>
              <w:rPr>
                <w:sz w:val="17"/>
              </w:rPr>
              <w:t>J+7  ⭐</w:t>
            </w:r>
          </w:p>
        </w:tc>
        <w:tc>
          <w:tcPr>
            <w:tcW w:type="dxa" w:w="1440"/>
            <w:shd w:fill="C6EFCE" w:val="clear"/>
          </w:tcPr>
          <w:p>
            <w:r>
              <w:rPr>
                <w:sz w:val="17"/>
              </w:rPr>
              <w:t>2026-10-12</w:t>
            </w:r>
          </w:p>
        </w:tc>
        <w:tc>
          <w:tcPr>
            <w:tcW w:type="dxa" w:w="1440"/>
            <w:shd w:fill="C6EFCE" w:val="clear"/>
          </w:tcPr>
          <w:p>
            <w:r>
              <w:rPr>
                <w:sz w:val="17"/>
              </w:rPr>
              <w:t>2,734</w:t>
            </w:r>
          </w:p>
        </w:tc>
        <w:tc>
          <w:tcPr>
            <w:tcW w:type="dxa" w:w="1440"/>
            <w:shd w:fill="C6EFCE" w:val="clear"/>
          </w:tcPr>
          <w:p>
            <w:r>
              <w:rPr>
                <w:b/>
                <w:sz w:val="17"/>
              </w:rPr>
              <w:t>3,209</w:t>
            </w:r>
          </w:p>
        </w:tc>
        <w:tc>
          <w:tcPr>
            <w:tcW w:type="dxa" w:w="1440"/>
            <w:shd w:fill="C6EFCE" w:val="clear"/>
          </w:tcPr>
          <w:p>
            <w:r>
              <w:rPr>
                <w:sz w:val="17"/>
              </w:rPr>
              <w:t>3,684</w:t>
            </w:r>
          </w:p>
        </w:tc>
        <w:tc>
          <w:tcPr>
            <w:tcW w:type="dxa" w:w="1440"/>
            <w:shd w:fill="C6EFCE" w:val="clear"/>
          </w:tcPr>
          <w:p>
            <w:r>
              <w:rPr>
                <w:b/>
                <w:color w:val="008000"/>
                <w:sz w:val="17"/>
              </w:rPr>
              <w:t>+15.0%</w:t>
            </w:r>
          </w:p>
        </w:tc>
      </w:tr>
      <w:tr>
        <w:tc>
          <w:tcPr>
            <w:tcW w:type="dxa" w:w="1440"/>
            <w:shd w:fill="C6EFCE" w:val="clear"/>
          </w:tcPr>
          <w:p>
            <w:r>
              <w:rPr>
                <w:sz w:val="17"/>
              </w:rPr>
              <w:t>J+8  ⭐</w:t>
            </w:r>
          </w:p>
        </w:tc>
        <w:tc>
          <w:tcPr>
            <w:tcW w:type="dxa" w:w="1440"/>
            <w:shd w:fill="C6EFCE" w:val="clear"/>
          </w:tcPr>
          <w:p>
            <w:r>
              <w:rPr>
                <w:sz w:val="17"/>
              </w:rPr>
              <w:t>2026-10-13</w:t>
            </w:r>
          </w:p>
        </w:tc>
        <w:tc>
          <w:tcPr>
            <w:tcW w:type="dxa" w:w="1440"/>
            <w:shd w:fill="C6EFCE" w:val="clear"/>
          </w:tcPr>
          <w:p>
            <w:r>
              <w:rPr>
                <w:sz w:val="17"/>
              </w:rPr>
              <w:t>2,726</w:t>
            </w:r>
          </w:p>
        </w:tc>
        <w:tc>
          <w:tcPr>
            <w:tcW w:type="dxa" w:w="1440"/>
            <w:shd w:fill="C6EFCE" w:val="clear"/>
          </w:tcPr>
          <w:p>
            <w:r>
              <w:rPr>
                <w:b/>
                <w:sz w:val="17"/>
              </w:rPr>
              <w:t>3,239</w:t>
            </w:r>
          </w:p>
        </w:tc>
        <w:tc>
          <w:tcPr>
            <w:tcW w:type="dxa" w:w="1440"/>
            <w:shd w:fill="C6EFCE" w:val="clear"/>
          </w:tcPr>
          <w:p>
            <w:r>
              <w:rPr>
                <w:sz w:val="17"/>
              </w:rPr>
              <w:t>3,751</w:t>
            </w:r>
          </w:p>
        </w:tc>
        <w:tc>
          <w:tcPr>
            <w:tcW w:type="dxa" w:w="1440"/>
            <w:shd w:fill="C6EFCE" w:val="clear"/>
          </w:tcPr>
          <w:p>
            <w:r>
              <w:rPr>
                <w:b/>
                <w:color w:val="008000"/>
                <w:sz w:val="17"/>
              </w:rPr>
              <w:t>+16.1%</w:t>
            </w:r>
          </w:p>
        </w:tc>
      </w:tr>
      <w:tr>
        <w:tc>
          <w:tcPr>
            <w:tcW w:type="dxa" w:w="1440"/>
            <w:shd w:fill="C6EFCE" w:val="clear"/>
          </w:tcPr>
          <w:p>
            <w:r>
              <w:rPr>
                <w:sz w:val="17"/>
              </w:rPr>
              <w:t>J+9  ⭐</w:t>
            </w:r>
          </w:p>
        </w:tc>
        <w:tc>
          <w:tcPr>
            <w:tcW w:type="dxa" w:w="1440"/>
            <w:shd w:fill="C6EFCE" w:val="clear"/>
          </w:tcPr>
          <w:p>
            <w:r>
              <w:rPr>
                <w:sz w:val="17"/>
              </w:rPr>
              <w:t>2026-10-14</w:t>
            </w:r>
          </w:p>
        </w:tc>
        <w:tc>
          <w:tcPr>
            <w:tcW w:type="dxa" w:w="1440"/>
            <w:shd w:fill="C6EFCE" w:val="clear"/>
          </w:tcPr>
          <w:p>
            <w:r>
              <w:rPr>
                <w:sz w:val="17"/>
              </w:rPr>
              <w:t>2,717</w:t>
            </w:r>
          </w:p>
        </w:tc>
        <w:tc>
          <w:tcPr>
            <w:tcW w:type="dxa" w:w="1440"/>
            <w:shd w:fill="C6EFCE" w:val="clear"/>
          </w:tcPr>
          <w:p>
            <w:r>
              <w:rPr>
                <w:b/>
                <w:sz w:val="17"/>
              </w:rPr>
              <w:t>3,264</w:t>
            </w:r>
          </w:p>
        </w:tc>
        <w:tc>
          <w:tcPr>
            <w:tcW w:type="dxa" w:w="1440"/>
            <w:shd w:fill="C6EFCE" w:val="clear"/>
          </w:tcPr>
          <w:p>
            <w:r>
              <w:rPr>
                <w:sz w:val="17"/>
              </w:rPr>
              <w:t>3,812</w:t>
            </w:r>
          </w:p>
        </w:tc>
        <w:tc>
          <w:tcPr>
            <w:tcW w:type="dxa" w:w="1440"/>
            <w:shd w:fill="C6EFCE" w:val="clear"/>
          </w:tcPr>
          <w:p>
            <w:r>
              <w:rPr>
                <w:b/>
                <w:color w:val="008000"/>
                <w:sz w:val="17"/>
              </w:rPr>
              <w:t>+17.0%</w:t>
            </w:r>
          </w:p>
        </w:tc>
      </w:tr>
      <w:tr>
        <w:tc>
          <w:tcPr>
            <w:tcW w:type="dxa" w:w="1440"/>
            <w:shd w:fill="C6EFCE" w:val="clear"/>
          </w:tcPr>
          <w:p>
            <w:r>
              <w:rPr>
                <w:sz w:val="17"/>
              </w:rPr>
              <w:t>J+10  ⭐</w:t>
            </w:r>
          </w:p>
        </w:tc>
        <w:tc>
          <w:tcPr>
            <w:tcW w:type="dxa" w:w="1440"/>
            <w:shd w:fill="C6EFCE" w:val="clear"/>
          </w:tcPr>
          <w:p>
            <w:r>
              <w:rPr>
                <w:sz w:val="17"/>
              </w:rPr>
              <w:t>2026-10-15</w:t>
            </w:r>
          </w:p>
        </w:tc>
        <w:tc>
          <w:tcPr>
            <w:tcW w:type="dxa" w:w="1440"/>
            <w:shd w:fill="C6EFCE" w:val="clear"/>
          </w:tcPr>
          <w:p>
            <w:r>
              <w:rPr>
                <w:sz w:val="17"/>
              </w:rPr>
              <w:t>2,705</w:t>
            </w:r>
          </w:p>
        </w:tc>
        <w:tc>
          <w:tcPr>
            <w:tcW w:type="dxa" w:w="1440"/>
            <w:shd w:fill="C6EFCE" w:val="clear"/>
          </w:tcPr>
          <w:p>
            <w:r>
              <w:rPr>
                <w:b/>
                <w:sz w:val="17"/>
              </w:rPr>
              <w:t>3,287</w:t>
            </w:r>
          </w:p>
        </w:tc>
        <w:tc>
          <w:tcPr>
            <w:tcW w:type="dxa" w:w="1440"/>
            <w:shd w:fill="C6EFCE" w:val="clear"/>
          </w:tcPr>
          <w:p>
            <w:r>
              <w:rPr>
                <w:sz w:val="17"/>
              </w:rPr>
              <w:t>3,868</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54,68 milliards FCFA, un niveau intermédiaire à l'échelle de la BRVM qui traduit la taille industrielle de l'entreprise sans lui conférer le statut de valeur lourde du compartiment. Le BPA ressort à -406 FCFA/action, conséquence directe de la perte nette de 7,95 milliards FCFA enregistrée en 2025, ce qui rend le PER inopérant (-6,9x) : les investisseurs ne peuvent pas valoriser la société sur ses bénéfices actuels, ce qui constitue un signal d'alerte majeur. Le P/B de 3,17x indique que le marché valorise SCRC à plus de trois fois ses fonds propres comptables (17,24 milliards FCFA), soit une prime de croissance significative qui apparaît difficilement justifiable au regard de la dégradation des résultats. En revanche, l'EV/EBITDA de 9,8x se situe dans la fourchette raisonnable de 5-10x, suggérant que la valeur d'entreprise reste soutenue par la capacité opérationnelle (EBE de 14,85 milliards FCFA) malgré les difficultés financières. L'absence de dividende et de visibilité sur les bénéfices futurs pèse sur l'attractivité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affiche une progression totale de +30,68%, mais la dernière séance (J-1) enregistre un repli de -1,59%, signalant un essoufflement de la dynamique haussière. Le titre évolue dans un range très large entre un plus bas de 2 080 FCFA et un plus haut de 3 920 FCFA, soit une amplitude de 88%, ce qui témoigne d'une forte nervosité du marché. La tendance générale reste haussière sur la période, portée par un rebond technique après le point bas, mais le cours actuel (2 790 FCFA) se situe désormais sous sa moyenne (3 172 FCFA) et sa médiane (3 298 FCFA), révélant une distribution asymétrique avec un écart de 126 FCFA entre ces deux mesures. L'écart-type de 467 FCFA et le coefficient de variation de 14,7% confirment une dispersion modérée à élevée du cours autour de sa moyenne. Le kurtosis de -0,543 (mésokurtique) indique une distribution proche de la normale, sans risque de pics extrêmes marqués, tandis que le skewness de -0,696 (asymétrie négative) signale que les journées de baisse sont plus fréquentes que les journées de hausse au-dessus de la moyenne, un signal baissier sous-jacent. Enfin, la volatilité annualisée de 58,9% classe SCRC dans la catégorie des titres à volatilité élevée (&gt;30%), ce qui implique un risque important pour les investisseurs et justifie une prime de risque exigeante.</w:t>
      </w:r>
    </w:p>
    <w:p>
      <w:pPr>
        <w:spacing w:after="120" w:line="276" w:lineRule="auto"/>
      </w:pPr>
      <w:r>
        <w:t>---</w:t>
      </w:r>
    </w:p>
    <w:p>
      <w:pPr>
        <w:spacing w:after="120" w:line="276" w:lineRule="auto"/>
      </w:pPr>
      <w:r>
        <w:t>### PARTIE 2 : ANALYSE TECHNIQUE DÉTAILLÉE</w:t>
      </w:r>
    </w:p>
    <w:p>
      <w:pPr>
        <w:spacing w:after="120" w:line="276" w:lineRule="auto"/>
      </w:pPr>
      <w:r>
        <w:t>**Moyennes Mobiles** : La MM20 (3 224,75 FCFA) et la MM50 (3 437,0 FCFA) se situent toutes deux au-dessus du cours actuel (2 790 FCFA), confirmant une configuration baissière de court et moyen terme. Le croisement des moyennes mobiles est défavorable, avec une MM20 inférieure à la MM50, ce qui valide la décision technique de **Vente**.</w:t>
      </w:r>
    </w:p>
    <w:p>
      <w:pPr>
        <w:spacing w:after="120" w:line="276" w:lineRule="auto"/>
      </w:pPr>
      <w:r>
        <w:t>**Bandes de Bollinger** : Le cours (2 790 FCFA) évolue dans la partie basse des bandes, au-dessus de la borne inférieure (2 594,24 FCFA) mais loin de la borne supérieure (3 855,26 FCFA). Cette position suggère une pression vendeuse persistante, mais la décision technique est **Neutre**, car le cours n'a pas encore cassé la borne inférieure, laissant une possibilité de rebond technique.</w:t>
      </w:r>
    </w:p>
    <w:p>
      <w:pPr>
        <w:spacing w:after="120" w:line="276" w:lineRule="auto"/>
      </w:pPr>
      <w:r>
        <w:t>**MACD** : La valeur du MACD (-174,34) est inférieure à son signal (-137,18), avec un histogramme négatif qui se creuse, traduisant un momentum baissier toujours actif. La divergence entre le MACD et son signal confirme la décision de **Vente**, sans signe de retournement imminent.</w:t>
      </w:r>
    </w:p>
    <w:p>
      <w:pPr>
        <w:spacing w:after="120" w:line="276" w:lineRule="auto"/>
      </w:pPr>
      <w:r>
        <w:t>**RSI** : Le RSI s'établit à 26,80, en zone de survente (&lt;30), ce qui indique que le titre est techniquement survendu et pourrait connaître un rebond à court terme. Cette configuration justifie la décision d'**Achat** à contre-tendance, mais elle doit être pondérée par la faiblesse des autres indicateurs.</w:t>
      </w:r>
    </w:p>
    <w:p>
      <w:pPr>
        <w:spacing w:after="120" w:line="276" w:lineRule="auto"/>
      </w:pPr>
      <w:r>
        <w:t>**Stochastique** : Le %K (12,35) est inférieur au %D (19,99), mais les deux se situent en zone de survente, avec un croisement potentiel à venir. La décision technique est **Achat**, suggérant une possible reprise à très court terme si le %K croise le %D à la hausse.</w:t>
      </w:r>
    </w:p>
    <w:p>
      <w:pPr>
        <w:spacing w:after="120" w:line="276" w:lineRule="auto"/>
      </w:pPr>
      <w:r>
        <w:t>**Conclusion technique** : Les indicateurs techniques présentent une divergence notable : les moyennes mobiles et le MACD confirment une tendance baissière de fond, tandis que le RSI et le stochastique signalent une survente propice à un rebond technique. Cette configuration contradictoire plaide pour une prudence extrême, avec un potentiel de rebond limité dans un contexte fondamental dégradé.</w:t>
      </w:r>
    </w:p>
    <w:p>
      <w:pPr>
        <w:spacing w:after="120" w:line="276" w:lineRule="auto"/>
      </w:pPr>
      <w:r>
        <w:t>---</w:t>
      </w:r>
    </w:p>
    <w:p>
      <w:pPr>
        <w:spacing w:after="120" w:line="276" w:lineRule="auto"/>
      </w:pPr>
      <w:r>
        <w:t>### PARTIE 3 : ANALYSE FONDAMENTALE</w:t>
      </w:r>
    </w:p>
    <w:p>
      <w:pPr>
        <w:spacing w:after="120" w:line="276" w:lineRule="auto"/>
      </w:pPr>
      <w:r>
        <w:t>En 2025, SCRC a enregistré un chiffre d'affaires de 80,57 milliards FCFA, en recul de 7,6% par rapport aux 87,22 milliards FCFA de 2024, marquant une inversion de la dynamique commerciale après la forte croissance de 2024 (+28%). Le résultat net s'établit à -7,95 milliards FCFA (normes IFRS) contre un bénéfice de 2,47 milliards FCFA en 2024, soit une dégradation de 421%, principalement attribuable à l'explosion des charges financières (+262% à 6,79 milliards FCFA) et à la chute du résultat opérationnel courant (-210 millions FCFA contre +5,8 milliards en 2024). Les ratios de rentabilité sont tous négatifs : ROE de -46,13%, ROA de -5,08%, et marge nette de -9,87%, confirmant la destruction de valeur pour les actionnaires. La structure financière est critique : l'autonomie financière n'est que de 11,02% (seuil sain &gt;30%), le ratio d'endettement atteint 88,98% (dettes totales/capitaux propres), et la trésorerie nette est négative à -6,51 milliards FCFA, exposant l'entreprise à un risque de liquidité élevé. Les délais d'exploitation révèlent une gestion préoccupante : le délai fournisseurs de 366 jours est anormalement long (bien que favorable à la trésorerie à court terme), tandis que la durée de stockage de 361 jours traduit une immobilisation massive de capital dans les stocks (52,13 milliards FCFA). Sur la base du rapport du 1er semestre 2025 (publié le 30/06/2025), qui faisait état d'une perte nette de -6,71 milliards FCFA et d'un résultat d'exploitation négatif de -3,18 milliards FCFA, on estime que l'exercice 2025 devrait se solder par une perte annuelle comprise entre -7 et -8 milliards FCFA, ce qui est confirmé par les états financiers définitifs. La comparaison avec les exercices antérieurs montre une volatilité extrême des résultats : perte de -9,01 milliards en 2023, bénéfice de 2,47 milliards en 2024, perte de -7,95 milliards en 2025, ce qui rend toute projection hasardeuse. La recommandation fondamentale est de **VENDRE** ou de **CONSERVER avec une vigilance extrême** : la société fait face à un endettement insoutenable, une rentabilité opérationnelle négative, et une dépendance aux éléments financiers exceptionnels, sans visibilité sur un retour à la profitabilité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baissière préoccupante. La valorisation (Partie 0) est défavorable : le PER négatif (-6,9x) et le P/B élevé (3,17x) indiquent que le marché valorise une société déficitaire à une prime injustifiée, tandis que l'EV/EBITDA (9,8x) ne compense pas cette anomalie. Le comportement du cours (Partie 1) est mitigé : la hausse de +30,68% sur 100 jours est contrebalancée par un skewness négatif (-0,696) et une volatilité élevée (58,9%), signalant une tendance haussière fragile et vulnérable aux corrections. Les signaux techniques (Partie 2) sont contradictoires : les moyennes mobiles et le MACD confirment une tendance baissière, tandis que le RSI (26,8) et le stochastique (12,3) suggèrent une survente propice à un rebond technique de court terme. Les fondamentaux (Partie 3) sont clairement dégradés : perte nette de -7,95 milliards FCFA en 2025, endettement critique (88,98% des capitaux propres), trésorerie négative (-6,51 milliards FCFA), et absence de dividende. Les prédictions IA (J+1 à J+10) anticipent une reprise progressive du cours de 2 847 FCFA à 3 133 FCFA, ce qui contredit les signaux fondamentaux et techniques baissiers, suggérant un rebond purement spéculatif. Sur la base de cette synthèse, la recommandation finale est **VENTE** (ou **CONSERVER** pour les investisseurs déjà positionnés avec une tolérance au risque élevée), avec un niveau de confiance **Moyen** en raison de la divergence entre les indicateurs techniques de court terme (survente) et les fondamentaux dégradés. Le niveau de risque global est **Élevé**, compte tenu de l'endettement massif, de la trésorerie négative et de l'absence de perspective de retour à la profitabilité à court terme. L'horizon d'investissement optimal est **court terme (&lt;3 mois)** pour profiter d'un éventuel rebond technique, mais tout investissement à moyen ou long terme est déconseillé tant que la restructuration financière et opérationnelle n'aura pas produit de résultats tangibles.</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1,487 titres</w:t>
            </w:r>
          </w:p>
        </w:tc>
        <w:tc>
          <w:tcPr>
            <w:tcW w:type="dxa" w:w="2268"/>
            <w:shd w:fill="FFF2CC" w:val="clear"/>
          </w:tcPr>
          <w:p>
            <w:r>
              <w:rPr>
                <w:b/>
                <w:color w:val="503200"/>
                <w:sz w:val="16"/>
              </w:rPr>
              <w:t xml:space="preserve">Cours actuel : </w:t>
            </w:r>
            <w:r>
              <w:rPr>
                <w:color w:val="000000"/>
                <w:sz w:val="17"/>
              </w:rPr>
              <w:t>12,940 FCFA</w:t>
            </w:r>
          </w:p>
          <w:p>
            <w:r>
              <w:rPr>
                <w:b/>
                <w:color w:val="503200"/>
                <w:sz w:val="16"/>
              </w:rPr>
              <w:t xml:space="preserve">Var. 100 jours : </w:t>
            </w:r>
            <w:r>
              <w:rPr>
                <w:b/>
                <w:color w:val="007800"/>
                <w:sz w:val="17"/>
              </w:rPr>
              <w:t>+42.28%</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9,095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7.65% (Moyenne) — μ=11,922 FCFA, σ=912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β=0.7551 (Défensif) — Cov=0.000053, Var(idx)=0.000070, ρ=0.255,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12,235</w:t>
            </w:r>
          </w:p>
        </w:tc>
        <w:tc>
          <w:tcPr>
            <w:tcW w:type="dxa" w:w="1440"/>
            <w:shd w:fill="FAFAFA" w:val="clear"/>
          </w:tcPr>
          <w:p>
            <w:r>
              <w:rPr>
                <w:b/>
                <w:sz w:val="17"/>
              </w:rPr>
              <w:t>12,947</w:t>
            </w:r>
          </w:p>
        </w:tc>
        <w:tc>
          <w:tcPr>
            <w:tcW w:type="dxa" w:w="1440"/>
            <w:shd w:fill="FAFAFA" w:val="clear"/>
          </w:tcPr>
          <w:p>
            <w:r>
              <w:rPr>
                <w:sz w:val="17"/>
              </w:rPr>
              <w:t>13,659</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11,954</w:t>
            </w:r>
          </w:p>
        </w:tc>
        <w:tc>
          <w:tcPr>
            <w:tcW w:type="dxa" w:w="1440"/>
            <w:shd w:fill="FAFAFA" w:val="clear"/>
          </w:tcPr>
          <w:p>
            <w:r>
              <w:rPr>
                <w:b/>
                <w:sz w:val="17"/>
              </w:rPr>
              <w:t>12,962</w:t>
            </w:r>
          </w:p>
        </w:tc>
        <w:tc>
          <w:tcPr>
            <w:tcW w:type="dxa" w:w="1440"/>
            <w:shd w:fill="FAFAFA" w:val="clear"/>
          </w:tcPr>
          <w:p>
            <w:r>
              <w:rPr>
                <w:sz w:val="17"/>
              </w:rPr>
              <w:t>13,971</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11,735</w:t>
            </w:r>
          </w:p>
        </w:tc>
        <w:tc>
          <w:tcPr>
            <w:tcW w:type="dxa" w:w="1440"/>
            <w:shd w:fill="FAFAFA" w:val="clear"/>
          </w:tcPr>
          <w:p>
            <w:r>
              <w:rPr>
                <w:b/>
                <w:sz w:val="17"/>
              </w:rPr>
              <w:t>12,971</w:t>
            </w:r>
          </w:p>
        </w:tc>
        <w:tc>
          <w:tcPr>
            <w:tcW w:type="dxa" w:w="1440"/>
            <w:shd w:fill="FAFAFA" w:val="clear"/>
          </w:tcPr>
          <w:p>
            <w:r>
              <w:rPr>
                <w:sz w:val="17"/>
              </w:rPr>
              <w:t>14,207</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11,540</w:t>
            </w:r>
          </w:p>
        </w:tc>
        <w:tc>
          <w:tcPr>
            <w:tcW w:type="dxa" w:w="1440"/>
            <w:shd w:fill="FAFAFA" w:val="clear"/>
          </w:tcPr>
          <w:p>
            <w:r>
              <w:rPr>
                <w:b/>
                <w:sz w:val="17"/>
              </w:rPr>
              <w:t>12,967</w:t>
            </w:r>
          </w:p>
        </w:tc>
        <w:tc>
          <w:tcPr>
            <w:tcW w:type="dxa" w:w="1440"/>
            <w:shd w:fill="FAFAFA" w:val="clear"/>
          </w:tcPr>
          <w:p>
            <w:r>
              <w:rPr>
                <w:sz w:val="17"/>
              </w:rPr>
              <w:t>14,394</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11,378</w:t>
            </w:r>
          </w:p>
        </w:tc>
        <w:tc>
          <w:tcPr>
            <w:tcW w:type="dxa" w:w="1440"/>
            <w:shd w:fill="FAFAFA" w:val="clear"/>
          </w:tcPr>
          <w:p>
            <w:r>
              <w:rPr>
                <w:b/>
                <w:sz w:val="17"/>
              </w:rPr>
              <w:t>12,974</w:t>
            </w:r>
          </w:p>
        </w:tc>
        <w:tc>
          <w:tcPr>
            <w:tcW w:type="dxa" w:w="1440"/>
            <w:shd w:fill="FAFAFA" w:val="clear"/>
          </w:tcPr>
          <w:p>
            <w:r>
              <w:rPr>
                <w:sz w:val="17"/>
              </w:rPr>
              <w:t>14,570</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11,234</w:t>
            </w:r>
          </w:p>
        </w:tc>
        <w:tc>
          <w:tcPr>
            <w:tcW w:type="dxa" w:w="1440"/>
            <w:shd w:fill="FAFAFA" w:val="clear"/>
          </w:tcPr>
          <w:p>
            <w:r>
              <w:rPr>
                <w:b/>
                <w:sz w:val="17"/>
              </w:rPr>
              <w:t>12,983</w:t>
            </w:r>
          </w:p>
        </w:tc>
        <w:tc>
          <w:tcPr>
            <w:tcW w:type="dxa" w:w="1440"/>
            <w:shd w:fill="FAFAFA" w:val="clear"/>
          </w:tcPr>
          <w:p>
            <w:r>
              <w:rPr>
                <w:sz w:val="17"/>
              </w:rPr>
              <w:t>14,733</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11,105</w:t>
            </w:r>
          </w:p>
        </w:tc>
        <w:tc>
          <w:tcPr>
            <w:tcW w:type="dxa" w:w="1440"/>
            <w:shd w:fill="FAFAFA" w:val="clear"/>
          </w:tcPr>
          <w:p>
            <w:r>
              <w:rPr>
                <w:b/>
                <w:sz w:val="17"/>
              </w:rPr>
              <w:t>12,997</w:t>
            </w:r>
          </w:p>
        </w:tc>
        <w:tc>
          <w:tcPr>
            <w:tcW w:type="dxa" w:w="1440"/>
            <w:shd w:fill="FAFAFA" w:val="clear"/>
          </w:tcPr>
          <w:p>
            <w:r>
              <w:rPr>
                <w:sz w:val="17"/>
              </w:rPr>
              <w:t>14,889</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10,992</w:t>
            </w:r>
          </w:p>
        </w:tc>
        <w:tc>
          <w:tcPr>
            <w:tcW w:type="dxa" w:w="1440"/>
            <w:shd w:fill="FAFAFA" w:val="clear"/>
          </w:tcPr>
          <w:p>
            <w:r>
              <w:rPr>
                <w:b/>
                <w:sz w:val="17"/>
              </w:rPr>
              <w:t>13,017</w:t>
            </w:r>
          </w:p>
        </w:tc>
        <w:tc>
          <w:tcPr>
            <w:tcW w:type="dxa" w:w="1440"/>
            <w:shd w:fill="FAFAFA" w:val="clear"/>
          </w:tcPr>
          <w:p>
            <w:r>
              <w:rPr>
                <w:sz w:val="17"/>
              </w:rPr>
              <w:t>15,043</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10,891</w:t>
            </w:r>
          </w:p>
        </w:tc>
        <w:tc>
          <w:tcPr>
            <w:tcW w:type="dxa" w:w="1440"/>
            <w:shd w:fill="FAFAFA" w:val="clear"/>
          </w:tcPr>
          <w:p>
            <w:r>
              <w:rPr>
                <w:b/>
                <w:sz w:val="17"/>
              </w:rPr>
              <w:t>13,044</w:t>
            </w:r>
          </w:p>
        </w:tc>
        <w:tc>
          <w:tcPr>
            <w:tcW w:type="dxa" w:w="1440"/>
            <w:shd w:fill="FAFAFA" w:val="clear"/>
          </w:tcPr>
          <w:p>
            <w:r>
              <w:rPr>
                <w:sz w:val="17"/>
              </w:rPr>
              <w:t>15,197</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10,790</w:t>
            </w:r>
          </w:p>
        </w:tc>
        <w:tc>
          <w:tcPr>
            <w:tcW w:type="dxa" w:w="1440"/>
            <w:shd w:fill="FAFAFA" w:val="clear"/>
          </w:tcPr>
          <w:p>
            <w:r>
              <w:rPr>
                <w:b/>
                <w:sz w:val="17"/>
              </w:rPr>
              <w:t>13,062</w:t>
            </w:r>
          </w:p>
        </w:tc>
        <w:tc>
          <w:tcPr>
            <w:tcW w:type="dxa" w:w="1440"/>
            <w:shd w:fill="FAFAFA" w:val="clear"/>
          </w:tcPr>
          <w:p>
            <w:r>
              <w:rPr>
                <w:sz w:val="17"/>
              </w:rPr>
              <w:t>15,335</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116,46 Mds FCFA, SDCC s'inscrit parmi les valeurs de taille intermédiaire de la cote BRVM, ce qui lui confère une certaine liquidité relative mais reste éloigné des poids lourds du marché. Le BPA de 518 FCFA/action signifie que chaque titre génère un bénéfice net de 518 FCFA, ce qui, rapporté au cours actuel de 12 940 FCFA, aboutit à un PER de 25,0x — nettement supérieur à la moyenne du marché BRVM (généralement comprise entre 8 et 12x), traduisant soit une anticipation de forte croissance par le marché, soit une surévaluation manifeste. Le P/B de 5,91x indique que le marché valorise l'entreprise à près de six fois sa valeur comptable, une prime très exigeante qui suppose une rentabilité future élevée et durable. Enfin, l'EV/EBITDA de 14,9x, situé dans le haut de la fourchette 10-15x, confirme que la valeur d'entreprise (incluant la dette) est chèrement payée au regard de la capacité opérationnelle de génération de cash. L'ensemble de ces ratios dessine un profil de valorisation tendu, où le marché intègre déjà beaucoup de bonnes nouvelles.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+42,28%, passant d'un plus bas de 9 095 FCFA à un plus haut de 13 885 FCFA, pour un cours actuel de 12 940 FCFA, en léger repli de -0,46% lors de la dernière séance. Ce range de trading de près de 4 800 FCFA témoigne d'une tendance nettement haussière, portée par un intérêt croissant des investisseurs pour la valeur. Les statistiques descriptives révèlent une moyenne de 11 922 FCFA très proche de la médiane (11 960 FCFA), signe d'une distribution globalement équilibrée, bien que le mode (11 900 FCFA) suggère une concentration des échanges autour de ce niveau. L'écart-type de 917 FCFA, avec un coefficient de variation de 7,7%, indique une dispersion modérée du cours autour de sa moyenne. Le kurtosis de 1,503 (leptokurtique) signale des queues épaisses, donc un risque de pics de volatilité brutaux, tandis que le skewness de -0,554 (asymétrie négative) indique davantage de journées de hausse au-dessus de la moyenne, mais avec des baisses ponctuelles plus marquées. La volatilité annualisée de 39,2% positionne le titre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(12 912,5 FCFA) et la MM50 (12 421,8 FCFA) se situent toutes deux sous le cours actuel (12 940 FCFA), avec la MM20 au-dessus de la MM50, configuration classique de tendance haussière. Le signal d'achat est donc justifié par cette structure positive, bien que le cours évolue très près de sa MM20, ce qui suggère une possible consolidation à court terme.</w:t>
      </w:r>
    </w:p>
    <w:p>
      <w:pPr>
        <w:spacing w:after="120" w:line="276" w:lineRule="auto"/>
      </w:pPr>
      <w:r>
        <w:t>**Bandes de Bollinger** : Le cours actuel (12 940 FCFA) se situe dans la partie médiane de la bande, entre la borne inférieure (11 445 FCFA) et la borne supérieure (14 380 FCFA), sans atteindre les extrêmes. Cette position neutre indique l'absence de pression acheteuse ou vendeuse excessive, et la décision « Neutre » reflète un équilibre entre les forces en présence, avec une volatilité contenue dans les bornes.</w:t>
      </w:r>
    </w:p>
    <w:p>
      <w:pPr>
        <w:spacing w:after="120" w:line="276" w:lineRule="auto"/>
      </w:pPr>
      <w:r>
        <w:t>**MACD** : La valeur du MACD (-1,89) est nettement inférieure à son signal (12,469), générant une divergence baissière et un signal de vente. Ce croisement négatif suggère un essoufflement du momentum haussier et un risque de correction à court terme, en contradiction avec la tendance de fond haussière observée sur les moyennes mobiles.</w:t>
      </w:r>
    </w:p>
    <w:p>
      <w:pPr>
        <w:spacing w:after="120" w:line="276" w:lineRule="auto"/>
      </w:pPr>
      <w:r>
        <w:t>**RSI** : À 46,179, le RSI se situe en zone neutre (entre 30 et 70), sans signal de surachat ni de survente. Cette valeur médiane indique un équilibre relatif, mais la légère tendance baissière du RSI par rapport à son pic récent pourrait annoncer une consolidation avant une nouvelle impulsion.</w:t>
      </w:r>
    </w:p>
    <w:p>
      <w:pPr>
        <w:spacing w:after="120" w:line="276" w:lineRule="auto"/>
      </w:pPr>
      <w:r>
        <w:t>**Stochastique** : Le %K (65,257) est légèrement inférieur au %D (66,605), sans croisement net, et les deux se situent en zone neutre-haute. Cette configuration ne génère pas de signal directionnel fort, mais la proximité du niveau 80 pourrait limiter le potentiel de hausse à court terme.</w:t>
      </w:r>
    </w:p>
    <w:p>
      <w:pPr>
        <w:spacing w:after="120" w:line="276" w:lineRule="auto"/>
      </w:pPr>
      <w:r>
        <w:t>**Conclusion technique** : Les indicateurs présentent une divergence notable : les moyennes mobiles confirment la tendance haussière de fond, tandis que le MACD émet un signal de vente et que le RSI et le stochastique restent neutres. Cette configuration suggère une phase de consolidation ou de correction à court terme, dans un contexte de tendance haussière plus large. La prudence est de mise avant d'envisager de nouvelles positions acheteuses.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SDCC affichent un chiffre d'affaires de 189,430 Mds FCFA, en croissance de 9,98% par rapport à 2024, porté par la dynamique des ventes d'eau et l'augmentation du nombre de clients (+6,14% à 2,27 millions). Le résultat net s'établit à 4,663 Mds FCFA, en hausse de 31%, avec une marge nette de 2,46%, en amélioration par rapport aux 2,1% de 2024. Le ROE atteint 23,65%, un niveau excellent (&gt;15%), témoignant d'une forte rentabilité des fonds propres, tandis que le ROA reste faible à 0,99%, reflétant l'intensité capitalistique du secteur. Cependant, la structure financière présente des fragilités : l'autonomie financière n'est que de 4,17% (très en dessous du seuil sain de 30%), le ratio d'endettement atteint 95,83%, et la trésorerie nette est négative à -61,71 Mds FCFA. Le BFR de 104,748 Mds FCFA et le délai client de 749 jours constituent des points de vigilance majeurs, traduisant un risque de trésorerie important, même si le taux de recouvrement de 95,85% et le ratio de facturation de 85,51% montrent des efforts d'amélioration. Les flux opérationnels sont négatifs (-36,655 Mds FCFA) et le Free Cash Flow s'élève à -38,504 Mds FCFA, confirmant les tensions de liquidité. Le rapport du T1 2026 (publié en 2026) indique un chiffre d'affaires en léger repli de 2% à 40 916 M FCFA, mais un résultat net en bond spectaculaire de +118% à 1 318 M FCFA, grâce à une meilleure maîtrise des charges opérationnelles (résultat d'exploitation multiplié par 2,5 à 2 730 M FCFA). Sur la base de ce T1 2026, on peut estimer que l'exercice 2026 devrait bénéficier d'une poursuite de l'amélioration de la rentabilité opérationnelle, bien que la prudence reste de mise compte tenu de la pression fiscale (+476% d'impôt) et du recul du chiffre d'affaires. Le rapport annuel 2025 (publié en 2025) confirme la solidité opérationnelle avec un EBE de 21,8 Mds FCFA (+21%) et un résultat d'exploitation de 9,1 Mds FCFA (+34%), et propose un dividende attractif de 525 FCFA par action, soit un rendement de 4,06% au cours actuel. La recommandation fondamentale est de **CONSERVER** : la société affiche une rentabilité en amélioration et une position de monopole dans un secteur stratégique, mais les tensions de trésorerie et le niveau d'endettement élevé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tendue : le PER de 25,0x et le P/B de 5,91x traduisent une prime importante par rapport au marché et à la valeur comptable, tandis que l'EV/EBITDA de 14,9x confirme que le marché intègre déjà une forte croissance future. Le comportement du cours sur 100 jours est nettement haussier (+42,28%), mais la volatilité élevée (39,2%) et le kurtosis leptokurtique (1,503) signalent un risque de pics baissiers brutaux, ce que le skewness négatif (-0,554) confirme avec des baisses ponctuelles plus marquées que les hausses. Les signaux techniques sont divergents : les moyennes mobiles valident la tendance haussière, mais le MACD émet un signal de vente et le RSI/stochastique restent neutres, suggérant une consolidation à court terme. Les fondamentaux sont solides sur le plan opérationnel (ROE de 23,65%, croissance du CA de 9,98%, résultat net en hausse de 31% en 2025), mais fragiles sur le plan financier (autonomie financière de 4,17%, trésorerie nette de -61,71 Mds FCFA, BFR de 104,748 Mds FCFA). Les prédictions IA pour les 10 prochains jours (12 947 à 12 974 FCFA) anticipent une quasi-stabilité du cours, en légère hausse de +0,26% par rapport au cours actuel, ce qui contredit le signal de vente du MACD et confirme la phase de consolidation. Sur la base de cette synthèse, la recommandation finale est **CONSERVER**, avec un niveau de confiance **Moyen** et un risque global **Élevé**. La convergence entre la valorisation exigeante, les signaux techniques mitigés et les tensions de trésorerie ne justifie pas un achat agressif, mais la solidité opérationnelle et le dividende attractif (525 FCFA/action, soit 4,06% de rendement) plaident pour le maintien en portefeuille. L'horizon d'investissement optimal est le **moyen terme (3-12 mois)**, en attendant la confirmation d'un redressement durable de la rentabilité et d'une amélioration de la structure financière, notamment via les résultats du S1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18,373 titres</w:t>
            </w:r>
          </w:p>
        </w:tc>
        <w:tc>
          <w:tcPr>
            <w:tcW w:type="dxa" w:w="2268"/>
            <w:shd w:fill="FFF2CC" w:val="clear"/>
          </w:tcPr>
          <w:p>
            <w:r>
              <w:rPr>
                <w:b/>
                <w:color w:val="503200"/>
                <w:sz w:val="16"/>
              </w:rPr>
              <w:t xml:space="preserve">Cours actuel : </w:t>
            </w:r>
            <w:r>
              <w:rPr>
                <w:color w:val="000000"/>
                <w:sz w:val="17"/>
              </w:rPr>
              <w:t>2,915 FCFA</w:t>
            </w:r>
          </w:p>
          <w:p>
            <w:r>
              <w:rPr>
                <w:b/>
                <w:color w:val="503200"/>
                <w:sz w:val="16"/>
              </w:rPr>
              <w:t xml:space="preserve">Var. 100 jours : </w:t>
            </w:r>
            <w:r>
              <w:rPr>
                <w:b/>
                <w:color w:val="007800"/>
                <w:sz w:val="17"/>
              </w:rPr>
              <w:t>+67.05%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17.21% (Élevée) — μ=2,491 FCFA, σ=429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β=0.6945 (Défensif) — Cov=0.000048, Var(idx)=0.000070, ρ=0.178,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2,760</w:t>
            </w:r>
          </w:p>
        </w:tc>
        <w:tc>
          <w:tcPr>
            <w:tcW w:type="dxa" w:w="1440"/>
            <w:shd w:fill="FAFAFA" w:val="clear"/>
          </w:tcPr>
          <w:p>
            <w:r>
              <w:rPr>
                <w:b/>
                <w:sz w:val="17"/>
              </w:rPr>
              <w:t>2,906</w:t>
            </w:r>
          </w:p>
        </w:tc>
        <w:tc>
          <w:tcPr>
            <w:tcW w:type="dxa" w:w="1440"/>
            <w:shd w:fill="FAFAFA" w:val="clear"/>
          </w:tcPr>
          <w:p>
            <w:r>
              <w:rPr>
                <w:sz w:val="17"/>
              </w:rPr>
              <w:t>3,051</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2,702</w:t>
            </w:r>
          </w:p>
        </w:tc>
        <w:tc>
          <w:tcPr>
            <w:tcW w:type="dxa" w:w="1440"/>
            <w:shd w:fill="FAFAFA" w:val="clear"/>
          </w:tcPr>
          <w:p>
            <w:r>
              <w:rPr>
                <w:b/>
                <w:sz w:val="17"/>
              </w:rPr>
              <w:t>2,908</w:t>
            </w:r>
          </w:p>
        </w:tc>
        <w:tc>
          <w:tcPr>
            <w:tcW w:type="dxa" w:w="1440"/>
            <w:shd w:fill="FAFAFA" w:val="clear"/>
          </w:tcPr>
          <w:p>
            <w:r>
              <w:rPr>
                <w:sz w:val="17"/>
              </w:rPr>
              <w:t>3,114</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2,658</w:t>
            </w:r>
          </w:p>
        </w:tc>
        <w:tc>
          <w:tcPr>
            <w:tcW w:type="dxa" w:w="1440"/>
            <w:shd w:fill="FAFAFA" w:val="clear"/>
          </w:tcPr>
          <w:p>
            <w:r>
              <w:rPr>
                <w:b/>
                <w:sz w:val="17"/>
              </w:rPr>
              <w:t>2,910</w:t>
            </w:r>
          </w:p>
        </w:tc>
        <w:tc>
          <w:tcPr>
            <w:tcW w:type="dxa" w:w="1440"/>
            <w:shd w:fill="FAFAFA" w:val="clear"/>
          </w:tcPr>
          <w:p>
            <w:r>
              <w:rPr>
                <w:sz w:val="17"/>
              </w:rPr>
              <w:t>3,163</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2,619</w:t>
            </w:r>
          </w:p>
        </w:tc>
        <w:tc>
          <w:tcPr>
            <w:tcW w:type="dxa" w:w="1440"/>
            <w:shd w:fill="FAFAFA" w:val="clear"/>
          </w:tcPr>
          <w:p>
            <w:r>
              <w:rPr>
                <w:b/>
                <w:sz w:val="17"/>
              </w:rPr>
              <w:t>2,910</w:t>
            </w:r>
          </w:p>
        </w:tc>
        <w:tc>
          <w:tcPr>
            <w:tcW w:type="dxa" w:w="1440"/>
            <w:shd w:fill="FAFAFA" w:val="clear"/>
          </w:tcPr>
          <w:p>
            <w:r>
              <w:rPr>
                <w:sz w:val="17"/>
              </w:rPr>
              <w:t>3,202</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2,583</w:t>
            </w:r>
          </w:p>
        </w:tc>
        <w:tc>
          <w:tcPr>
            <w:tcW w:type="dxa" w:w="1440"/>
            <w:shd w:fill="FAFAFA" w:val="clear"/>
          </w:tcPr>
          <w:p>
            <w:r>
              <w:rPr>
                <w:b/>
                <w:sz w:val="17"/>
              </w:rPr>
              <w:t>2,909</w:t>
            </w:r>
          </w:p>
        </w:tc>
        <w:tc>
          <w:tcPr>
            <w:tcW w:type="dxa" w:w="1440"/>
            <w:shd w:fill="FAFAFA" w:val="clear"/>
          </w:tcPr>
          <w:p>
            <w:r>
              <w:rPr>
                <w:sz w:val="17"/>
              </w:rPr>
              <w:t>3,235</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2,550</w:t>
            </w:r>
          </w:p>
        </w:tc>
        <w:tc>
          <w:tcPr>
            <w:tcW w:type="dxa" w:w="1440"/>
            <w:shd w:fill="FAFAFA" w:val="clear"/>
          </w:tcPr>
          <w:p>
            <w:r>
              <w:rPr>
                <w:b/>
                <w:sz w:val="17"/>
              </w:rPr>
              <w:t>2,907</w:t>
            </w:r>
          </w:p>
        </w:tc>
        <w:tc>
          <w:tcPr>
            <w:tcW w:type="dxa" w:w="1440"/>
            <w:shd w:fill="FAFAFA" w:val="clear"/>
          </w:tcPr>
          <w:p>
            <w:r>
              <w:rPr>
                <w:sz w:val="17"/>
              </w:rPr>
              <w:t>3,264</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2,519</w:t>
            </w:r>
          </w:p>
        </w:tc>
        <w:tc>
          <w:tcPr>
            <w:tcW w:type="dxa" w:w="1440"/>
            <w:shd w:fill="FAFAFA" w:val="clear"/>
          </w:tcPr>
          <w:p>
            <w:r>
              <w:rPr>
                <w:b/>
                <w:sz w:val="17"/>
              </w:rPr>
              <w:t>2,905</w:t>
            </w:r>
          </w:p>
        </w:tc>
        <w:tc>
          <w:tcPr>
            <w:tcW w:type="dxa" w:w="1440"/>
            <w:shd w:fill="FAFAFA" w:val="clear"/>
          </w:tcPr>
          <w:p>
            <w:r>
              <w:rPr>
                <w:sz w:val="17"/>
              </w:rPr>
              <w:t>3,290</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2,491</w:t>
            </w:r>
          </w:p>
        </w:tc>
        <w:tc>
          <w:tcPr>
            <w:tcW w:type="dxa" w:w="1440"/>
            <w:shd w:fill="FAFAFA" w:val="clear"/>
          </w:tcPr>
          <w:p>
            <w:r>
              <w:rPr>
                <w:b/>
                <w:sz w:val="17"/>
              </w:rPr>
              <w:t>2,902</w:t>
            </w:r>
          </w:p>
        </w:tc>
        <w:tc>
          <w:tcPr>
            <w:tcW w:type="dxa" w:w="1440"/>
            <w:shd w:fill="FAFAFA" w:val="clear"/>
          </w:tcPr>
          <w:p>
            <w:r>
              <w:rPr>
                <w:sz w:val="17"/>
              </w:rPr>
              <w:t>3,314</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2,464</w:t>
            </w:r>
          </w:p>
        </w:tc>
        <w:tc>
          <w:tcPr>
            <w:tcW w:type="dxa" w:w="1440"/>
            <w:shd w:fill="FAFAFA" w:val="clear"/>
          </w:tcPr>
          <w:p>
            <w:r>
              <w:rPr>
                <w:b/>
                <w:sz w:val="17"/>
              </w:rPr>
              <w:t>2,900</w:t>
            </w:r>
          </w:p>
        </w:tc>
        <w:tc>
          <w:tcPr>
            <w:tcW w:type="dxa" w:w="1440"/>
            <w:shd w:fill="FAFAFA" w:val="clear"/>
          </w:tcPr>
          <w:p>
            <w:r>
              <w:rPr>
                <w:sz w:val="17"/>
              </w:rPr>
              <w:t>3,336</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2,438</w:t>
            </w:r>
          </w:p>
        </w:tc>
        <w:tc>
          <w:tcPr>
            <w:tcW w:type="dxa" w:w="1440"/>
            <w:shd w:fill="FAFAFA" w:val="clear"/>
          </w:tcPr>
          <w:p>
            <w:r>
              <w:rPr>
                <w:b/>
                <w:sz w:val="17"/>
              </w:rPr>
              <w:t>2,898</w:t>
            </w:r>
          </w:p>
        </w:tc>
        <w:tc>
          <w:tcPr>
            <w:tcW w:type="dxa" w:w="1440"/>
            <w:shd w:fill="FAFAFA" w:val="clear"/>
          </w:tcPr>
          <w:p>
            <w:r>
              <w:rPr>
                <w:sz w:val="17"/>
              </w:rPr>
              <w:t>3,357</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158,68 milliards FCFA, SDSC s'impose comme une valeur de premier plan de la cote BRVM, représentant un poids significatif dans l'indice composite. Le BPA de 387 FCFA/action indique que chaque titre génère près de 387 FCFA de bénéfice net, ce qui, rapporté au cours actuel de 2 915 FCFA, donne un PER de 7,5x — nettement inférieur à la moyenne du marché BRVM (8-12x), suggérant une sous-évaluation apparente du titre par le marché. Le P/B de 2,04x montre que le marché valorise la société à environ deux fois sa valeur comptable, une prime de croissance modérée mais justifiée par la solidité du bilan. En revanche, l'EV/EBITDA de 34,2x apparaît très exigeant (&gt;15x), signalant que la valeur d'entreprise intègre une forte anticipation de croissance opérationnelle qui contraste avec la faiblesse actuelle de l'EBITDA — un point de vigilance majeur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+67,05%, passant d'un plus bas de 1 650 FCFA à un plus haut de 3 205 FCFA, avant de revenir à 2 915 FCFA, soit une contraction de -3,32% lors de la dernière séance. Ce range de trading de 1 555 FCFA (près du double du plus bas) témoigne d'une tendance nettement haussière, bien que le repli récent suggère une prise de bénéfices après le rallye. Les statistiques descriptives révèlent une moyenne de 2 491 FCFA légèrement inférieure à la médiane de 2 572 FCFA, indiquant une asymétrie négative confirmée par le skewness de -0,471 : la distribution est symétrique avec une légère queue vers les valeurs basses, signifiant que les baisses ont été plus fréquentes que les hausses extrêmes. L'écart-type de 431 FCFA (CV=17,3%) traduit une dispersion modérée du cours autour de sa moyenne, tandis que le kurtosis de -0,847 (mésokurtique) indique une distribution proche de la normale, sans risque majeur de pics extrêmes. Avec une volatilité annualisée de 51,4%, le titre se situe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(2 992 FCFA) et la MM50 (2 822,8 FCFA) encadrent le cours actuel de 2 915 FCFA, qui se situe entre ces deux références. La MM20 étant supérieure à la MM50, la configuration reste haussière de moyen terme, mais le cours évoluant sous sa MM20 signale une pression baissière de court terme. La décision technique globale reste toutefois à l'**Achat**, portée par la structure haussière des moyennes.</w:t>
      </w:r>
    </w:p>
    <w:p>
      <w:pPr>
        <w:spacing w:after="120" w:line="276" w:lineRule="auto"/>
      </w:pPr>
      <w:r>
        <w:t>**Bandes de Bollinger** : Le cours (2 915 FCFA) se situe dans la partie médiane de la bande, entre la borne inférieure (2 753,86 FCFA) et la borne supérieure (3 230,14 FCFA), sans atteindre les extrêmes. Cette position neutre indique l'absence de signal de surachat ou de survente, avec une volatilité contenue dans les bornes. La décision est **Neutre**, le marché attendant un catalyseur directionnel.</w:t>
      </w:r>
    </w:p>
    <w:p>
      <w:pPr>
        <w:spacing w:after="120" w:line="276" w:lineRule="auto"/>
      </w:pPr>
      <w:r>
        <w:t>**MACD** : La valeur du MACD (33,205) est inférieure à son signal (43,415), générant un croisement baissier qui traduit un affaiblissement du momentum haussier. Cette divergence négative suggère que la dynamique positive des dernières semaines s'essouffle, justifiant une décision de **Vente** à court terme.</w:t>
      </w:r>
    </w:p>
    <w:p>
      <w:pPr>
        <w:spacing w:after="120" w:line="276" w:lineRule="auto"/>
      </w:pPr>
      <w:r>
        <w:t>**RSI** : À 44,651, le RSI se situe dans la zone neutre (30-70), sans signal de surachat (&gt;70) ni de survente (&lt;30). Cette position médiane indique un équilibre entre acheteurs et vendeurs, sans pression directionnelle claire, d'où une décision **Neutre**.</w:t>
      </w:r>
    </w:p>
    <w:p>
      <w:pPr>
        <w:spacing w:after="120" w:line="276" w:lineRule="auto"/>
      </w:pPr>
      <w:r>
        <w:t>**Stochastique** : Le %K (38,983) est inférieur au %D (61,582), configuration baissière signalant que le cours évolue dans la partie basse de sa fourchette récente. Le croisement des deux lignes en zone neutre plaide pour une poursuite de la consolidation, avec une décision **Neutre**.</w:t>
      </w:r>
    </w:p>
    <w:p>
      <w:pPr>
        <w:spacing w:after="120" w:line="276" w:lineRule="auto"/>
      </w:pPr>
      <w:r>
        <w:t>**Conclusion technique** : Les indicateurs techniques présentent un tableau mitigé, avec une structure de fond haussière (MM20 &gt; MM50) mais des signaux de court terme baissiers (MACD, Stochastique). La divergence entre la décision d'achat des moyennes mobiles et les signaux de vente du MACD traduit une phase de consolidation après le rallye de +67%. L'investisseur devra surveiller un éventuel rebond au-dessus de la MM20 (2 992 FCFA) pour confirmer la reprise haussière, ou une cassure sous la MM50 (2 822 FCFA) qui invaliderait la tendance positive.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(base brvm_donnees_financieres) dressent le portrait d'une entreprise solide mais en transition : le chiffre d'affaires s'établit à 85,643 milliards FCFA, en croissance de 3,65% sur un an, avec un résultat net de 21,069 milliards FCFA, soit une marge nette remarquable de 24,6%. Le ROE de 27,08% (&gt;15% = excellent) et le ROA de 11,2% confirment une rentabilité des fonds propres très élevée, tandis que l'autonomie financière de 41,36% (&gt;30% = sain) et la solvabilité générale de 170,53% attestent d'une structure bilancielle robuste. Cependant, l'analyse des délais d'exploitation révèle un point de fragilité : le délai clients de 466,94 jours (créances clients de 111,084 milliards FCFA) est anormalement élevé et expose la société à un risque de trésorerie significatif, bien que le délai fournisseurs de 4 534,17 jours (dettes fournisseurs de 94,059 milliards FCFA) constitue un levier de financement favorable. Le BFR de 17,874 milliards FCFA et la trésorerie nette de 15,617 milliards FCFA témoignent d'une gestion équilibrée, mais le coefficient d'exploitation de 47,66% et la couverture des intérêts de 77,85% (inférieure à 100%) signalent une marge de manœuvre limitée sur les charges financières.</w:t>
      </w:r>
    </w:p>
    <w:p>
      <w:pPr>
        <w:spacing w:after="120" w:line="276" w:lineRule="auto"/>
      </w:pPr>
      <w:r>
        <w:t>L'analyse des rapports narratifs révèle une dégradation préoccupante de la rentabilité en 2025. Selon le rapport du 31 décembre 2025 (analysé par DeepSeek le 05/08/2026), le chiffre d'affaires progresse de +7,43% à 92,004 milliards FCFA, mais le résultat net s'effondre de 96% à 0,785 milliard FCFA, avec une marge nette de seulement 0,85% (contre 24,6% en 2024). Le résultat d'exploitation devient négatif (-2,271 milliards FCFA), pénalisé par une hausse des dotations aux amortissements (+41%) et des charges de personnel. Le sauvetage provient du résultat financier (7,080 milliards FCFA), bien qu'en baisse de 66% sur un an. Le rapport du 30 septembre 2025 (T3) confirme cette tendance, avec un résultat net trimestriel de 4,341 milliards FCFA en chute de 77%, attribuée à la non-répétition de dividendes exceptionnels perçus des filiales en 2024. Le rapport du 30 juin 2025 (S1) fait état d'un résultat net négatif de -427 millions FCFA, contre un bénéfice de 18,609 milliards FCFA au S1 2024, en raison de l'absence de dividendes des filiales. Le rapport du 31 mars 2025 (T1) montre une amélioration avec une perte réduite à -193 millions FCFA (contre -416 millions au T1 2024), portée par la campagne cacao.</w:t>
      </w:r>
    </w:p>
    <w:p>
      <w:pPr>
        <w:spacing w:after="120" w:line="276" w:lineRule="auto"/>
      </w:pPr>
      <w:r>
        <w:t>**Estimations et perspectives** : Sur la base des rapports trimestriels 2025, on estime que l'exercice 2025 devrait se solder par un résultat net d'environ 0,78 milliard FCFA (confirmé par le rapport annuel), soit une chute de 96% par rapport à 2024. Le dividende proposé de 544,353 millions FCFA (69,3% du résultat net) marque une réduction drastique de 89% par rapport aux 5,008 milliards FCFA versés en 2024. Pour 2026, la croissance du chiffre d'affaires (+7,4% en 2025) et la trésorerie abondante (74,78 milliards FCFA) constituent des atouts, mais la restauration des marges opérationnelles dépendra de la capacité de la direction à maîtriser les charges et à compenser l'absence de dividendes des filiales. La recommandation fondamentale est de **CONSERVER** le titre : la solidité du bilan (capitaux propres de 73,55 milliards FCFA) et la croissance du CA justifient de ne pas vendre, mais la dégradation de la rentabilité et la réduction du dividende imposent une vigilance accrue. Les risques identifiés incluent la dépendance aux dividendes des filiales, la volatilité des cours des matières premières (cacao) et les manquements réglementaires signalés par les commissaires aux comptes (retards de publication).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notable entre les signaux. **En valorisation (Partie 0)** , le PER de 7,5x suggère une sous-évaluation par rapport à la moyenne du marché (8-12x), mais l'EV/EBITDA de 34,2x trahit une anticipation de croissance que les fondamentaux actuels ne justifient pas pleinement. **Le comportement du cours (Partie 1)** est haussier sur 100 jours (+67,05%), mais la volatilité élevée (51,4%) et le skewness négatif (-0,471) indiquent une asymétrie défavorable aux hausses, avec un risque de correction. **Les signaux techniques (Partie 2)** sont mitigés : la structure haussière des moyennes mobiles contraste avec le croisement baissier du MACD et la position neutre du RSI et du Stochastique, traduisant une phase de consolidation. **Les fondamentaux (Partie 3)** sont préoccupants : malgré un CA en croissance (+7,4% en 2025), le résultat net s'est effondré de 96% à 0,785 milliard FCFA, et le dividende a été réduit de 89%, bien que la trésorerie reste abondante (74,78 milliards FCFA). **Les prédictions IA (J+1 à J+10)** anticipent une stabilisation autour de 2 906-2 910 FCFA, confirmant l'absence de catalyseur haussier immédiat.</w:t>
      </w:r>
    </w:p>
    <w:p>
      <w:pPr>
        <w:spacing w:after="120" w:line="276" w:lineRule="auto"/>
      </w:pPr>
      <w:r>
        <w:t>**Recommandation finale : CONSERVER** — Justification : La convergence entre la sous-évaluation apparente (PER faible), la solidité du bilan (capitaux propres de 73,55 milliards FCFA) et la croissance du chiffre d'affaires (+7,4%) plaide pour ne pas vendre. Toutefois, la divergence entre les signaux techniques baissiers (MACD, Stochastique) et la dégradation fondamentale (marge nette de 0,85%, dividende en chute de 89%) impose la prudence. **Niveau de confiance : Moyen** — Les données sont contradictoires, avec un potentiel de revalorisation à moyen terme mais des risques de court terme. **Niveau de risque global : Élevé** — La volatilité du titre (51,4%) et la dépendance aux dividendes des filiales constituent des facteurs de risque majeurs. **Horizon d'investissement optimal : Moyen terme (3-12 mois)** — Le temps nécessaire pour que la direction restaure les marges opérationnelles et que le marché intègre la solidité du bilan. Une surveillance des prochains rapports trimestriels (T1 2026) est indispensable pour confirmer ou infirmer la reprise de la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β=1.0650 (Neutre (suit le marché)) — Cov=0.000038, Var(idx)=0.000036, ρ=0.217, n=90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ACTION SEMC (BRVM)**</w:t>
        <w:br/>
        <w:t>*Date d'analyse :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de moyenne capitalisation du compartiment industriel. Les ratios de valorisation classiques (BPA, PER, P/B, EV/EBITDA) ne sont pas calculables en l'état, faute de données financières structurées exploitables dans la base (résultat net par action, capitaux propres par action, EBITDA consolidé). Cette absence empêche toute comparaison directe avec le PER moyen de la BRVM (souvent situé entre 8x et 12x) et ne permet pas de trancher entre sous-évaluation et surévaluation sur une base purement quantitative. L'investisseur devra donc s'appuyer sur les rapports narratifs (Partie 3) pour reconstituer une appréciation fondamentale, en gardant à l'esprit que l'absence de ratios constitue en soi un facteur d'incertitude et de moindre transparence.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 repli de -1,64%, confirmant une tendance baissière de fond. Le cours actuel de 1 495 FCFA se situe dans la moitié basse du range de trading compris entre 1 350 FCFA (plus bas) et 1 800 FCFA (plus haut), soit une amplitude de 450 FCFA qui traduit une érosion progressive de la valeur. Les statistiques descriptives révèlent une moyenne de 1 527 FCFA légèrement supérieure à la médiane de 1 520 FCFA, avec un mode à 1 500 FCFA : l'écart faible entre moyenne et médiane indique une distribution globalement équilibrée, mais le skewness positif de 0,558 signale une asymétrie où les journées sous la moyenne sont plus fréquentes, avec quelques pics haussiers isolés. L'écart-type de 69 FCFA et le coefficient de variation de 4,5% témoignent d'une dispersion modérée du cours autour de sa moyenne, tandis que le kurtosis de 1,652 (leptokurtique) avertit d'un risque de queues épaisses, c'est-à-dire de mouvements brusques et de pics de volatilité imprévisibles. Avec une volatilité annualisée de 47,2%, le titre se classe dans la catégorie des valeurs à volatilité élevée (&gt;30%), ce qui implique un risque significatif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1 540,75 FCFA et la MM50 à 1 499,20 FCFA, toutes deux supérieures au cours actuel de 1 495 FCFA, ce qui place le titre sous ses moyennes mobiles et traduit une pression baissière persistante. La MM20 étant au-dessus de la MM50, la configuration reste théoriquement haussière sur le croisement, mais le prix sous les deux moyennes invalide cette lecture et justifie une décision d'achat purement théorique à confirmer par un retour du cours au-dessus de 1 540 FCFA.</w:t>
      </w:r>
    </w:p>
    <w:p>
      <w:pPr>
        <w:spacing w:after="120" w:line="276" w:lineRule="auto"/>
      </w:pPr>
      <w:r>
        <w:t>**Bandes de Bollinger** : Le cours de 1 495 FCFA évolue entre la borne inférieure de 1 459,69 FCFA et la borne supérieure de 1 621,81 FCFA, se positionnant dans la partie basse du canal, ce qui reflète une pression vendeuse sans pour autant atteindre la zone de survente extrême. La largeur des bandes indique une volatilité encore présente, et la décision neutre suggère l'absence de signal directionnel fort à court terme.</w:t>
      </w:r>
    </w:p>
    <w:p>
      <w:pPr>
        <w:spacing w:after="120" w:line="276" w:lineRule="auto"/>
      </w:pPr>
      <w:r>
        <w:t>**MACD** : La valeur du MACD (6,501) est inférieure à son signal (10,502), configuration baissière classique qui confirme la perte de momentum haussier. La divergence négative entre les deux lignes justifie la décision de vente et suggère que la pression baissière pourrait se poursuivre tant que le MACD ne repasse pas au-dessus de son signal.</w:t>
      </w:r>
    </w:p>
    <w:p>
      <w:pPr>
        <w:spacing w:after="120" w:line="276" w:lineRule="auto"/>
      </w:pPr>
      <w:r>
        <w:t>**RSI** : À 49,533, le RSI se situe exactement dans la zone neutre (30-70), sans signal de surachat ni de survente. Cette position médiane indique un équilibre relatif entre acheteurs et vendeurs, mais dans un contexte de tendance baissière, elle traduit davantage une absence de rebond qu'une réelle stabilisation.</w:t>
      </w:r>
    </w:p>
    <w:p>
      <w:pPr>
        <w:spacing w:after="120" w:line="276" w:lineRule="auto"/>
      </w:pPr>
      <w:r>
        <w:t>**Stochastique** : Le %K (34,615) est nettement inférieur au %D (57,692), ce qui constitue un croisement baissier et signale une perte de dynamique positive. La décision neutre reflète l'absence de signal extrême, mais la configuration des deux lignes penche clairement du côté vendeur.</w:t>
      </w:r>
    </w:p>
    <w:p>
      <w:pPr>
        <w:spacing w:after="120" w:line="276" w:lineRule="auto"/>
      </w:pPr>
      <w:r>
        <w:t>**Conclusion technique** : La majorité des indicateurs (MACD baissier, cours sous les moyennes mobiles, stochastique en croisement baissier) convergent vers un signal de prudence, voire de vente, malgré la neutralité du RSI et des Bandes de Bollinger. Le titre évolue dans une tendance baissière de court terme, sans signe de retournement confirmé, et seule une reprise au-dessus de 1 540 FCFA (MM20) permettrait d'envisager une amélioration de la configuration technique.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narratifs officiels, dont les plus récents datent du 31 décembre 2024 (exercice 2023) et du 31 décembre 2023 (exercice 2022 et T1 2023). Pour l'exercice 2023, le rapport du 31/12/2024 (analysé par MISTRAL) fait état d'un chiffre d'affaires de 27,88 milliards FCFA, en baisse de 6% par rapport aux 29,60 milliards FCFA de 2022, et d'un résultat net de 1,01 milliard FCFA, en chute de 74% (contre 3,86 milliards FCFA en 2022). La marge nette s'effondre à 3,6% (vs 13,0% en 2022), et le dividende par action est nul pour la deuxième année consécutive, la société privilégiant la conservation de trésorerie (3,35 milliards FCFA) pour financer sa relance. Un second rapport daté du 31/12/2024 (analysé par MISTRAL) présente des chiffres divergents (CA de 125,4 milliards FCFA, résultat net de 12,8 milliards FCFA, marge nette de 10,2%, ROE de 18,5%, dividende de 250 FCFA/action), mais ces données semblent erronées ou mal attribuées, car elles contredisent le premier rapport et les états financiers certifiés de SEMC. Le rapport du 31/12/2023 (exercice 2022, analysé par MISTRAL) confirme un CA de 125,4 milliards FCFA et un résultat net de 12,8 milliards FCFA pour 2022, mais ces chiffres sont incohérents avec ceux du rapport 2023 (27,88 milliards FCFA de CA), suggérant une confusion entre SEMC et une autre entité (probablement Eviosys Packaging SIEM dans son ensemble). Le rapport du T1 2023 (daté du 31/12/2023, analysé par MISTRAL) indique un CA de 7,65 milliards FCFA (+16,5%) et un résultat net de 855,65 millions FCFA (+37,9%), avec une marge nette de 11,2%, mais ces performances trimestrielles n'ont pas été confirmées sur l'ensemble de l'exercice 2023, qui s'est révélé très dégradé. Le rapport du 31/12/2022 (exercice 2021, analysé par GEMINI-VISION) est incomplet et ne permet pas d'extraire des données fiables. En synthèse, la situation fondamentale de SEMC apparaît fragile : le chiffre d'affaires recule, la rentabilité s'effondre, le dividende est suspendu et la société fait face à des défis opérationnels majeurs (perte de clients clés comme AIRONE, concurrence du PET, suspension de la cote BRVM pour flottant insuffisant). Le rachat par Sonoco Products Company (finalisé en décembre 2024) constitue une opportunité stratégique, mais introduit un risque de dilution et d'incertitude sur la gouvernance. La recommandation fondamentale est de **conserver avec vigilance**, en attendant des signes concrets de redressement en 2024 (objectif de CA de 32 milliards FCFA, soit +18%) et la levée de la suspension de la cote.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(non disponibles) conduit à une recommandation de **CONSERVER** avec un niveau de confiance **Moyen** et un risque global **Élevé**. La valorisation (Partie 0) reste indéterminable faute de ratios, ce qui constitue un facteur d'incertitude majeur. Le comportement du cours (Partie 1) est clairement baissier (-16,94% sur 100 jours), avec une volatilité élevée (47,2%) et un kurtosis leptokurtique qui expose à des pics de risque. Les signaux techniques (Partie 2) sont majoritairement baissiers (MACD, stochastique, cours sous les moyennes mobiles), malgré la neutralité du RSI et des Bandes de Bollinger, ce qui ne plaide pas pour un achat immédiat. Les fondamentaux (Partie 3) sont préoccupants : chute du CA et du résultat net en 2023, marge nette réduite à 3,6%, dividende nul, et suspension de la cote BRVM. Les perspectives de relance (objectif de CA de 32 milliards FCFA en 2024) et le rachat par Sonoco offrent des leviers potentiels, mais leur concrétisation reste incertaine. En l'absence de prédictions IA et face à la divergence entre des signaux techniques baissiers et des fondamentaux en transition, la prudence s'impose. L'horizon d'investissement optimal est le **moyen terme (3-12 mois)**, en surveillant la levée de la suspension de la cote, l'impact du rachat par Sonoco et l'exécution du plan de relance 2024. Un passage à l'achat ne serait justifié qu'en cas de confirmation d'un redressement durable des marges et d'une reprise du cours au-dessus de 1 540 FCFA (MM20).</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5,006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+13.04%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34,500 FCFA</w:t>
            </w:r>
          </w:p>
          <w:p>
            <w:r>
              <w:rPr>
                <w:b/>
                <w:color w:val="503200"/>
                <w:sz w:val="16"/>
              </w:rPr>
              <w:t xml:space="preserve">Volatilité ann. : </w:t>
            </w:r>
            <w:r>
              <w:rPr>
                <w:color w:val="000000"/>
                <w:sz w:val="17"/>
              </w:rPr>
              <w:t>21.5%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2.82% (Faible) — μ=38,150 FCFA, σ=1,075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β=0.5043 (Défensif) — Cov=0.000035, Var(idx)=0.000070, ρ=0.307,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σ_j=1.36%/j (Stable) — Vol. annualisée≈21.5%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37,475</w:t>
            </w:r>
          </w:p>
        </w:tc>
        <w:tc>
          <w:tcPr>
            <w:tcW w:type="dxa" w:w="1440"/>
            <w:shd w:fill="FAFAFA" w:val="clear"/>
          </w:tcPr>
          <w:p>
            <w:r>
              <w:rPr>
                <w:b/>
                <w:sz w:val="17"/>
              </w:rPr>
              <w:t>38,593</w:t>
            </w:r>
          </w:p>
        </w:tc>
        <w:tc>
          <w:tcPr>
            <w:tcW w:type="dxa" w:w="1440"/>
            <w:shd w:fill="FAFAFA" w:val="clear"/>
          </w:tcPr>
          <w:p>
            <w:r>
              <w:rPr>
                <w:sz w:val="17"/>
              </w:rPr>
              <w:t>39,710</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36,948</w:t>
            </w:r>
          </w:p>
        </w:tc>
        <w:tc>
          <w:tcPr>
            <w:tcW w:type="dxa" w:w="1440"/>
            <w:shd w:fill="FAFAFA" w:val="clear"/>
          </w:tcPr>
          <w:p>
            <w:r>
              <w:rPr>
                <w:b/>
                <w:sz w:val="17"/>
              </w:rPr>
              <w:t>38,525</w:t>
            </w:r>
          </w:p>
        </w:tc>
        <w:tc>
          <w:tcPr>
            <w:tcW w:type="dxa" w:w="1440"/>
            <w:shd w:fill="FAFAFA" w:val="clear"/>
          </w:tcPr>
          <w:p>
            <w:r>
              <w:rPr>
                <w:sz w:val="17"/>
              </w:rPr>
              <w:t>40,103</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36,522</w:t>
            </w:r>
          </w:p>
        </w:tc>
        <w:tc>
          <w:tcPr>
            <w:tcW w:type="dxa" w:w="1440"/>
            <w:shd w:fill="FAFAFA" w:val="clear"/>
          </w:tcPr>
          <w:p>
            <w:r>
              <w:rPr>
                <w:b/>
                <w:sz w:val="17"/>
              </w:rPr>
              <w:t>38,451</w:t>
            </w:r>
          </w:p>
        </w:tc>
        <w:tc>
          <w:tcPr>
            <w:tcW w:type="dxa" w:w="1440"/>
            <w:shd w:fill="FAFAFA" w:val="clear"/>
          </w:tcPr>
          <w:p>
            <w:r>
              <w:rPr>
                <w:sz w:val="17"/>
              </w:rPr>
              <w:t>40,379</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2026-10-07</w:t>
            </w:r>
          </w:p>
        </w:tc>
        <w:tc>
          <w:tcPr>
            <w:tcW w:type="dxa" w:w="1440"/>
            <w:shd w:fill="FAFAFA" w:val="clear"/>
          </w:tcPr>
          <w:p>
            <w:r>
              <w:rPr>
                <w:sz w:val="17"/>
              </w:rPr>
              <w:t>36,158</w:t>
            </w:r>
          </w:p>
        </w:tc>
        <w:tc>
          <w:tcPr>
            <w:tcW w:type="dxa" w:w="1440"/>
            <w:shd w:fill="FAFAFA" w:val="clear"/>
          </w:tcPr>
          <w:p>
            <w:r>
              <w:rPr>
                <w:b/>
                <w:sz w:val="17"/>
              </w:rPr>
              <w:t>38,380</w:t>
            </w:r>
          </w:p>
        </w:tc>
        <w:tc>
          <w:tcPr>
            <w:tcW w:type="dxa" w:w="1440"/>
            <w:shd w:fill="FAFAFA" w:val="clear"/>
          </w:tcPr>
          <w:p>
            <w:r>
              <w:rPr>
                <w:sz w:val="17"/>
              </w:rPr>
              <w:t>40,603</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2026-10-08</w:t>
            </w:r>
          </w:p>
        </w:tc>
        <w:tc>
          <w:tcPr>
            <w:tcW w:type="dxa" w:w="1440"/>
            <w:shd w:fill="FAFAFA" w:val="clear"/>
          </w:tcPr>
          <w:p>
            <w:r>
              <w:rPr>
                <w:sz w:val="17"/>
              </w:rPr>
              <w:t>35,834</w:t>
            </w:r>
          </w:p>
        </w:tc>
        <w:tc>
          <w:tcPr>
            <w:tcW w:type="dxa" w:w="1440"/>
            <w:shd w:fill="FAFAFA" w:val="clear"/>
          </w:tcPr>
          <w:p>
            <w:r>
              <w:rPr>
                <w:b/>
                <w:sz w:val="17"/>
              </w:rPr>
              <w:t>38,315</w:t>
            </w:r>
          </w:p>
        </w:tc>
        <w:tc>
          <w:tcPr>
            <w:tcW w:type="dxa" w:w="1440"/>
            <w:shd w:fill="FAFAFA" w:val="clear"/>
          </w:tcPr>
          <w:p>
            <w:r>
              <w:rPr>
                <w:sz w:val="17"/>
              </w:rPr>
              <w:t>40,796</w:t>
            </w:r>
          </w:p>
        </w:tc>
        <w:tc>
          <w:tcPr>
            <w:tcW w:type="dxa" w:w="1440"/>
            <w:shd w:fill="FAFAFA" w:val="clear"/>
          </w:tcPr>
          <w:p>
            <w:r>
              <w:rPr>
                <w:b/>
                <w:color w:val="C00000"/>
                <w:sz w:val="17"/>
              </w:rPr>
              <w:t>-1.8%</w:t>
            </w:r>
          </w:p>
        </w:tc>
      </w:tr>
      <w:tr>
        <w:tc>
          <w:tcPr>
            <w:tcW w:type="dxa" w:w="1440"/>
            <w:shd w:fill="FAFAFA" w:val="clear"/>
          </w:tcPr>
          <w:p>
            <w:r>
              <w:rPr>
                <w:sz w:val="17"/>
              </w:rPr>
              <w:t>J+6  Moyenne</w:t>
            </w:r>
          </w:p>
        </w:tc>
        <w:tc>
          <w:tcPr>
            <w:tcW w:type="dxa" w:w="1440"/>
            <w:shd w:fill="FAFAFA" w:val="clear"/>
          </w:tcPr>
          <w:p>
            <w:r>
              <w:rPr>
                <w:sz w:val="17"/>
              </w:rPr>
              <w:t>2026-10-09</w:t>
            </w:r>
          </w:p>
        </w:tc>
        <w:tc>
          <w:tcPr>
            <w:tcW w:type="dxa" w:w="1440"/>
            <w:shd w:fill="FAFAFA" w:val="clear"/>
          </w:tcPr>
          <w:p>
            <w:r>
              <w:rPr>
                <w:sz w:val="17"/>
              </w:rPr>
              <w:t>35,540</w:t>
            </w:r>
          </w:p>
        </w:tc>
        <w:tc>
          <w:tcPr>
            <w:tcW w:type="dxa" w:w="1440"/>
            <w:shd w:fill="FAFAFA" w:val="clear"/>
          </w:tcPr>
          <w:p>
            <w:r>
              <w:rPr>
                <w:b/>
                <w:sz w:val="17"/>
              </w:rPr>
              <w:t>38,253</w:t>
            </w:r>
          </w:p>
        </w:tc>
        <w:tc>
          <w:tcPr>
            <w:tcW w:type="dxa" w:w="1440"/>
            <w:shd w:fill="FAFAFA" w:val="clear"/>
          </w:tcPr>
          <w:p>
            <w:r>
              <w:rPr>
                <w:sz w:val="17"/>
              </w:rPr>
              <w:t>40,966</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2026-10-12</w:t>
            </w:r>
          </w:p>
        </w:tc>
        <w:tc>
          <w:tcPr>
            <w:tcW w:type="dxa" w:w="1440"/>
            <w:shd w:fill="FFDCE0" w:val="clear"/>
          </w:tcPr>
          <w:p>
            <w:r>
              <w:rPr>
                <w:sz w:val="17"/>
              </w:rPr>
              <w:t>35,267</w:t>
            </w:r>
          </w:p>
        </w:tc>
        <w:tc>
          <w:tcPr>
            <w:tcW w:type="dxa" w:w="1440"/>
            <w:shd w:fill="FFDCE0" w:val="clear"/>
          </w:tcPr>
          <w:p>
            <w:r>
              <w:rPr>
                <w:b/>
                <w:sz w:val="17"/>
              </w:rPr>
              <w:t>38,193</w:t>
            </w:r>
          </w:p>
        </w:tc>
        <w:tc>
          <w:tcPr>
            <w:tcW w:type="dxa" w:w="1440"/>
            <w:shd w:fill="FFDCE0" w:val="clear"/>
          </w:tcPr>
          <w:p>
            <w:r>
              <w:rPr>
                <w:sz w:val="17"/>
              </w:rPr>
              <w:t>41,119</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2026-10-13</w:t>
            </w:r>
          </w:p>
        </w:tc>
        <w:tc>
          <w:tcPr>
            <w:tcW w:type="dxa" w:w="1440"/>
            <w:shd w:fill="FFDCE0" w:val="clear"/>
          </w:tcPr>
          <w:p>
            <w:r>
              <w:rPr>
                <w:sz w:val="17"/>
              </w:rPr>
              <w:t>35,012</w:t>
            </w:r>
          </w:p>
        </w:tc>
        <w:tc>
          <w:tcPr>
            <w:tcW w:type="dxa" w:w="1440"/>
            <w:shd w:fill="FFDCE0" w:val="clear"/>
          </w:tcPr>
          <w:p>
            <w:r>
              <w:rPr>
                <w:b/>
                <w:sz w:val="17"/>
              </w:rPr>
              <w:t>38,135</w:t>
            </w:r>
          </w:p>
        </w:tc>
        <w:tc>
          <w:tcPr>
            <w:tcW w:type="dxa" w:w="1440"/>
            <w:shd w:fill="FFDCE0" w:val="clear"/>
          </w:tcPr>
          <w:p>
            <w:r>
              <w:rPr>
                <w:sz w:val="17"/>
              </w:rPr>
              <w:t>41,258</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2026-10-14</w:t>
            </w:r>
          </w:p>
        </w:tc>
        <w:tc>
          <w:tcPr>
            <w:tcW w:type="dxa" w:w="1440"/>
            <w:shd w:fill="FFDCE0" w:val="clear"/>
          </w:tcPr>
          <w:p>
            <w:r>
              <w:rPr>
                <w:sz w:val="17"/>
              </w:rPr>
              <w:t>34,770</w:t>
            </w:r>
          </w:p>
        </w:tc>
        <w:tc>
          <w:tcPr>
            <w:tcW w:type="dxa" w:w="1440"/>
            <w:shd w:fill="FFDCE0" w:val="clear"/>
          </w:tcPr>
          <w:p>
            <w:r>
              <w:rPr>
                <w:b/>
                <w:sz w:val="17"/>
              </w:rPr>
              <w:t>38,078</w:t>
            </w:r>
          </w:p>
        </w:tc>
        <w:tc>
          <w:tcPr>
            <w:tcW w:type="dxa" w:w="1440"/>
            <w:shd w:fill="FFDCE0" w:val="clear"/>
          </w:tcPr>
          <w:p>
            <w:r>
              <w:rPr>
                <w:sz w:val="17"/>
              </w:rPr>
              <w:t>41,386</w:t>
            </w:r>
          </w:p>
        </w:tc>
        <w:tc>
          <w:tcPr>
            <w:tcW w:type="dxa" w:w="1440"/>
            <w:shd w:fill="FFDCE0" w:val="clear"/>
          </w:tcPr>
          <w:p>
            <w:r>
              <w:rPr>
                <w:b/>
                <w:color w:val="C00000"/>
                <w:sz w:val="17"/>
              </w:rPr>
              <w:t>-2.4%</w:t>
            </w:r>
          </w:p>
        </w:tc>
      </w:tr>
      <w:tr>
        <w:tc>
          <w:tcPr>
            <w:tcW w:type="dxa" w:w="1440"/>
            <w:shd w:fill="FFDCE0" w:val="clear"/>
          </w:tcPr>
          <w:p>
            <w:r>
              <w:rPr>
                <w:sz w:val="17"/>
              </w:rPr>
              <w:t>J+10  Moyenne</w:t>
            </w:r>
          </w:p>
        </w:tc>
        <w:tc>
          <w:tcPr>
            <w:tcW w:type="dxa" w:w="1440"/>
            <w:shd w:fill="FFDCE0" w:val="clear"/>
          </w:tcPr>
          <w:p>
            <w:r>
              <w:rPr>
                <w:sz w:val="17"/>
              </w:rPr>
              <w:t>2026-10-15</w:t>
            </w:r>
          </w:p>
        </w:tc>
        <w:tc>
          <w:tcPr>
            <w:tcW w:type="dxa" w:w="1440"/>
            <w:shd w:fill="FFDCE0" w:val="clear"/>
          </w:tcPr>
          <w:p>
            <w:r>
              <w:rPr>
                <w:sz w:val="17"/>
              </w:rPr>
              <w:t>34,541</w:t>
            </w:r>
          </w:p>
        </w:tc>
        <w:tc>
          <w:tcPr>
            <w:tcW w:type="dxa" w:w="1440"/>
            <w:shd w:fill="FFDCE0" w:val="clear"/>
          </w:tcPr>
          <w:p>
            <w:r>
              <w:rPr>
                <w:b/>
                <w:sz w:val="17"/>
              </w:rPr>
              <w:t>38,023</w:t>
            </w:r>
          </w:p>
        </w:tc>
        <w:tc>
          <w:tcPr>
            <w:tcW w:type="dxa" w:w="1440"/>
            <w:shd w:fill="FFDCE0" w:val="clear"/>
          </w:tcPr>
          <w:p>
            <w:r>
              <w:rPr>
                <w:sz w:val="17"/>
              </w:rPr>
              <w:t>41,504</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CÔTE D'IVOIRE (SGBC)**</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1 213,33 milliards FCFA, SGBC figure parmi les poids lourds de la cote BRVM, ce qui en fait un titre incontournable pour les investisseurs institutionnels régionaux. Le BPA de 3 258 FCFA par action signifie que chaque titre génère plus de trois mille francs de bénéfice net, un niveau élevé qui traduit la forte rentabilité de la banque. Le PER de 12,0x se situe dans le haut de la fourchette moyenne du marché BRVM (8-12x), indiquant que les investisseurs paient un prix raisonnable mais non décoté pour ces bénéfices, avec une légère prime de qualité. Le P/B de 2,45x montre que le marché valorise SGBC à près de deux fois et demie sa valeur comptable, une prime de croissance justifiée par un ROE supérieur à 20%. En revanche, l'EV/EBITDA de 24,7x apparaît très exigeant (seuil d'alerte &gt; 15x), signalant que la valeur d'entreprise intègre déjà une anticipation de performance opérationnelle soutenue, ce qui limite la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progression totale de +13,04%, avec une dernière séance quasi stable (+0,03%), confirmant une dynamique haussière maîtrisée. Le cours actuel de 39 000 FCFA évolue dans un range de trading de 4 800 FCFA, entre un plus bas de 34 500 FCFA et un plus haut de 39 300 FCFA, ce qui place le titre à seulement 0,8% de son sommet — signe de forte résistance à la baisse et de confiance des investisseurs. La moyenne (38 150 FCFA) est légèrement inférieure à la médiane (38 495 FCFA), un écart modeste qui traduit une distribution quasi symétrique mais avec une légère prédominance des journées de hausse. L'écart-type de 1 080 FCFA et le coefficient de variation de 2,8% indiquent une dispersion très faible du cours, caractéristique d'un titre peu volatil et recherché pour sa stabilité. Le kurtosis de 1,933 (leptokurtique) signale des queues épaisses, donc un risque de pics de volatilité ponctuels, tandis que le skewness de -1,521 (asymétrie négative) indique que les journées de hausse sont plus fréquentes que les journées de baisse, un signal favorable. La volatilité annualisée de 21,5% classe le titre dans la catégorie modérée (15-30%), cohérente avec un profil de valeur bancaire de qualité.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(38 620,5 FCFA) et la MM50 (38 477,2 FCFA) se situent toutes deux sous le cours actuel (39 000 FCFA), avec la MM20 au-dessus de la MM50, configuration haussière classique. Le cours évolue au-dessus de ses deux moyennes, ce qui confirme la tendance positive et justifie la décision d'ACHAT.</w:t>
      </w:r>
    </w:p>
    <w:p>
      <w:pPr>
        <w:spacing w:after="120" w:line="276" w:lineRule="auto"/>
      </w:pPr>
      <w:r>
        <w:t>**Bandes de Bollinger :** Le cours (39 000 FCFA) se situe dans la moitié supérieure de la bande, entre la borne inférieure (37 839,3 FCFA) et la borne supérieure (39 401,7 FCFA), sans la franchir. Cette position neutre, avec un cours proche de la borne haute sans la dépasser, indique une volatilité contenue et une absence de signal de surachat, justifiant la décision NEUTRE.</w:t>
      </w:r>
    </w:p>
    <w:p>
      <w:pPr>
        <w:spacing w:after="120" w:line="276" w:lineRule="auto"/>
      </w:pPr>
      <w:r>
        <w:t>**MACD :** La valeur du MACD (89,866) est nettement supérieure à son signal (31,03), avec un histogramme positif et une divergence haussière marquée. Ce momentum positif confirme la dynamique d'achat en cours et justifie la décision d'ACHAT.</w:t>
      </w:r>
    </w:p>
    <w:p>
      <w:pPr>
        <w:spacing w:after="120" w:line="276" w:lineRule="auto"/>
      </w:pPr>
      <w:r>
        <w:t>**RSI :** À 52,934, le RSI se situe dans la zone neutre (30-70), sans signal de surachat (&gt;70) ni de survente (&lt;30). Cette position équilibrée indique que le titre dispose d'un potentiel de hausse sans être techniquement tendu, justifiant la décision NEUTRE.</w:t>
      </w:r>
    </w:p>
    <w:p>
      <w:pPr>
        <w:spacing w:after="120" w:line="276" w:lineRule="auto"/>
      </w:pPr>
      <w:r>
        <w:t>**Stochastique :** Le %K (100,0) est au niveau maximal et supérieur au %D (96,944), signalant que le cours clôture près de ses plus hauts récents. Cette configuration extrême en zone de surachat justifie la décision de VENTE à court terme, bien qu'elle puisse aussi refléter une forte tendance haussière.</w:t>
      </w:r>
    </w:p>
    <w:p>
      <w:pPr>
        <w:spacing w:after="120" w:line="276" w:lineRule="auto"/>
      </w:pPr>
      <w:r>
        <w:t>**Conclusion technique :** Les indicateurs sont majoritairement haussiers (MM, MACD) mais présentent des signaux de prudence (Stochastique en surachat, RSI neutre, Bollinger neutre). La convergence des MM et du MACD soutient une tendance positive, mais le Stochastique à 100 suggère une possible consolidation à court terme. Le titre reste techniquement bien orienté, avec un potentiel de poursuite de la hausse après une éventuelle respiration.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SGBC affiche un Produit Net Bancaire (PNB) de 276,048 milliards FCFA, en croissance de +4,9% sur un an, et un résultat net de 101,352 milliards FCFA, quasi stable (+0,1%). Le ROE s'établit à 20,47%, un niveau excellent (&gt;15%), tandis que le ROA de 2,69% reflète la rentabilité des actifs. Le coefficient d'exploitation de 38,75% place la banque parmi les plus efficaces du secteur UEMOA (&lt;60% = efficace, &lt;50% = excellente). Le ratio dépôts/crédits s'élève à 87,6%, avec des dépôts clientèle de 2 907,675 milliards FCFA contre des créances clientèle de 2 546,290 milliards FCFA, traduisant une bonne transformation. Le coût du risque, mesuré par le rapport provisions/PNB, ressort à 6,5%, un niveau contenu mais en hausse de +29,2% sur un an, avec un taux de NPL de 8,0% et une couverture de 82%. La marge nette de 36,7% reste élevée mais en légère érosion (-180 bps). Sur la base du rapport S1 2026 (publié le 27 août 2026), le PNB progresse de +1,6% à 134,059 milliards FCFA et le résultat net de +0,5% à 53,350 milliards FCFA, avec un coefficient d'exploitation amélioré à 36,7%. Le rapport T1 2026 (publié le 30 avril 2026) fait état d'un PNB de 65,644 milliards FCFA (-1%) et d'un résultat net de 23,976 milliards FCFA (-11%), impacté par la migration vers une nouvelle plateforme digitale. On estime que l'exercice 2026 devrait clôturer sur un PNB autour de 280-285 milliards FCFA (+2-3%) et un résultat net de 102-105 milliards FCFA (+1-3%), avec une normalisation des coûts au S2 2026. La politique de dividende est généreuse, avec un taux de distribution de 80% en 2025 (dividende de 2 606 FCFA/action), offrant un rendement attractif. La solidité bilancielle (solvabilité 17,6%, capitaux propres 495,113 milliards FCFA) et la notation AAA confirment la qualité fondamentale du titre, malgré les pressions sur le coût du risque et la marge nette.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(PER 12,0x, P/B 2,45x, EV/EBITDA 24,7x) indique une juste valorisation, sans décote significative mais avec une prime de qualité justifiée par un ROE de 20,47%. Le comportement du cours sur 100 jours est haussier (+13,04%), avec une volatilité modérée (21,5%) et une asymétrie négative favorable (skewness -1,521), bien que le kurtosis élevé (1,933) appelle à la vigilance sur des pics ponctuels. Les signaux techniques sont majoritairement positifs (MM haussières, MACD acheteur) mais le Stochastique en surachat (100) suggère une consolidation imminente, ce qui tempère l'élan haussier. Les fondamentaux restent solides (PNB +4,9%, ROE 20,47%, coefficient d'exploitation 38,75%), mais la stagnation du résultat net (+0,1% en 2025, +0,5% au S1 2026) et la hausse du coût du risque (+29,2%) limitent le potentiel de revalorisation à court terme. Les prédictions IA anticipent une légère correction à 38 593 FCFA d'ici J+1, puis une stabilisation autour de 38 315-38 525 FCFA sur 10 jours, ce qui contredit partiellement le momentum technique actuel mais confirme la thèse d'une consolidation. Sur la base de cette synthèse, la recommandation finale est **CONSERVER**, avec un niveau de confiance **Moyen** et un risque global **Faible**. Le titre convient aux investisseurs recherchant rendement (dividende 80%) et stabilité, avec un horizon d'investissement **moyen terme (3-12 mois)**, en attendant une inflexion du coût du risque et une reprise de la croissance bénéficiaire pour justifier un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4,985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+18.25%</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10.30% (Moyenne) — μ=2,253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β=0.9405 (Neutre (suit le marché)) — Cov=0.000065, Var(idx)=0.000070, ρ=0.292,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2,178</w:t>
            </w:r>
          </w:p>
        </w:tc>
        <w:tc>
          <w:tcPr>
            <w:tcW w:type="dxa" w:w="1440"/>
            <w:shd w:fill="FAFAFA" w:val="clear"/>
          </w:tcPr>
          <w:p>
            <w:r>
              <w:rPr>
                <w:b/>
                <w:sz w:val="17"/>
              </w:rPr>
              <w:t>2,316</w:t>
            </w:r>
          </w:p>
        </w:tc>
        <w:tc>
          <w:tcPr>
            <w:tcW w:type="dxa" w:w="1440"/>
            <w:shd w:fill="FAFAFA" w:val="clear"/>
          </w:tcPr>
          <w:p>
            <w:r>
              <w:rPr>
                <w:sz w:val="17"/>
              </w:rPr>
              <w:t>2,455</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2,121</w:t>
            </w:r>
          </w:p>
        </w:tc>
        <w:tc>
          <w:tcPr>
            <w:tcW w:type="dxa" w:w="1440"/>
            <w:shd w:fill="FAFAFA" w:val="clear"/>
          </w:tcPr>
          <w:p>
            <w:r>
              <w:rPr>
                <w:b/>
                <w:sz w:val="17"/>
              </w:rPr>
              <w:t>2,318</w:t>
            </w:r>
          </w:p>
        </w:tc>
        <w:tc>
          <w:tcPr>
            <w:tcW w:type="dxa" w:w="1440"/>
            <w:shd w:fill="FAFAFA" w:val="clear"/>
          </w:tcPr>
          <w:p>
            <w:r>
              <w:rPr>
                <w:sz w:val="17"/>
              </w:rPr>
              <w:t>2,514</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2,080</w:t>
            </w:r>
          </w:p>
        </w:tc>
        <w:tc>
          <w:tcPr>
            <w:tcW w:type="dxa" w:w="1440"/>
            <w:shd w:fill="FAFAFA" w:val="clear"/>
          </w:tcPr>
          <w:p>
            <w:r>
              <w:rPr>
                <w:b/>
                <w:sz w:val="17"/>
              </w:rPr>
              <w:t>2,320</w:t>
            </w:r>
          </w:p>
        </w:tc>
        <w:tc>
          <w:tcPr>
            <w:tcW w:type="dxa" w:w="1440"/>
            <w:shd w:fill="FAFAFA" w:val="clear"/>
          </w:tcPr>
          <w:p>
            <w:r>
              <w:rPr>
                <w:sz w:val="17"/>
              </w:rPr>
              <w:t>2,561</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2,044</w:t>
            </w:r>
          </w:p>
        </w:tc>
        <w:tc>
          <w:tcPr>
            <w:tcW w:type="dxa" w:w="1440"/>
            <w:shd w:fill="FAFAFA" w:val="clear"/>
          </w:tcPr>
          <w:p>
            <w:r>
              <w:rPr>
                <w:b/>
                <w:sz w:val="17"/>
              </w:rPr>
              <w:t>2,322</w:t>
            </w:r>
          </w:p>
        </w:tc>
        <w:tc>
          <w:tcPr>
            <w:tcW w:type="dxa" w:w="1440"/>
            <w:shd w:fill="FAFAFA" w:val="clear"/>
          </w:tcPr>
          <w:p>
            <w:r>
              <w:rPr>
                <w:sz w:val="17"/>
              </w:rPr>
              <w:t>2,600</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2,012</w:t>
            </w:r>
          </w:p>
        </w:tc>
        <w:tc>
          <w:tcPr>
            <w:tcW w:type="dxa" w:w="1440"/>
            <w:shd w:fill="FAFAFA" w:val="clear"/>
          </w:tcPr>
          <w:p>
            <w:r>
              <w:rPr>
                <w:b/>
                <w:sz w:val="17"/>
              </w:rPr>
              <w:t>2,322</w:t>
            </w:r>
          </w:p>
        </w:tc>
        <w:tc>
          <w:tcPr>
            <w:tcW w:type="dxa" w:w="1440"/>
            <w:shd w:fill="FAFAFA" w:val="clear"/>
          </w:tcPr>
          <w:p>
            <w:r>
              <w:rPr>
                <w:sz w:val="17"/>
              </w:rPr>
              <w:t>2,633</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1,982</w:t>
            </w:r>
          </w:p>
        </w:tc>
        <w:tc>
          <w:tcPr>
            <w:tcW w:type="dxa" w:w="1440"/>
            <w:shd w:fill="FAFAFA" w:val="clear"/>
          </w:tcPr>
          <w:p>
            <w:r>
              <w:rPr>
                <w:b/>
                <w:sz w:val="17"/>
              </w:rPr>
              <w:t>2,322</w:t>
            </w:r>
          </w:p>
        </w:tc>
        <w:tc>
          <w:tcPr>
            <w:tcW w:type="dxa" w:w="1440"/>
            <w:shd w:fill="FAFAFA" w:val="clear"/>
          </w:tcPr>
          <w:p>
            <w:r>
              <w:rPr>
                <w:sz w:val="17"/>
              </w:rPr>
              <w:t>2,662</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1,953</w:t>
            </w:r>
          </w:p>
        </w:tc>
        <w:tc>
          <w:tcPr>
            <w:tcW w:type="dxa" w:w="1440"/>
            <w:shd w:fill="FAFAFA" w:val="clear"/>
          </w:tcPr>
          <w:p>
            <w:r>
              <w:rPr>
                <w:b/>
                <w:sz w:val="17"/>
              </w:rPr>
              <w:t>2,320</w:t>
            </w:r>
          </w:p>
        </w:tc>
        <w:tc>
          <w:tcPr>
            <w:tcW w:type="dxa" w:w="1440"/>
            <w:shd w:fill="FAFAFA" w:val="clear"/>
          </w:tcPr>
          <w:p>
            <w:r>
              <w:rPr>
                <w:sz w:val="17"/>
              </w:rPr>
              <w:t>2,688</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1,926</w:t>
            </w:r>
          </w:p>
        </w:tc>
        <w:tc>
          <w:tcPr>
            <w:tcW w:type="dxa" w:w="1440"/>
            <w:shd w:fill="FAFAFA" w:val="clear"/>
          </w:tcPr>
          <w:p>
            <w:r>
              <w:rPr>
                <w:b/>
                <w:sz w:val="17"/>
              </w:rPr>
              <w:t>2,319</w:t>
            </w:r>
          </w:p>
        </w:tc>
        <w:tc>
          <w:tcPr>
            <w:tcW w:type="dxa" w:w="1440"/>
            <w:shd w:fill="FAFAFA" w:val="clear"/>
          </w:tcPr>
          <w:p>
            <w:r>
              <w:rPr>
                <w:sz w:val="17"/>
              </w:rPr>
              <w:t>2,711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1,901</w:t>
            </w:r>
          </w:p>
        </w:tc>
        <w:tc>
          <w:tcPr>
            <w:tcW w:type="dxa" w:w="1440"/>
            <w:shd w:fill="FAFAFA" w:val="clear"/>
          </w:tcPr>
          <w:p>
            <w:r>
              <w:rPr>
                <w:b/>
                <w:sz w:val="17"/>
              </w:rPr>
              <w:t>2,317</w:t>
            </w:r>
          </w:p>
        </w:tc>
        <w:tc>
          <w:tcPr>
            <w:tcW w:type="dxa" w:w="1440"/>
            <w:shd w:fill="FAFAFA" w:val="clear"/>
          </w:tcPr>
          <w:p>
            <w:r>
              <w:rPr>
                <w:sz w:val="17"/>
              </w:rPr>
              <w:t>2,733</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1,877</w:t>
            </w:r>
          </w:p>
        </w:tc>
        <w:tc>
          <w:tcPr>
            <w:tcW w:type="dxa" w:w="1440"/>
            <w:shd w:fill="FAFAFA" w:val="clear"/>
          </w:tcPr>
          <w:p>
            <w:r>
              <w:rPr>
                <w:b/>
                <w:sz w:val="17"/>
              </w:rPr>
              <w:t>2,315</w:t>
            </w:r>
          </w:p>
        </w:tc>
        <w:tc>
          <w:tcPr>
            <w:tcW w:type="dxa" w:w="1440"/>
            <w:shd w:fill="FAFAFA" w:val="clear"/>
          </w:tcPr>
          <w:p>
            <w:r>
              <w:rPr>
                <w:sz w:val="17"/>
              </w:rPr>
              <w:t>2,753</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144,90 milliards FCFA, SHEC se positionne comme une valeur de taille intermédiaire sur la BRVM, représentative du secteur de la distribution pétrolière aval. Le BPA de 96 FCFA/action signifie que chaque titre génère près d'un centième de sa valeur en bénéfice net, ce qui, rapporté au cours actuel de 2 300 FCFA, aboutit à un PER de 24,0x — nettement supérieur à la moyenne BRVM (8-12x), signalant que le marché intègre déjà une prime de croissance ou, à l'inverse, une possible surévaluation. Le ratio P/B de 5,34x confirme cette exigence : les investisseurs paient plus de cinq fois la valeur comptable des fonds propres (27,16 Mds FCFA), une prime rarement justifiée pour un distributeur à marge nette de 1 %. Enfin, l'EV/EBITDA de 12,9x, dans la fourchette haute (10-15x), indique que la valeur d'entreprise (incluant la dette nette négative de -65,26 Mds FCFA) reste chèrement valorisée par rapport à la capacité opérationnelle (EBE de 17,17 Mds FCFA), ce qui invite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SHEC affiche une performance positive de +18,25 %, mais la dernière séance (J-1) marque un repli de -2,54 %, signalant une prise de bénéfices après le rallye. Le cours actuel de 2 300 FCFA se situe dans la partie médiane du range de trading (plus haut : 2 980 FCFA ; plus bas : 1 900 FCFA), soit à environ 23 % sous son sommet et 21 % au-dessus de son plancher, ce qui traduit une tendance haussière de fond mais avec une correction en cours. Les statistiques descriptives révèlent une moyenne de 2 253 FCFA légèrement supérieure à la médiane (2 200 FCFA) et au mode (2 200 FCFA), confirmant une asymétrie positive (skewness de 0,974) où les journées sous la moyenne sont plus fréquentes mais compensées par des pics haussiers marqués. L'écart-type de 233 FCFA (CV de 10,3 %) indique une dispersion modérée autour de la moyenne, tandis que le kurtosis de 1,094 (leptokurtique) signale des queues épaisses, donc un risque de mouvements violents et de pics de volatilité imprévisibles. Enfin, la volatilité annualisée de 42,3 % classe SHEC dans la catégorie des titres à volatilité élevée (&gt;30 %), ce qui implique un risque significatif pour les investisseurs averses au risque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(2 575,75 FCFA) et la MM50 (2 419,80 FCFA) se situent toutes deux au-dessus du cours actuel (2 300 FCFA), ce qui place le titre en position baissière à court terme. Toutefois, la MM20 &gt; MM50 indique une structure haussière de fond, et la décision « Achat » suggérée par le système repose sur l'anticipation d'un retour du cours vers ses moyennes, considéré comme une opportunité de rebond.</w:t>
      </w:r>
    </w:p>
    <w:p>
      <w:pPr>
        <w:spacing w:after="120" w:line="276" w:lineRule="auto"/>
      </w:pPr>
      <w:r>
        <w:t>**Bandes de Bollinger** : Le cours (2 300 FCFA) évolue dans la partie basse de la bande (borne supérieure : 3 009,29 FCFA ; borne inférieure : 2 142,21 FCFA), sans franchir cette dernière, ce qui traduit une volatilité contenue et une absence de signal extrême. La décision « Neutre » reflète cette position médiane, le marché attendant un catalyseur pour choisir une direction.</w:t>
      </w:r>
    </w:p>
    <w:p>
      <w:pPr>
        <w:spacing w:after="120" w:line="276" w:lineRule="auto"/>
      </w:pPr>
      <w:r>
        <w:t>**MACD** : La valeur du MACD (-18,95) est nettement inférieure à son signal (38,658), générant une divergence baissière marquée et un momentum négatif. La décision « Vente » confirme cette pression vendeuse à court terme, le croisement des lignes étant défavorable.</w:t>
      </w:r>
    </w:p>
    <w:p>
      <w:pPr>
        <w:spacing w:after="120" w:line="276" w:lineRule="auto"/>
      </w:pPr>
      <w:r>
        <w:t>**RSI** : À 41,883, le RSI se situe dans la zone neutre (30-70), sans signal de surachat (&gt;70) ni de survente (&lt;30). La décision « Neutre » indique que le titre n'est ni surévalué ni sous-évalué techniquement, laissant la porte ouverte à une consolidation.</w:t>
      </w:r>
    </w:p>
    <w:p>
      <w:pPr>
        <w:spacing w:after="120" w:line="276" w:lineRule="auto"/>
      </w:pPr>
      <w:r>
        <w:t>**Stochastique** : Les valeurs %K et %D sont toutes deux à 0,0, ce qui place le titre en zone de survente extrême. La décision « Achat » suggère qu'un rebond technique est probable à court terme, le stochastique étant un indicateur avancé de retournement.</w:t>
      </w:r>
    </w:p>
    <w:p>
      <w:pPr>
        <w:spacing w:after="120" w:line="276" w:lineRule="auto"/>
      </w:pPr>
      <w:r>
        <w:t>**Conclusion technique** : Les indicateurs sont divergents — le MACD est baissier, les MM sont défavorables à court terme, mais le stochastique en survente extrême et la position basse dans les bandes de Bollinger plaident pour un rebond technique. Le RSI neutre et la décision « Achat » des MM suggèrent une opportunité d'entrée pour les traders à court terme, mais la prudence reste de mise tant que le MACD ne s'inverse pas.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(VIVO ENERGY CÔTE D'IVOIRE) a réalisé un chiffre d'affaires de 604,978 milliards FCFA, en très légère hausse de +0,71 % par rapport à 2024 (600,708 Mds FCFA), selon les états financiers provisoires au 31/12/2025. Le résultat net s'établit à 6,028 milliards FCFA, en progression de +12,6 % (contre 5,354 Mds en 2024), grâce à une amélioration de la marge nette (1,00 % contre 0,89 %) et une réduction des charges financières (-17,7 %). Le ROE atteint 22,20 % (excellent, &gt;15 %), porté par des capitaux propres de 27,159 Mds FCFA, tandis que le ROA reste faible à 3,11 %, reflétant la faible rotation des actifs (312,55 %) et la structure de bilan très endettée. Le BFR s'élève à 15,315 Mds FCFA (positif, donc défavorable), avec un délai client de 23,27 jours (risque de trésorerie modéré) et un délai fournisseur de 35,47 jours (favorable). La trésorerie nette est fortement négative à -65,264 Mds FCFA, et l'autonomie financière n'est que de 14,03 % (seuil sain : &gt;30 %), ce qui expose la société à un risque de liquidité.</w:t>
      </w:r>
    </w:p>
    <w:p>
      <w:pPr>
        <w:spacing w:after="120" w:line="276" w:lineRule="auto"/>
      </w:pPr>
      <w:r>
        <w:t>**Estimations basées sur les rapports trimestriels** : Le rapport du T1 2026 (publié en 2026) indique un chiffre d'affaires de 141,649 Mds FCFA, en baisse de -9 % sur un an, et un résultat net stable (+1 % à 1,295 Md FCFA). Le rapport du S1 2026 (30 juin 2026) confirme cette tendance avec un CA de 305,038 Mds FCFA (-1 %) et un résultat d'exploitation en hausse de +17 % à 6,133 Mds FCFA, soutenu par le butane. Sur la base de ces rapports, on estime que l'exercice 2026 devrait afficher une croissance atone du CA (autour de 0 à -2 %), mais une rentabilité nette potentiellement stable grâce à la maîtrise des charges et à la dynamique du butane et des lubrifiants. Le dividende proposé pour 2025 est de 6,09 Mds FCFA (soit environ 1 933 FCFA/action), un taux de distribution de 101 % qui, bien que généreux, fragilise davantage la structure financière.</w:t>
      </w:r>
    </w:p>
    <w:p>
      <w:pPr>
        <w:spacing w:after="120" w:line="276" w:lineRule="auto"/>
      </w:pPr>
      <w:r>
        <w:t>**Recommandation fondamentale** : La société affiche une solidité opérationnelle relative (ROE élevé, marge nette en amélioration) mais une fragilité financière préoccupante (trésorerie nette très négative, endettement élevé, distribution excessive). Les risques identifiés dans les rapports (volatilité des volumes aviation/bitume, dépendance aux concours bancaires, hausse de l'impôt) incitent à la prudence. La recommandation fondamentale est **CONSERVER**, avec une surveillance accrue de la trésorerie et de l'endettement.</w:t>
      </w:r>
    </w:p>
    <w:p>
      <w:pPr>
        <w:spacing w:after="120" w:line="276" w:lineRule="auto"/>
      </w:pPr>
      <w:r>
        <w:t>---</w:t>
      </w:r>
    </w:p>
    <w:p>
      <w:pPr>
        <w:spacing w:after="120" w:line="276" w:lineRule="auto"/>
      </w:pPr>
      <w:r>
        <w:t>## PARTIE 4 : CONCLUSION D'INVESTISSEMENT</w:t>
      </w:r>
    </w:p>
    <w:p>
      <w:pPr>
        <w:spacing w:after="120" w:line="276" w:lineRule="auto"/>
      </w:pPr>
      <w:r>
        <w:t>La valorisation de SHEC apparaît exigeante (PER de 24,0x, P/B de 5,34x, EV/EBITDA de 12,9x) au regard de sa faible marge nette (1 %) et de sa croissance atone (+0,71 % en 2025), ce qui suggère une possible surévaluation. Le comportement du cours sur 100 jours est haussier (+18,25 %) mais la correction récente (-2,54 % en J-1) et la volatilité élevée (42,3 %) avec un kurtosis leptokurtique (1,094) indiquent un risque de pics baissiers. Les signaux techniques sont divergents : le MACD est baissier, les MM sont défavorables à court terme, mais le stochastique en survente extrême (0,0) et la position basse dans les bandes de Bollinger plaident pour un rebond technique à court terme. Les fondamentaux sont mitigés : ROE excellent (22,20 %) mais trésorerie nette très négative (-65,26 Mds FCFA) et endettement élevé, avec une estimation 2026 de croissance atone mais de rentabilité stable. Les prédictions IA (J+1 à J+10) tablent sur une légère hausse vers 2 316-2 322 FCFA, ce qui confirme un rebond technique modéré mais sans conviction forte. Sur la base de cette synthèse, la recommandation finale est **CONSERVER**, avec un niveau de confiance **Moyen** et un risque global **Élevé**. L'horizon optimal est le **moyen terme (3-12 mois)**, en attendant la publication des comptes définitifs 2025 et une clarification de la politique de dividende et de la structure financière. Un renforcement ne serait envisageable qu'en cas d'amélioration significative de la trésorerie et de reprise des volumes sur les segments aviation et bitume.</w:t>
      </w:r>
    </w:p>
    <w:p>
      <w:pPr>
        <w:spacing w:after="120" w:line="276" w:lineRule="auto"/>
      </w:pPr>
      <w:r>
        <w:t>---</w:t>
      </w:r>
    </w:p>
    <w:p>
      <w:pPr>
        <w:spacing w:after="120" w:line="276" w:lineRule="auto"/>
      </w:pPr>
      <w:r>
        <w:t>*Rapport généré le 2 octobre 2026 — Sources : BRVM, états financiers SHEC 2025, rapports trimestriels T1/S1 2026, analyses DeepSeek et FALLBACK.*</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10,987 titres</w:t>
            </w:r>
          </w:p>
        </w:tc>
        <w:tc>
          <w:tcPr>
            <w:tcW w:type="dxa" w:w="2268"/>
            <w:shd w:fill="FFF2CC" w:val="clear"/>
          </w:tcPr>
          <w:p>
            <w:r>
              <w:rPr>
                <w:b/>
                <w:color w:val="503200"/>
                <w:sz w:val="16"/>
              </w:rPr>
              <w:t xml:space="preserve">Cours actuel : </w:t>
            </w:r>
            <w:r>
              <w:rPr>
                <w:color w:val="000000"/>
                <w:sz w:val="17"/>
              </w:rPr>
              <w:t>9,160 FCFA</w:t>
            </w:r>
          </w:p>
          <w:p>
            <w:r>
              <w:rPr>
                <w:b/>
                <w:color w:val="503200"/>
                <w:sz w:val="16"/>
              </w:rPr>
              <w:t xml:space="preserve">Var. 100 jours : </w:t>
            </w:r>
            <w:r>
              <w:rPr>
                <w:b/>
                <w:color w:val="007800"/>
                <w:sz w:val="17"/>
              </w:rPr>
              <w:t>+29.11%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7,095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μ=8,816 FCFA, σ=525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β=0.7879 (Défensif) — Cov=0.000055, Var(idx)=0.000070, ρ=0.334,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8,795</w:t>
            </w:r>
          </w:p>
        </w:tc>
        <w:tc>
          <w:tcPr>
            <w:tcW w:type="dxa" w:w="1440"/>
            <w:shd w:fill="FAFAFA" w:val="clear"/>
          </w:tcPr>
          <w:p>
            <w:r>
              <w:rPr>
                <w:b/>
                <w:sz w:val="17"/>
              </w:rPr>
              <w:t>9,070</w:t>
            </w:r>
          </w:p>
        </w:tc>
        <w:tc>
          <w:tcPr>
            <w:tcW w:type="dxa" w:w="1440"/>
            <w:shd w:fill="FAFAFA" w:val="clear"/>
          </w:tcPr>
          <w:p>
            <w:r>
              <w:rPr>
                <w:sz w:val="17"/>
              </w:rPr>
              <w:t>9,344</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8,601</w:t>
            </w:r>
          </w:p>
        </w:tc>
        <w:tc>
          <w:tcPr>
            <w:tcW w:type="dxa" w:w="1440"/>
            <w:shd w:fill="FAFAFA" w:val="clear"/>
          </w:tcPr>
          <w:p>
            <w:r>
              <w:rPr>
                <w:b/>
                <w:sz w:val="17"/>
              </w:rPr>
              <w:t>8,986</w:t>
            </w:r>
          </w:p>
        </w:tc>
        <w:tc>
          <w:tcPr>
            <w:tcW w:type="dxa" w:w="1440"/>
            <w:shd w:fill="FAFAFA" w:val="clear"/>
          </w:tcPr>
          <w:p>
            <w:r>
              <w:rPr>
                <w:sz w:val="17"/>
              </w:rPr>
              <w:t>9,371</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2026-10-06</w:t>
            </w:r>
          </w:p>
        </w:tc>
        <w:tc>
          <w:tcPr>
            <w:tcW w:type="dxa" w:w="1440"/>
            <w:shd w:fill="FFDCE0" w:val="clear"/>
          </w:tcPr>
          <w:p>
            <w:r>
              <w:rPr>
                <w:sz w:val="17"/>
              </w:rPr>
              <w:t>8,441</w:t>
            </w:r>
          </w:p>
        </w:tc>
        <w:tc>
          <w:tcPr>
            <w:tcW w:type="dxa" w:w="1440"/>
            <w:shd w:fill="FFDCE0" w:val="clear"/>
          </w:tcPr>
          <w:p>
            <w:r>
              <w:rPr>
                <w:b/>
                <w:sz w:val="17"/>
              </w:rPr>
              <w:t>8,909</w:t>
            </w:r>
          </w:p>
        </w:tc>
        <w:tc>
          <w:tcPr>
            <w:tcW w:type="dxa" w:w="1440"/>
            <w:shd w:fill="FFDCE0" w:val="clear"/>
          </w:tcPr>
          <w:p>
            <w:r>
              <w:rPr>
                <w:sz w:val="17"/>
              </w:rPr>
              <w:t>9,376</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2026-10-07</w:t>
            </w:r>
          </w:p>
        </w:tc>
        <w:tc>
          <w:tcPr>
            <w:tcW w:type="dxa" w:w="1440"/>
            <w:shd w:fill="FFDCE0" w:val="clear"/>
          </w:tcPr>
          <w:p>
            <w:r>
              <w:rPr>
                <w:sz w:val="17"/>
              </w:rPr>
              <w:t>8,305</w:t>
            </w:r>
          </w:p>
        </w:tc>
        <w:tc>
          <w:tcPr>
            <w:tcW w:type="dxa" w:w="1440"/>
            <w:shd w:fill="FFDCE0" w:val="clear"/>
          </w:tcPr>
          <w:p>
            <w:r>
              <w:rPr>
                <w:b/>
                <w:sz w:val="17"/>
              </w:rPr>
              <w:t>8,840</w:t>
            </w:r>
          </w:p>
        </w:tc>
        <w:tc>
          <w:tcPr>
            <w:tcW w:type="dxa" w:w="1440"/>
            <w:shd w:fill="FFDCE0" w:val="clear"/>
          </w:tcPr>
          <w:p>
            <w:r>
              <w:rPr>
                <w:sz w:val="17"/>
              </w:rPr>
              <w:t>9,375</w:t>
            </w:r>
          </w:p>
        </w:tc>
        <w:tc>
          <w:tcPr>
            <w:tcW w:type="dxa" w:w="1440"/>
            <w:shd w:fill="FFDCE0" w:val="clear"/>
          </w:tcPr>
          <w:p>
            <w:r>
              <w:rPr>
                <w:b/>
                <w:color w:val="C00000"/>
                <w:sz w:val="17"/>
              </w:rPr>
              <w:t>-3.5%</w:t>
            </w:r>
          </w:p>
        </w:tc>
      </w:tr>
      <w:tr>
        <w:tc>
          <w:tcPr>
            <w:tcW w:type="dxa" w:w="1440"/>
            <w:shd w:fill="FFDCE0" w:val="clear"/>
          </w:tcPr>
          <w:p>
            <w:r>
              <w:rPr>
                <w:sz w:val="17"/>
              </w:rPr>
              <w:t>J+5  Moyenne</w:t>
            </w:r>
          </w:p>
        </w:tc>
        <w:tc>
          <w:tcPr>
            <w:tcW w:type="dxa" w:w="1440"/>
            <w:shd w:fill="FFDCE0" w:val="clear"/>
          </w:tcPr>
          <w:p>
            <w:r>
              <w:rPr>
                <w:sz w:val="17"/>
              </w:rPr>
              <w:t>2026-10-08</w:t>
            </w:r>
          </w:p>
        </w:tc>
        <w:tc>
          <w:tcPr>
            <w:tcW w:type="dxa" w:w="1440"/>
            <w:shd w:fill="FFDCE0" w:val="clear"/>
          </w:tcPr>
          <w:p>
            <w:r>
              <w:rPr>
                <w:sz w:val="17"/>
              </w:rPr>
              <w:t>8,185</w:t>
            </w:r>
          </w:p>
        </w:tc>
        <w:tc>
          <w:tcPr>
            <w:tcW w:type="dxa" w:w="1440"/>
            <w:shd w:fill="FFDCE0" w:val="clear"/>
          </w:tcPr>
          <w:p>
            <w:r>
              <w:rPr>
                <w:b/>
                <w:sz w:val="17"/>
              </w:rPr>
              <w:t>8,779</w:t>
            </w:r>
          </w:p>
        </w:tc>
        <w:tc>
          <w:tcPr>
            <w:tcW w:type="dxa" w:w="1440"/>
            <w:shd w:fill="FFDCE0" w:val="clear"/>
          </w:tcPr>
          <w:p>
            <w:r>
              <w:rPr>
                <w:sz w:val="17"/>
              </w:rPr>
              <w:t>9,374</w:t>
            </w:r>
          </w:p>
        </w:tc>
        <w:tc>
          <w:tcPr>
            <w:tcW w:type="dxa" w:w="1440"/>
            <w:shd w:fill="FFDCE0" w:val="clear"/>
          </w:tcPr>
          <w:p>
            <w:r>
              <w:rPr>
                <w:b/>
                <w:color w:val="C00000"/>
                <w:sz w:val="17"/>
              </w:rPr>
              <w:t>-4.2%</w:t>
            </w:r>
          </w:p>
        </w:tc>
      </w:tr>
      <w:tr>
        <w:tc>
          <w:tcPr>
            <w:tcW w:type="dxa" w:w="1440"/>
            <w:shd w:fill="FFDCE0" w:val="clear"/>
          </w:tcPr>
          <w:p>
            <w:r>
              <w:rPr>
                <w:sz w:val="17"/>
              </w:rPr>
              <w:t>J+6  Moyenne</w:t>
            </w:r>
          </w:p>
        </w:tc>
        <w:tc>
          <w:tcPr>
            <w:tcW w:type="dxa" w:w="1440"/>
            <w:shd w:fill="FFDCE0" w:val="clear"/>
          </w:tcPr>
          <w:p>
            <w:r>
              <w:rPr>
                <w:sz w:val="17"/>
              </w:rPr>
              <w:t>2026-10-09</w:t>
            </w:r>
          </w:p>
        </w:tc>
        <w:tc>
          <w:tcPr>
            <w:tcW w:type="dxa" w:w="1440"/>
            <w:shd w:fill="FFDCE0" w:val="clear"/>
          </w:tcPr>
          <w:p>
            <w:r>
              <w:rPr>
                <w:sz w:val="17"/>
              </w:rPr>
              <w:t>8,077</w:t>
            </w:r>
          </w:p>
        </w:tc>
        <w:tc>
          <w:tcPr>
            <w:tcW w:type="dxa" w:w="1440"/>
            <w:shd w:fill="FFDCE0" w:val="clear"/>
          </w:tcPr>
          <w:p>
            <w:r>
              <w:rPr>
                <w:b/>
                <w:sz w:val="17"/>
              </w:rPr>
              <w:t>8,724</w:t>
            </w:r>
          </w:p>
        </w:tc>
        <w:tc>
          <w:tcPr>
            <w:tcW w:type="dxa" w:w="1440"/>
            <w:shd w:fill="FFDCE0" w:val="clear"/>
          </w:tcPr>
          <w:p>
            <w:r>
              <w:rPr>
                <w:sz w:val="17"/>
              </w:rPr>
              <w:t>9,371</w:t>
            </w:r>
          </w:p>
        </w:tc>
        <w:tc>
          <w:tcPr>
            <w:tcW w:type="dxa" w:w="1440"/>
            <w:shd w:fill="FFDCE0" w:val="clear"/>
          </w:tcPr>
          <w:p>
            <w:r>
              <w:rPr>
                <w:b/>
                <w:color w:val="C00000"/>
                <w:sz w:val="17"/>
              </w:rPr>
              <w:t>-4.8%</w:t>
            </w:r>
          </w:p>
        </w:tc>
      </w:tr>
      <w:tr>
        <w:tc>
          <w:tcPr>
            <w:tcW w:type="dxa" w:w="1440"/>
            <w:shd w:fill="FFDCE0" w:val="clear"/>
          </w:tcPr>
          <w:p>
            <w:r>
              <w:rPr>
                <w:sz w:val="17"/>
              </w:rPr>
              <w:t>J+7  Moyenne</w:t>
            </w:r>
          </w:p>
        </w:tc>
        <w:tc>
          <w:tcPr>
            <w:tcW w:type="dxa" w:w="1440"/>
            <w:shd w:fill="FFDCE0" w:val="clear"/>
          </w:tcPr>
          <w:p>
            <w:r>
              <w:rPr>
                <w:sz w:val="17"/>
              </w:rPr>
              <w:t>2026-10-12</w:t>
            </w:r>
          </w:p>
        </w:tc>
        <w:tc>
          <w:tcPr>
            <w:tcW w:type="dxa" w:w="1440"/>
            <w:shd w:fill="FFDCE0" w:val="clear"/>
          </w:tcPr>
          <w:p>
            <w:r>
              <w:rPr>
                <w:sz w:val="17"/>
              </w:rPr>
              <w:t>7,979</w:t>
            </w:r>
          </w:p>
        </w:tc>
        <w:tc>
          <w:tcPr>
            <w:tcW w:type="dxa" w:w="1440"/>
            <w:shd w:fill="FFDCE0" w:val="clear"/>
          </w:tcPr>
          <w:p>
            <w:r>
              <w:rPr>
                <w:b/>
                <w:sz w:val="17"/>
              </w:rPr>
              <w:t>8,674</w:t>
            </w:r>
          </w:p>
        </w:tc>
        <w:tc>
          <w:tcPr>
            <w:tcW w:type="dxa" w:w="1440"/>
            <w:shd w:fill="FFDCE0" w:val="clear"/>
          </w:tcPr>
          <w:p>
            <w:r>
              <w:rPr>
                <w:sz w:val="17"/>
              </w:rPr>
              <w:t>9,369</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2026-10-13</w:t>
            </w:r>
          </w:p>
        </w:tc>
        <w:tc>
          <w:tcPr>
            <w:tcW w:type="dxa" w:w="1440"/>
            <w:shd w:fill="FFDCE0" w:val="clear"/>
          </w:tcPr>
          <w:p>
            <w:r>
              <w:rPr>
                <w:sz w:val="17"/>
              </w:rPr>
              <w:t>7,888</w:t>
            </w:r>
          </w:p>
        </w:tc>
        <w:tc>
          <w:tcPr>
            <w:tcW w:type="dxa" w:w="1440"/>
            <w:shd w:fill="FFDCE0" w:val="clear"/>
          </w:tcPr>
          <w:p>
            <w:r>
              <w:rPr>
                <w:b/>
                <w:sz w:val="17"/>
              </w:rPr>
              <w:t>8,627</w:t>
            </w:r>
          </w:p>
        </w:tc>
        <w:tc>
          <w:tcPr>
            <w:tcW w:type="dxa" w:w="1440"/>
            <w:shd w:fill="FFDCE0" w:val="clear"/>
          </w:tcPr>
          <w:p>
            <w:r>
              <w:rPr>
                <w:sz w:val="17"/>
              </w:rPr>
              <w:t>9,366</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2026-10-14</w:t>
            </w:r>
          </w:p>
        </w:tc>
        <w:tc>
          <w:tcPr>
            <w:tcW w:type="dxa" w:w="1440"/>
            <w:shd w:fill="FFDCE0" w:val="clear"/>
          </w:tcPr>
          <w:p>
            <w:r>
              <w:rPr>
                <w:sz w:val="17"/>
              </w:rPr>
              <w:t>7,804</w:t>
            </w:r>
          </w:p>
        </w:tc>
        <w:tc>
          <w:tcPr>
            <w:tcW w:type="dxa" w:w="1440"/>
            <w:shd w:fill="FFDCE0" w:val="clear"/>
          </w:tcPr>
          <w:p>
            <w:r>
              <w:rPr>
                <w:b/>
                <w:sz w:val="17"/>
              </w:rPr>
              <w:t>8,584</w:t>
            </w:r>
          </w:p>
        </w:tc>
        <w:tc>
          <w:tcPr>
            <w:tcW w:type="dxa" w:w="1440"/>
            <w:shd w:fill="FFDCE0" w:val="clear"/>
          </w:tcPr>
          <w:p>
            <w:r>
              <w:rPr>
                <w:sz w:val="17"/>
              </w:rPr>
              <w:t>9,364</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2026-10-15</w:t>
            </w:r>
          </w:p>
        </w:tc>
        <w:tc>
          <w:tcPr>
            <w:tcW w:type="dxa" w:w="1440"/>
            <w:shd w:fill="FFDCE0" w:val="clear"/>
          </w:tcPr>
          <w:p>
            <w:r>
              <w:rPr>
                <w:sz w:val="17"/>
              </w:rPr>
              <w:t>7,726</w:t>
            </w:r>
          </w:p>
        </w:tc>
        <w:tc>
          <w:tcPr>
            <w:tcW w:type="dxa" w:w="1440"/>
            <w:shd w:fill="FFDCE0" w:val="clear"/>
          </w:tcPr>
          <w:p>
            <w:r>
              <w:rPr>
                <w:b/>
                <w:sz w:val="17"/>
              </w:rPr>
              <w:t>8,544</w:t>
            </w:r>
          </w:p>
        </w:tc>
        <w:tc>
          <w:tcPr>
            <w:tcW w:type="dxa" w:w="1440"/>
            <w:shd w:fill="FFDCE0" w:val="clear"/>
          </w:tcPr>
          <w:p>
            <w:r>
              <w:rPr>
                <w:sz w:val="17"/>
              </w:rPr>
              <w:t>9,362</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SIBC s'élève à 916,00 milliards FCFA, un niveau qui positionne la banque parmi les plus grandes capitalisations de la BRVM, témoignant de sa solidité et de son poids dans l'indice régional. Le BPA de 556 FCFA/action indique que chaque titre génère un bénéfice net de 556 FCFA, un niveau élevé qui reflète la forte rentabilité de l'établissement. Le PER de 16,5x est supérieur à la moyenne du marché BRVM (généralement comprise entre 8 et 12x), ce qui suggère que les investisseurs acceptent de payer une prime pour la qualité et la régularité des bénéfices de SIBC, bien que cette valorisation reste modérée au regard des standards internationaux. Le P/B de 4,47x traduit une valorisation nettement supérieure à la valeur comptable, ce qui est caractéristique des banques très rentables avec un ROE élevé (27,16% en 2025), justifiant cette prime par la capacité de l'établissement à générer des profits bien au-delà de ses fonds propres. Enfin, l'EV/EBITDA de 15,3x, bien que très exigeant, s'explique par la structure spécifique du secteur bancaire où la valeur d'entreprise intègre les dépôts clientèle (1 503,441 Mds FCFA) comme ressource principale, rendant cet indicateur moins pertinent pour une banque que pour une entreprise industrielle.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progression remarquable de +29,11%, passant d'un plus bas de 7 095 FCFA à un plus haut de 9 500 FCFA, pour un cours actuel de 9 160 FCFA, avec une variation nulle lors de la dernière séance (J-1 : +0,00%), signalant une stabilisation après la forte hausse. Le range de trading de 2 405 FCFA (soit environ 34% du plus bas) témoigne d'une volatilité significative mais maîtrisée, la tendance générale étant clairement haussière sur la période. Les statistiques descriptives révèlent une moyenne de 8 816 FCFA légèrement inférieure à la médiane de 8 962 FCFA, indiquant une asymétrie négative confirmée par le skewness de -1,791, ce qui signifie que le cours a passé plus de journées au-dessus de la moyenne, avec quelques journées de forte baisse tirant la moyenne vers le bas. L'écart-type de 528 FCFA (CV de 6,0%) traduit une dispersion modérée du cours autour de sa moyenne, tandis que le kurtosis de 2,560 (leptokurtique) signale des queues épaisses, c'est-à-dire un risque de pics de volatilité brutaux qu'il convient de surveiller. La volatilité annualisée de 30,8% positionne le titre dans la catégorie des actions à volatilité élevée (&gt;30%), ce qui est cohérent avec le secteur bancaire et la dynamique récente du titre, offrant des opportunités mais nécessitant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9 127,25 FCFA et la MM50 à 9 117,50 FCFA, toutes deux légèrement inférieures au cours actuel de 9 160 FCFA, ce qui place le titre en position haussière au-dessus de ses moyennes. La proximité des deux moyennes (écart de seulement 9,75 FCFA) suggère une consolidation récente, mais la décision technique est à l'achat, le cours évoluant au-dessus de ces supports dynamiques.</w:t>
      </w:r>
    </w:p>
    <w:p>
      <w:pPr>
        <w:spacing w:after="120" w:line="276" w:lineRule="auto"/>
      </w:pPr>
      <w:r>
        <w:t>**Bandes de Bollinger** : Le cours actuel de 9 160 FCFA se situe dans la partie médiane des bandes, entre la borne inférieure de 8 773,124 FCFA et la borne supérieure de 9 481,376 FCFA, à environ 55% de la largeur des bandes. Cette position centrale, sans contact avec les extrêmes, indique une absence de signal directionnel fort, justifiant la décision neutre, bien que la largeur des bandes (708 FCFA) reflète une volatilité modérée.</w:t>
      </w:r>
    </w:p>
    <w:p>
      <w:pPr>
        <w:spacing w:after="120" w:line="276" w:lineRule="auto"/>
      </w:pPr>
      <w:r>
        <w:t>**MACD** : La valeur du MACD (-19,026) est supérieure à son signal (-21,161), générant un croisement haussier bien que les deux lignes restent en territoire négatif. Cette configuration suggère un momentum baissier en voie d'essoufflement, avec une possible inversion de tendance à court terme, justifiant la décision d'achat technique.</w:t>
      </w:r>
    </w:p>
    <w:p>
      <w:pPr>
        <w:spacing w:after="120" w:line="276" w:lineRule="auto"/>
      </w:pPr>
      <w:r>
        <w:t>**RSI** : À 45,652, le RSI se situe en zone neutre (entre 30 et 70), sans signal de surachat (&gt;70) ni de survente (&lt;30). Cette position médiane indique un équilibre entre acheteurs et vendeurs, sans pression directionnelle claire, justifiant la décision neutre.</w:t>
      </w:r>
    </w:p>
    <w:p>
      <w:pPr>
        <w:spacing w:after="120" w:line="276" w:lineRule="auto"/>
      </w:pPr>
      <w:r>
        <w:t>**Stochastique** : Le %K (82,278) et le %D (81,857) sont tous deux en zone de surachat (&gt;80), avec un croisement imminent ou déjà effectué entre les deux lignes. Cette configuration signale une possible correction à court terme, justifiant la décision de vente technique, bien que le contexte haussier global tempère ce signal.</w:t>
      </w:r>
    </w:p>
    <w:p>
      <w:pPr>
        <w:spacing w:after="120" w:line="276" w:lineRule="auto"/>
      </w:pPr>
      <w:r>
        <w:t>**Conclusion technique** : Les indicateurs techniques présentent une divergence notable : les moyennes mobiles et le MACD plaident pour un achat, tandis que le stochastique signale une vente, et le RSI et les bandes de Bollinger restent neutres. Cette configuration mitigée suggère une phase de consolidation avec un potentiel haussier limité à court terme, le titre ayant déjà fortement progressé (+29,11% sur 100 jours) et se trouvant en zone de surachat selon le stochastique. Une prudence est de mise, avec une attente de confirmation de la tendance avant tout renforcement.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SIBC affiche un Produit Net Bancaire (PNB) de 108,663 Mds FCFA, un résultat net de 55,623 Mds FCFA, un ROE exceptionnel de 27,16% et un ROA de 2,96%, confirmant la très forte rentabilité de l'établissement. Le coefficient d'exploitation de 38,59% est excellent (&lt;60%), témoignant d'une efficacité opérationnelle remarquable, tandis que le ratio dépôts/crédits (1 503,441 Mds FCFA de dépôts clientèle pour 1 226,720 Mds FCFA de créances clientèle) s'établit à 122,6%, indiquant une surliquidité confortable et une capacité de transformation maîtrisée. Le coût du risque, bien que le ratio fourni (363 900 000 000%) soit aberrant et non interprétable en l'état, les provisions de 14,124 Mds FCFA rapportées aux charges financières de 16,320 Mds FCFA suggèrent un portefeuille de crédits globalement sain, avec une couverture adéquate. La marge nette de 51,19% et la marge opérationnelle de 58,06% confirment la robustesse du modèle économique, tandis que le taux de croissance du PNB de 5,74% traduit une dynamique commerciale positive mais modérée.</w:t>
      </w:r>
    </w:p>
    <w:p>
      <w:pPr>
        <w:spacing w:after="120" w:line="276" w:lineRule="auto"/>
      </w:pPr>
      <w:r>
        <w:t>**Estimations basées sur les rapports trimestriels** : Le rapport du T1 2026 (publié le 7 mai 2026) indique un PNB de 27,7 Mds FCFA (+4% en glissement annuel) et un résultat net de 15,2 Mds FCFA (+11%), avec une marge nette exceptionnelle de 54,9%. Le rapport du S1 2026 (publié le 29 septembre 2026) confirme cette tendance avec un PNB de 56,592 Mds FCFA (+4,2%) et un résultat net de 32,140 Mds FCFA (+9,3%), une marge nette de 56,8% et un coût du risque en forte baisse (-75,3% à 287 M FCFA). Sur la base de ces performances semestrielles, on peut estimer que l'exercice 2026 devrait afficher un PNB d'environ 113-115 Mds FCFA (+4-5%) et un résultat net de l'ordre de 60-62 Mds FCFA (+8-10%), poursuivant la trajectoire de croissance rentable. Le rapport annuel 2024 (publié le 31 décembre 2024) faisait état d'un PNB de 102,8 Mds FCFA (+8%) et d'un résultat net de 50,2 Mds FCFA (+15%), avec un ROE de 30,56% et un dividende brut de 375 FCFA/action (rendement de 10,55% sur la base du cours de fin 2024), confirmant la politique de distribution généreuse de la banque.</w:t>
      </w:r>
    </w:p>
    <w:p>
      <w:pPr>
        <w:spacing w:after="120" w:line="276" w:lineRule="auto"/>
      </w:pPr>
      <w:r>
        <w:t>**Évolution et recommandation fondamentale** : L'évolution des indicateurs sur les exercices 2024 et 2025 montre une croissance régulière du PNB (+8% en 2024, +5,74% en 2025) et du résultat net (+15% en 2024, +10,8% en 2025), avec une rentabilité maintenue à des niveaux exceptionnels (ROE &gt;27%). Les rapports trimestriels 2026 confirment cette dynamique, avec une accélération de la croissance des crédits (+12% au S1 2026) et des dépôts (+12%), bien que la croissance du PNB reste modérée (+4,2%). Les principaux risques identifiés sont la concurrence bancaire accrue dans la zone UEMOA, le renforcement des standards réglementaires (Bâle III) et la dépendance à la conjoncture ivoirienne. Néanmoins, la solidité financière (ratio de solvabilité &gt;11,5%), la qualité du portefeuille de crédits (coût du risque en baisse) et la stratégie de digitalisation (plan « IMPULSION 2028 ») positionnent SIBC favorablement pour poursuivre sa croissance. La recommandation fondamentale est **CONSERVER avec biais positif**, les fondamentaux étant solides mais la valorisation boursière (PER 16,5x, P/B 4,47x) intégrant déjà une large part de ces bonnes performances.</w:t>
      </w:r>
    </w:p>
    <w:p>
      <w:pPr>
        <w:spacing w:after="120" w:line="276" w:lineRule="auto"/>
      </w:pPr>
      <w:r>
        <w:t>---</w:t>
      </w:r>
    </w:p>
    <w:p>
      <w:pPr>
        <w:spacing w:after="120" w:line="276" w:lineRule="auto"/>
      </w:pPr>
      <w:r>
        <w:t>## PARTIE 4 : CONCLUSION D'INVESTISSEMENT</w:t>
      </w:r>
    </w:p>
    <w:p>
      <w:pPr>
        <w:spacing w:after="120" w:line="276" w:lineRule="auto"/>
      </w:pPr>
      <w:r>
        <w:t>La valorisation de SIBC (PER 16,5x, P/B 4,47x, EV/EBITDA 15,3x) indique une action correctement valorisée, voire légèrement surévaluée par rapport à la moyenne du marché BRVM (PER 8-12x), ce qui limite le potentiel de hausse à court terme mais se justifie par la qualité exceptionnelle des fondamentaux (ROE 27,16%, coefficient d'exploitation 38,59%). Le comportement du cours sur 100 jours (+29,11%) est clairement haussier, mais les statistiques descriptives (skewness -1,791, kurtosis 2,560) révèlent une asymétrie négative et un risque de pics de volatilité, tandis que la volatilité annualisée de 30,8% positionne le titre comme relativement risqué. Les signaux techniques sont mitigés : les moyennes mobiles et le MACD plaident pour un achat, mais le stochastique en zone de surachat (%K=82,278) et le RSI neutre (45,652) suggèrent une consolidation imminente, voire une correction à court terme. Les fondamentaux restent solides, avec une croissance régulière du PNB et du résultat net confirmée par les rapports T1 2026 (+11% de résultat net) et S1 2026 (+9,3%), une marge nette exceptionnelle (56,8% au S1 2026) et une politique de dividende généreuse (375 FCFA/action en 2024, rendement ~10,55%). Les prédictions IA pour les 10 prochains jours ouvrables anticipent une baisse progressive du cours de 9 070 FCFA (J+1) à 8 779 FCFA (J+10), soit une correction d'environ -4,2%, ce qui contredit les signaux haussiers des moyennes mobiles et du MACD mais confirme le signal de vente du stochastique et la prudence suggérée par la valorisation élevée.</w:t>
      </w:r>
    </w:p>
    <w:p>
      <w:pPr>
        <w:spacing w:after="120" w:line="276" w:lineRule="auto"/>
      </w:pPr>
      <w:r>
        <w:t>**Recommandation finale : CONSERVER**</w:t>
      </w:r>
    </w:p>
    <w:p>
      <w:pPr>
        <w:spacing w:after="120" w:line="276" w:lineRule="auto"/>
      </w:pPr>
      <w:r>
        <w:t>**Justification** : La convergence entre une valorisation exigeante (PER 16,5x, P/B 4,47x), des signaux techniques mitigés (achat selon MM et MACD, vente selon stochastique) et des prédictions IA baissières à court terme (-4,2% sur 10 jours) suggère que le titre a probablement atteint un palier après sa forte progression de +29,11%. Les fondamentaux solides (ROE 27,16%, croissance du résultat net de +9,3% au S1 2026) justifient de conserver la position pour les investisseurs déjà exposés, mais le potentiel de hausse immédiat semble limité, et une correction à court terme est probable. Pour les nouveaux investisseurs, une attente de correction vers 8 800-8 900 FCFA (niveau de la MM20/MM50) offrirait un point d'entrée plus favorable.</w:t>
      </w:r>
    </w:p>
    <w:p>
      <w:pPr>
        <w:spacing w:after="120" w:line="276" w:lineRule="auto"/>
      </w:pPr>
      <w:r>
        <w:t>**Niveau de confiance** : Moyen — les fondamentaux sont solides, mais les signaux techniques divergents et les prédictions baissières introduisent une incertitude à court terme.</w:t>
      </w:r>
    </w:p>
    <w:p>
      <w:pPr>
        <w:spacing w:after="120" w:line="276" w:lineRule="auto"/>
      </w:pPr>
      <w:r>
        <w:t>**Niveau de risque global** : Moyen à Élevé — la volatilité annualisée de 30,8%, le kurtosis leptokurtique (risque de pics) et la valorisation exigeante (P/B 4,47x) augmentent le risque de correction.</w:t>
      </w:r>
    </w:p>
    <w:p>
      <w:pPr>
        <w:spacing w:after="120" w:line="276" w:lineRule="auto"/>
      </w:pPr>
      <w:r>
        <w:t>**Horizon d'investissement optimal** : Moyen terme (3-12 mois) — pour bénéficier de la croissance régulière des bénéfices et de la politique de dividende généreuse, tout en laissant passer la phase de consolidation actuelle. Un horizon long terme (&gt;1 an) est également approprié pour les investisseurs recherchant une valeur de qualité avec un rendement dividende attractif (~10%).</w:t>
      </w:r>
    </w:p>
    <w:p>
      <w:pPr>
        <w:spacing w:after="120" w:line="276" w:lineRule="auto"/>
      </w:pPr>
      <w:r>
        <w:t>---</w:t>
      </w:r>
    </w:p>
    <w:p>
      <w:pPr>
        <w:spacing w:after="120" w:line="276" w:lineRule="auto"/>
      </w:pPr>
      <w:r>
        <w:t>*Rapport généré le 1er octobre 2026 — Sources : BRVM, états financiers SIBC 2025, rapports trimestriels T1 2026 et S1 2026, rapport annuel 2024, analyses techniques et prédictions IA.*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β=-1.1006 (Contre-cyclique) — Cov=-0.000039, Var(idx)=0.000036, ρ=-0.178, n=90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 CI)**</w:t>
        <w:br/>
        <w:t>**Bourse Régionale des Valeurs Mobilières (BRVM) — Secteur Agro-industriel**</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SICC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récentes et fiables permettant de rapporter le cours aux bénéfices ou aux fonds propres comptables. Cette absence de ratios est en soi un signal : elle traduit une couverture analytique limitée et une opacité relative sur la rentabilité normalisée de l'émetteur. Pour l'investisseur, l'évaluation de SICC repose donc davantage sur l'analyse technique et l'historique fondamental que sur une approche comparative de multiples. À titre indicatif, avec un PER BRVM moyen de 8-12x, la valorisation actuelle ne peut être jugée qu'à l'aune du redressement progressif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progression spectaculaire de **+95,35%**, portant le cours à **8 400 FCFA**, malgré un repli marginal de **-1,12%** lors de la dernière séance. Le titre a évolué dans un range très large, entre un plus bas de **3 985 FCFA** et un plus haut de **10 200 FCFA**, soit un écart de plus de 155% entre les extrêmes — signe d'une dynamique haussière puissante mais heurtée. La moyenne du cours sur la période (**5 815 FCFA**) est nettement supérieure à la médiane (**5 022 FCFA**), ce qui confirme une distribution asymétrique : le titre a passé davantage de séances sous sa moyenne, la hausse s'étant concentrée sur des pics ponctuels. L'écart-type de **1 813 FCFA** et le coefficient de variation de **31,2%** traduisent une dispersion élevée, cohérente avec un skewness positif de **0,913** (asymétrie à droite, davantage de journées sous la moyenne mais des pics haussiers marqués). Le kurtosis de **-0,630** (mésokurtique) indique une distribution proche de la normale, sans risque extrême de pics violents au-delà de ce qui est déjà observé. Avec une **volatilité annualisée de 58,2%**, SICC se situe très largement au-dessus du seuil de 30% caractérisant les titres à volatilité élevée — un profil spéculatif assumé.</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 FCFA**) sont toutes deux inférieures au cours actuel de 8 400 FCFA pour la MM20 (léger écart) et nettement en-dessous pour la MM50, configurant un alignement haussier classique (MM20 &gt; MM50). La décision affichée est **Achat**, cohérente avec la tendance de fond positive et la position du cours au-dessus des deux moyennes.</w:t>
      </w:r>
    </w:p>
    <w:p>
      <w:pPr>
        <w:spacing w:after="120" w:line="276" w:lineRule="auto"/>
      </w:pPr>
      <w:r>
        <w:t>**Bandes de Bollinger** : Le cours (8 400 FCFA) évolue à l'intérieur des bandes, entre la borne inférieure (**7 354,78 FCFA**) et la borne supérieure (**9 589,72 FCFA**), sans les toucher. Cette position médiane, dans un canal large, traduit une volatilité soutenue mais sans excès récent. La décision **Neutre** reflète l'absence de signal directionnel fort à court terme.</w:t>
      </w:r>
    </w:p>
    <w:p>
      <w:pPr>
        <w:spacing w:after="120" w:line="276" w:lineRule="auto"/>
      </w:pPr>
      <w:r>
        <w:t>**MACD** : La valeur du MACD (**273,71**) est inférieure à son signal (**365,81**), ce qui matérialise une divergence baissière et un essoufflement du momentum haussier. La décision **Vente** signale que la dynamique positive des dernières semaines perd de sa vigueur, appelant à la prudence sur les points d'entrée.</w:t>
      </w:r>
    </w:p>
    <w:p>
      <w:pPr>
        <w:spacing w:after="120" w:line="276" w:lineRule="auto"/>
      </w:pPr>
      <w:r>
        <w:t>**RSI** : À **61,16**, le RSI se situe en zone neutre-haute, sans atteindre le seuil de surachat (70). La décision **Neutre** indique que le titre conserve un potentiel de hausse résiduel mais approche de zones où la pression acheteuse pourrait s'épuiser.</w:t>
      </w:r>
    </w:p>
    <w:p>
      <w:pPr>
        <w:spacing w:after="120" w:line="276" w:lineRule="auto"/>
      </w:pPr>
      <w:r>
        <w:t>**Stochastique** : Le %K (**85,71**) et le %D (**94,76**) sont tous deux en zone de surachat marquée, avec un %K sous le %D suggérant un début de croisement baissier. La décision **Vente** confirme un risque de correction à court terme après la forte progression.</w:t>
      </w:r>
    </w:p>
    <w:p>
      <w:pPr>
        <w:spacing w:after="120" w:line="276" w:lineRule="auto"/>
      </w:pPr>
      <w:r>
        <w:t>**Conclusion technique** : Les indicateurs sont **divergents**. Les moyennes mobiles valident la tendance haussière de fond, mais le MACD, le stochastique et, dans une moindre mesure, le RSI signalent un essoufflement et un risque de consolidation. Les Bandes de Bollinger et le RSI en zone neutre plaident pour une pause. La configuration globale suggère une **prise de bénéfices imminente** ou une consolidation avant reprise, plutôt qu'une poursuite immédiate de la hausse.</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SICOR s'appuie sur les rapports officiels disponibles, dont les plus récents portent sur l'**exercice 2024** (rapport daté du 31/12/2026, analysé par GEMINI-VISION) et l'**exercice 2023** (rapport daté du 31/12/2024, analysé par MISTRAL). **En 2023**, la société a réalisé un chiffre d'affaires de **701,09 millions FCFA**, en **baisse de 38,4%** par rapport aux 1 138,17 millions FCFA de 2022, sous l'effet conjugué d'une chute des volumes d'huile de coprah (-98,82% en valeur) et de vols de noix de coco ayant paralysé le site de Boulay. Malgré cette contraction, SICOR est revenue à la **profitabilité avec un résultat net de +19,25 millions FCFA** (contre une perte de -39,95 millions FCFA en 2022), soit une **marge nette de 2,75%**, grâce à une réduction drastique des charges (-43,68%) et au transfert de 50% du personnel vers la filiale SIPAL. Les **capitaux propres restent négatifs** (pertes cumulées de 689,86 millions FCFA), et **aucun dividende n'a été distribué depuis 2017**, conformément aux règles OHADA imposant l'apurement des pertes avant toute distribution. L'**exercice 2022** (rapport du 31/12/2024) montrait déjà une dégradation avec un CA de 1 138,17 millions FCFA (-17,58%) et une perte nette de -39,95 millions FCFA, tandis que les rapports plus anciens (2015-2017) évoquent une société historiquement rentable mais fragile, avec des capitaux propres ayant déjà plongé dans le rouge en 2016 (-2,32 milliards FCFA). **En synthèse**, SICOR présente un profil de **redressement lent et fragile** : retour à l'équilibre en 2023, mais absence de dividende, capitaux propres négatifs, trésorerie tendue (découverts bancaires multipliés par 14) et dépendance à la maîtrise des coûts. La convocation d'une AGO pour le **22 mai 2026** (portant sur l'exercice 2024) sera un catalyseur à surveiller : elle pourrait révéler une confirmation du redressement ou, à l'inverse, une rechute. **Recommandation fondamentale : CONSERVER avec vigilance**, en attendant la publication des comptes 2024 et la confirmation d'une trajectoire bénéficiaire durable.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Sur le plan de la **valorisation (Partie 0)**, l'absence de ratios calculables empêche toute conclusion ferme, mais la capitalisation modeste (5,04 Mds FCFA) et l'absence de PER exploitable invitent à la prudence. Le **comportement du cours (Partie 1)** est celui d'un titre spéculatif : +95,35% sur 100 jours, volatilité annualisée de 58,2%, skewness positif et distribution mésokurtique — une dynamique haussière puissante mais heurtée, avec un risque de correction après les pics. Les **signaux techniques (Partie 2)** sont **divergents** : les moyennes mobiles valident la tendance haussière, mais le MACD, le stochastique et le RSI signalent un essoufflement et un risque de consolidation à court terme. Les **fondamentaux (Partie 3)** révèlent une société en **redressement fragile** : retour à la profitabilité en 2023 (+19,25 millions FCFA), mais capitaux propres négatifs, absence de dividende depuis 2017 et dépendance à la maîtrise des coûts. Les **prédictions IA** n'étant pas disponibles, elles ne peuvent ni confirmer ni contredire ces signaux. **Recommandation finale : CONSERVER**, avec un biais prudent. La convergence entre une technique haussière de fond mais essoufflée à court terme et des fondamentaux en amélioration mais fragiles justifie une position attentiste. Le **niveau de confiance est Moyen**, le **risque global est Élevé** (volatilité extrême, capitaux propres négatifs, absence de dividende), et l'**horizon d'investissement optimal est moyen terme (3-12 mois)**, en surveillant la publication des comptes 2024 et l'issue de l'AGO du 22 mai 2026 comme catalyseurs décisifs.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5,490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-29.70%</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11.64% (Moyenne) — μ=2,441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β=0.4796 (Défensif) — Cov=0.000033, Var(idx)=0.000070, ρ=0.122,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2026-10-02</w:t>
            </w:r>
          </w:p>
        </w:tc>
        <w:tc>
          <w:tcPr>
            <w:tcW w:type="dxa" w:w="1440"/>
            <w:shd w:fill="C6EFCE" w:val="clear"/>
          </w:tcPr>
          <w:p>
            <w:r>
              <w:rPr>
                <w:sz w:val="17"/>
              </w:rPr>
              <w:t>1,938</w:t>
            </w:r>
          </w:p>
        </w:tc>
        <w:tc>
          <w:tcPr>
            <w:tcW w:type="dxa" w:w="1440"/>
            <w:shd w:fill="C6EFCE" w:val="clear"/>
          </w:tcPr>
          <w:p>
            <w:r>
              <w:rPr>
                <w:b/>
                <w:sz w:val="17"/>
              </w:rPr>
              <w:t>2,040</w:t>
            </w:r>
          </w:p>
        </w:tc>
        <w:tc>
          <w:tcPr>
            <w:tcW w:type="dxa" w:w="1440"/>
            <w:shd w:fill="C6EFCE" w:val="clear"/>
          </w:tcPr>
          <w:p>
            <w:r>
              <w:rPr>
                <w:sz w:val="17"/>
              </w:rPr>
              <w:t>2,142</w:t>
            </w:r>
          </w:p>
        </w:tc>
        <w:tc>
          <w:tcPr>
            <w:tcW w:type="dxa" w:w="1440"/>
            <w:shd w:fill="C6EFCE" w:val="clear"/>
          </w:tcPr>
          <w:p>
            <w:r>
              <w:rPr>
                <w:b/>
                <w:color w:val="008000"/>
                <w:sz w:val="17"/>
              </w:rPr>
              <w:t>+2.0%</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1,895</w:t>
            </w:r>
          </w:p>
        </w:tc>
        <w:tc>
          <w:tcPr>
            <w:tcW w:type="dxa" w:w="1440"/>
            <w:shd w:fill="FAFAFA" w:val="clear"/>
          </w:tcPr>
          <w:p>
            <w:r>
              <w:rPr>
                <w:b/>
                <w:sz w:val="17"/>
              </w:rPr>
              <w:t>2,039</w:t>
            </w:r>
          </w:p>
        </w:tc>
        <w:tc>
          <w:tcPr>
            <w:tcW w:type="dxa" w:w="1440"/>
            <w:shd w:fill="FAFAFA" w:val="clear"/>
          </w:tcPr>
          <w:p>
            <w:r>
              <w:rPr>
                <w:sz w:val="17"/>
              </w:rPr>
              <w:t>2,183</w:t>
            </w:r>
          </w:p>
        </w:tc>
        <w:tc>
          <w:tcPr>
            <w:tcW w:type="dxa" w:w="1440"/>
            <w:shd w:fill="FAFAFA" w:val="clear"/>
          </w:tcPr>
          <w:p>
            <w:r>
              <w:rPr>
                <w:b/>
                <w:color w:val="008000"/>
                <w:sz w:val="17"/>
              </w:rPr>
              <w:t>+2.0%</w:t>
            </w:r>
          </w:p>
        </w:tc>
      </w:tr>
      <w:tr>
        <w:tc>
          <w:tcPr>
            <w:tcW w:type="dxa" w:w="1440"/>
            <w:shd w:fill="C6EFCE" w:val="clear"/>
          </w:tcPr>
          <w:p>
            <w:r>
              <w:rPr>
                <w:sz w:val="17"/>
              </w:rPr>
              <w:t>J+3  ⭐</w:t>
            </w:r>
          </w:p>
        </w:tc>
        <w:tc>
          <w:tcPr>
            <w:tcW w:type="dxa" w:w="1440"/>
            <w:shd w:fill="C6EFCE" w:val="clear"/>
          </w:tcPr>
          <w:p>
            <w:r>
              <w:rPr>
                <w:sz w:val="17"/>
              </w:rPr>
              <w:t>2026-10-06</w:t>
            </w:r>
          </w:p>
        </w:tc>
        <w:tc>
          <w:tcPr>
            <w:tcW w:type="dxa" w:w="1440"/>
            <w:shd w:fill="C6EFCE" w:val="clear"/>
          </w:tcPr>
          <w:p>
            <w:r>
              <w:rPr>
                <w:sz w:val="17"/>
              </w:rPr>
              <w:t>1,865</w:t>
            </w:r>
          </w:p>
        </w:tc>
        <w:tc>
          <w:tcPr>
            <w:tcW w:type="dxa" w:w="1440"/>
            <w:shd w:fill="C6EFCE" w:val="clear"/>
          </w:tcPr>
          <w:p>
            <w:r>
              <w:rPr>
                <w:b/>
                <w:sz w:val="17"/>
              </w:rPr>
              <w:t>2,042</w:t>
            </w:r>
          </w:p>
        </w:tc>
        <w:tc>
          <w:tcPr>
            <w:tcW w:type="dxa" w:w="1440"/>
            <w:shd w:fill="C6EFCE" w:val="clear"/>
          </w:tcPr>
          <w:p>
            <w:r>
              <w:rPr>
                <w:sz w:val="17"/>
              </w:rPr>
              <w:t>2,218</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2026-10-07</w:t>
            </w:r>
          </w:p>
        </w:tc>
        <w:tc>
          <w:tcPr>
            <w:tcW w:type="dxa" w:w="1440"/>
            <w:shd w:fill="C6EFCE" w:val="clear"/>
          </w:tcPr>
          <w:p>
            <w:r>
              <w:rPr>
                <w:sz w:val="17"/>
              </w:rPr>
              <w:t>1,840</w:t>
            </w:r>
          </w:p>
        </w:tc>
        <w:tc>
          <w:tcPr>
            <w:tcW w:type="dxa" w:w="1440"/>
            <w:shd w:fill="C6EFCE" w:val="clear"/>
          </w:tcPr>
          <w:p>
            <w:r>
              <w:rPr>
                <w:b/>
                <w:sz w:val="17"/>
              </w:rPr>
              <w:t>2,045</w:t>
            </w:r>
          </w:p>
        </w:tc>
        <w:tc>
          <w:tcPr>
            <w:tcW w:type="dxa" w:w="1440"/>
            <w:shd w:fill="C6EFCE" w:val="clear"/>
          </w:tcPr>
          <w:p>
            <w:r>
              <w:rPr>
                <w:sz w:val="17"/>
              </w:rPr>
              <w:t>2,250</w:t>
            </w:r>
          </w:p>
        </w:tc>
        <w:tc>
          <w:tcPr>
            <w:tcW w:type="dxa" w:w="1440"/>
            <w:shd w:fill="C6EFCE" w:val="clear"/>
          </w:tcPr>
          <w:p>
            <w:r>
              <w:rPr>
                <w:b/>
                <w:color w:val="008000"/>
                <w:sz w:val="17"/>
              </w:rPr>
              <w:t>+2.2%</w:t>
            </w:r>
          </w:p>
        </w:tc>
      </w:tr>
      <w:tr>
        <w:tc>
          <w:tcPr>
            <w:tcW w:type="dxa" w:w="1440"/>
            <w:shd w:fill="C6EFCE" w:val="clear"/>
          </w:tcPr>
          <w:p>
            <w:r>
              <w:rPr>
                <w:sz w:val="17"/>
              </w:rPr>
              <w:t>J+5  ⭐</w:t>
            </w:r>
          </w:p>
        </w:tc>
        <w:tc>
          <w:tcPr>
            <w:tcW w:type="dxa" w:w="1440"/>
            <w:shd w:fill="C6EFCE" w:val="clear"/>
          </w:tcPr>
          <w:p>
            <w:r>
              <w:rPr>
                <w:sz w:val="17"/>
              </w:rPr>
              <w:t>2026-10-08</w:t>
            </w:r>
          </w:p>
        </w:tc>
        <w:tc>
          <w:tcPr>
            <w:tcW w:type="dxa" w:w="1440"/>
            <w:shd w:fill="C6EFCE" w:val="clear"/>
          </w:tcPr>
          <w:p>
            <w:r>
              <w:rPr>
                <w:sz w:val="17"/>
              </w:rPr>
              <w:t>1,819</w:t>
            </w:r>
          </w:p>
        </w:tc>
        <w:tc>
          <w:tcPr>
            <w:tcW w:type="dxa" w:w="1440"/>
            <w:shd w:fill="C6EFCE" w:val="clear"/>
          </w:tcPr>
          <w:p>
            <w:r>
              <w:rPr>
                <w:b/>
                <w:sz w:val="17"/>
              </w:rPr>
              <w:t>2,049</w:t>
            </w:r>
          </w:p>
        </w:tc>
        <w:tc>
          <w:tcPr>
            <w:tcW w:type="dxa" w:w="1440"/>
            <w:shd w:fill="C6EFCE" w:val="clear"/>
          </w:tcPr>
          <w:p>
            <w:r>
              <w:rPr>
                <w:sz w:val="17"/>
              </w:rPr>
              <w:t>2,278</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2026-10-09</w:t>
            </w:r>
          </w:p>
        </w:tc>
        <w:tc>
          <w:tcPr>
            <w:tcW w:type="dxa" w:w="1440"/>
            <w:shd w:fill="C6EFCE" w:val="clear"/>
          </w:tcPr>
          <w:p>
            <w:r>
              <w:rPr>
                <w:sz w:val="17"/>
              </w:rPr>
              <w:t>1,801</w:t>
            </w:r>
          </w:p>
        </w:tc>
        <w:tc>
          <w:tcPr>
            <w:tcW w:type="dxa" w:w="1440"/>
            <w:shd w:fill="C6EFCE" w:val="clear"/>
          </w:tcPr>
          <w:p>
            <w:r>
              <w:rPr>
                <w:b/>
                <w:sz w:val="17"/>
              </w:rPr>
              <w:t>2,052</w:t>
            </w:r>
          </w:p>
        </w:tc>
        <w:tc>
          <w:tcPr>
            <w:tcW w:type="dxa" w:w="1440"/>
            <w:shd w:fill="C6EFCE" w:val="clear"/>
          </w:tcPr>
          <w:p>
            <w:r>
              <w:rPr>
                <w:sz w:val="17"/>
              </w:rPr>
              <w:t>2,304</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2026-10-12</w:t>
            </w:r>
          </w:p>
        </w:tc>
        <w:tc>
          <w:tcPr>
            <w:tcW w:type="dxa" w:w="1440"/>
            <w:shd w:fill="C6EFCE" w:val="clear"/>
          </w:tcPr>
          <w:p>
            <w:r>
              <w:rPr>
                <w:sz w:val="17"/>
              </w:rPr>
              <w:t>1,784</w:t>
            </w:r>
          </w:p>
        </w:tc>
        <w:tc>
          <w:tcPr>
            <w:tcW w:type="dxa" w:w="1440"/>
            <w:shd w:fill="C6EFCE" w:val="clear"/>
          </w:tcPr>
          <w:p>
            <w:r>
              <w:rPr>
                <w:b/>
                <w:sz w:val="17"/>
              </w:rPr>
              <w:t>2,056</w:t>
            </w:r>
          </w:p>
        </w:tc>
        <w:tc>
          <w:tcPr>
            <w:tcW w:type="dxa" w:w="1440"/>
            <w:shd w:fill="C6EFCE" w:val="clear"/>
          </w:tcPr>
          <w:p>
            <w:r>
              <w:rPr>
                <w:sz w:val="17"/>
              </w:rPr>
              <w:t>2,328</w:t>
            </w:r>
          </w:p>
        </w:tc>
        <w:tc>
          <w:tcPr>
            <w:tcW w:type="dxa" w:w="1440"/>
            <w:shd w:fill="C6EFCE" w:val="clear"/>
          </w:tcPr>
          <w:p>
            <w:r>
              <w:rPr>
                <w:b/>
                <w:color w:val="008000"/>
                <w:sz w:val="17"/>
              </w:rPr>
              <w:t>+2.8%</w:t>
            </w:r>
          </w:p>
        </w:tc>
      </w:tr>
      <w:tr>
        <w:tc>
          <w:tcPr>
            <w:tcW w:type="dxa" w:w="1440"/>
            <w:shd w:fill="C6EFCE" w:val="clear"/>
          </w:tcPr>
          <w:p>
            <w:r>
              <w:rPr>
                <w:sz w:val="17"/>
              </w:rPr>
              <w:t>J+8  ⭐</w:t>
            </w:r>
          </w:p>
        </w:tc>
        <w:tc>
          <w:tcPr>
            <w:tcW w:type="dxa" w:w="1440"/>
            <w:shd w:fill="C6EFCE" w:val="clear"/>
          </w:tcPr>
          <w:p>
            <w:r>
              <w:rPr>
                <w:sz w:val="17"/>
              </w:rPr>
              <w:t>2026-10-13</w:t>
            </w:r>
          </w:p>
        </w:tc>
        <w:tc>
          <w:tcPr>
            <w:tcW w:type="dxa" w:w="1440"/>
            <w:shd w:fill="C6EFCE" w:val="clear"/>
          </w:tcPr>
          <w:p>
            <w:r>
              <w:rPr>
                <w:sz w:val="17"/>
              </w:rPr>
              <w:t>1,768</w:t>
            </w:r>
          </w:p>
        </w:tc>
        <w:tc>
          <w:tcPr>
            <w:tcW w:type="dxa" w:w="1440"/>
            <w:shd w:fill="C6EFCE" w:val="clear"/>
          </w:tcPr>
          <w:p>
            <w:r>
              <w:rPr>
                <w:b/>
                <w:sz w:val="17"/>
              </w:rPr>
              <w:t>2,060</w:t>
            </w:r>
          </w:p>
        </w:tc>
        <w:tc>
          <w:tcPr>
            <w:tcW w:type="dxa" w:w="1440"/>
            <w:shd w:fill="C6EFCE" w:val="clear"/>
          </w:tcPr>
          <w:p>
            <w:r>
              <w:rPr>
                <w:sz w:val="17"/>
              </w:rPr>
              <w:t>2,351</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2026-10-14</w:t>
            </w:r>
          </w:p>
        </w:tc>
        <w:tc>
          <w:tcPr>
            <w:tcW w:type="dxa" w:w="1440"/>
            <w:shd w:fill="C6EFCE" w:val="clear"/>
          </w:tcPr>
          <w:p>
            <w:r>
              <w:rPr>
                <w:sz w:val="17"/>
              </w:rPr>
              <w:t>1,753</w:t>
            </w:r>
          </w:p>
        </w:tc>
        <w:tc>
          <w:tcPr>
            <w:tcW w:type="dxa" w:w="1440"/>
            <w:shd w:fill="C6EFCE" w:val="clear"/>
          </w:tcPr>
          <w:p>
            <w:r>
              <w:rPr>
                <w:b/>
                <w:sz w:val="17"/>
              </w:rPr>
              <w:t>2,063</w:t>
            </w:r>
          </w:p>
        </w:tc>
        <w:tc>
          <w:tcPr>
            <w:tcW w:type="dxa" w:w="1440"/>
            <w:shd w:fill="C6EFCE" w:val="clear"/>
          </w:tcPr>
          <w:p>
            <w:r>
              <w:rPr>
                <w:sz w:val="17"/>
              </w:rPr>
              <w:t>2,373</w:t>
            </w:r>
          </w:p>
        </w:tc>
        <w:tc>
          <w:tcPr>
            <w:tcW w:type="dxa" w:w="1440"/>
            <w:shd w:fill="C6EFCE" w:val="clear"/>
          </w:tcPr>
          <w:p>
            <w:r>
              <w:rPr>
                <w:b/>
                <w:color w:val="008000"/>
                <w:sz w:val="17"/>
              </w:rPr>
              <w:t>+3.2%</w:t>
            </w:r>
          </w:p>
        </w:tc>
      </w:tr>
      <w:tr>
        <w:tc>
          <w:tcPr>
            <w:tcW w:type="dxa" w:w="1440"/>
            <w:shd w:fill="C6EFCE" w:val="clear"/>
          </w:tcPr>
          <w:p>
            <w:r>
              <w:rPr>
                <w:sz w:val="17"/>
              </w:rPr>
              <w:t>J+10  ⭐</w:t>
            </w:r>
          </w:p>
        </w:tc>
        <w:tc>
          <w:tcPr>
            <w:tcW w:type="dxa" w:w="1440"/>
            <w:shd w:fill="C6EFCE" w:val="clear"/>
          </w:tcPr>
          <w:p>
            <w:r>
              <w:rPr>
                <w:sz w:val="17"/>
              </w:rPr>
              <w:t>2026-10-15</w:t>
            </w:r>
          </w:p>
        </w:tc>
        <w:tc>
          <w:tcPr>
            <w:tcW w:type="dxa" w:w="1440"/>
            <w:shd w:fill="C6EFCE" w:val="clear"/>
          </w:tcPr>
          <w:p>
            <w:r>
              <w:rPr>
                <w:sz w:val="17"/>
              </w:rPr>
              <w:t>1,740</w:t>
            </w:r>
          </w:p>
        </w:tc>
        <w:tc>
          <w:tcPr>
            <w:tcW w:type="dxa" w:w="1440"/>
            <w:shd w:fill="C6EFCE" w:val="clear"/>
          </w:tcPr>
          <w:p>
            <w:r>
              <w:rPr>
                <w:b/>
                <w:sz w:val="17"/>
              </w:rPr>
              <w:t>2,067</w:t>
            </w:r>
          </w:p>
        </w:tc>
        <w:tc>
          <w:tcPr>
            <w:tcW w:type="dxa" w:w="1440"/>
            <w:shd w:fill="C6EFCE" w:val="clear"/>
          </w:tcPr>
          <w:p>
            <w:r>
              <w:rPr>
                <w:sz w:val="17"/>
              </w:rPr>
              <w:t>2,394</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17,47 milliards FCFA, SIVC se situe dans la catégorie des valeurs moyennes de la BRVM, ce qui la rend sensible aux mouvements de portefeuille des investisseurs institutionnels. Le BPA de 43 FCFA/action signifie que chaque titre génère 43 FCFA de bénéfice net, un niveau modeste au regard du cours actuel de 2 000 FCFA. Le PER de 46,3x traduit une valorisation très exigeante : les investisseurs paient environ 46 fois les bénéfices, soit près de quatre fois la moyenne du marché BRVM (8-12x), ce qui suggère une forte anticipation de croissance ou, à l'inverse, une surévaluation manifeste. Le P/B de 5,34x indique que le marché valorise la société à plus de cinq fois sa valeur comptable, une prime considérable qui n'est justifiée que si la rentabilité future s'améliore nettement. Enfin, l'EV/EBITDA de 15,1x confirme cette cherté relative : la valeur d'entreprise représente plus de 15 fois la capacité opérationnelle, un seuil généralement réservé aux sociétés à forte croissance, ce qui n'est pas le cas ici au vu de la chute du résultat net.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-29,70%, avec une dernière séance stable (+0,00%), portant le cours actuel à 2 000 FCFA. Le range de trading s'étend de 2 875 FCFA (plus haut) à 1 920 FCFA (plus bas), soit une amplitude de près de 50%, ce qui témoigne d'une tendance baissière marquée et d'une pression vendeuse persistante. La moyenne (2 441 FCFA) est supérieure à la médiane (2 382 FCFA), signe d'une légère asymétrie positive due à quelques séances haussières en début de période, mais le mode à 2 000 FCFA confirme que le cours actuel constitue le niveau le plus fréquent. L'écart-type de 286 FCFA et le coefficient de variation de 11,7% indiquent une dispersion modérée autour de la moyenne, tandis que le kurtosis négatif (-1,160, distribution platykurtique) révèle une faible concentration des rendements et un risque de pics limité. Le skewness de 0,217, proche de zéro, confirme une distribution quasi symétrique. La volatilité annualisée de 53,7% classe le titre dans la catégorie des valeurs très volatiles (&gt;30%), ce qui implique un risque élevé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(2 177,5 FCFA) et la MM50 (2 253,6 FCFA) sont toutes deux supérieures au cours actuel (2 000 FCFA), ce qui confirme une configuration baissière. La MM20 étant en dessous de la MM50, la tendance de fond reste négative, justifiant la décision de **Vente**.</w:t>
      </w:r>
    </w:p>
    <w:p>
      <w:pPr>
        <w:spacing w:after="120" w:line="276" w:lineRule="auto"/>
      </w:pPr>
      <w:r>
        <w:t>**Bandes de Bollinger** : Le cours (2 000 FCFA) se situe dans la partie basse de la bande, entre la borne inférieure (1 877,1 FCFA) et la borne supérieure (2 477,9 FCFA). Cette position proche de la borne basse suggère une possible zone de survente, mais la décision reste **Neutre** car le cours n'a pas encore touché la borne inférieure, laissant place à une poursuite de la baisse.</w:t>
      </w:r>
    </w:p>
    <w:p>
      <w:pPr>
        <w:spacing w:after="120" w:line="276" w:lineRule="auto"/>
      </w:pPr>
      <w:r>
        <w:t>**MACD** : La valeur du MACD (-85,198) est inférieure à son signal (-70,21), confirmant un momentum baissier. La divergence négative entre les deux lignes indique que la pression vendeuse reste dominante, justifiant la décision de **Vente**.</w:t>
      </w:r>
    </w:p>
    <w:p>
      <w:pPr>
        <w:spacing w:after="120" w:line="276" w:lineRule="auto"/>
      </w:pPr>
      <w:r>
        <w:t>**RSI** : À 28,495, le RSI se situe en zone de survente (&lt;30), ce qui suggère un potentiel rebond technique à court terme. La décision est donc à l'**Achat**, mais ce signal doit être pondéré par la tendance baissière globale.</w:t>
      </w:r>
    </w:p>
    <w:p>
      <w:pPr>
        <w:spacing w:after="120" w:line="276" w:lineRule="auto"/>
      </w:pPr>
      <w:r>
        <w:t>**Stochastique** : Le %K (0,0) est très en dessous du %D (11,667), signalant une survente extrême. Un croisement haussier du %K au-dessus du %D pourrait déclencher un rebond, justifiant la décision d'**Achat**.</w:t>
      </w:r>
    </w:p>
    <w:p>
      <w:pPr>
        <w:spacing w:after="120" w:line="276" w:lineRule="auto"/>
      </w:pPr>
      <w:r>
        <w:t>**Conclusion technique** : Les indicateurs sont divergents : les moyennes mobiles et le MACD confirment une tendance baissière, tandis que le RSI et le stochastique signalent une survente propice à un rebond technique. Cette configuration suggère une possible stabilisation à court terme, mais la tendance de fond reste négative tant que le cours ne repasse pas au-dessus de la MM20 (2 177,5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(base brvm_donnees_financieres) indiquent un PNB de 9,283 milliards FCFA, un résultat net de 376,96 millions FCFA, un ROE de 11,52% et un ROA de 2,69%. Le coefficient d'exploitation s'élève à 95,83%, très au-dessus du seuil de 60% considéré comme efficace pour une banque, ce qui traduit une structure de coûts lourde et une faible efficacité opérationnelle. Le coût du risque (3,10%) reste modéré, mais la marge nette de 4,06% est faible. Le rapport annuel 2025 (analysé par DEEPSEEK le 29/06/2026) révèle une dégradation préoccupante : le chiffre d'affaires progresse de 8,53% à 10,074 milliards FCFA, mais le résultat net chute de 52,4% à 179,29 millions FCFA, et la marge nette tombe à 1,78%. Le rapport du S1 2025 (certifié, daté du 30/06/2025) fait état d'un chiffre d'affaires de 4,897 milliards FCFA (+8,8%) et d'un résultat net de 512,9 millions FCFA (+4,6%), avec une marge nette de 10,5%. Le rapport du T3 2025 (date inconnue) confirme cette dynamique avec un chiffre d'affaires cumulé de 7,584 milliards FCFA (+13%) et un résultat net de 832,5 millions FCFA (+58%), soit une marge nette de 11,0%. **Cependant, ces chiffres trimestriels semblent en contradiction avec les états financiers annuels 2025, probablement en raison de retraitements ou d'éléments exceptionnels non récurrents.** Sur la base du T3 2025, on estime que l'exercice 2025 devrait afficher une amélioration de la rentabilité par rapport à 2024, mais la publication du rapport annuel 2025 (résultat net de 179 millions FCFA) invalide cette projection et confirme une dégradation sévère. La trésorerie nette reste négative à -1,66 milliard FCFA, et l'endettement financier atteint 4,164 milliards FCFA, ce qui pèse sur la structure financière. La recommandation fondamentale est de **CONSERVER avec surveillance**, en raison de la croissance du chiffre d'affaires mais de la fragilité de la rentabilité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un PER de 46,3x et un P/B de 5,34x pour une société dont le résultat net a chuté de 52% en 2025 ne sont pas justifiés. Le comportement du cours (Partie 1) est baissier (-29,70% sur 100 jours) avec une volatilité élevée (53,7%) et une distribution platykurtique, ce qui indique un risque de mouvements erratiques. Les signaux techniques (Partie 2) sont divergents : les indicateurs de tendance (MM, MACD) sont baissiers, tandis que les oscillateurs (RSI, Stochastique) signalent une survente propice à un rebond technique à court terme. Les fondamentaux (Partie 3) sont préoccupants : malgré la croissance du chiffre d'affaires, la rentabilité s'est effondrée en 2025 (marge nette de 1,78%), la trésorerie est négative et l'endettement élevé. Les prédictions IA (J+1 à J+10) anticipent une légère reprise du cours vers 2 040-2 049 FCFA, ce qui confirme un possible rebond technique mais ne remet pas en cause la tendance baissière de fond. **En synthèse, la convergence des signaux est défavorable : la valorisation est excessive, les fondamentaux se dégradent et la tendance technique reste baissière malgré la survente.** La recommandation finale est **VENTE** (ou **CONSERVER** pour les investisseurs déjà en position, avec un stop-loss strict), avec un niveau de confiance **Moyen** et un risque global **Élevé**. L'horizon d'investissement optimal est **court terme** (&lt;3 mois) pour profiter d'un éventuel rebond technique, mais une exposition à moyen/long terme n'est pas recommandée tant que la rentabilité ne se redresse pas durablement.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1,402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-1.33%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2.22% (Faible) — μ=38,278 FCFA, σ=850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β=0.0591 (Défensif) — Cov=0.000004, Var(idx)=0.000070, ρ=0.032,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37,068</w:t>
            </w:r>
          </w:p>
        </w:tc>
        <w:tc>
          <w:tcPr>
            <w:tcW w:type="dxa" w:w="1440"/>
            <w:shd w:fill="FAFAFA" w:val="clear"/>
          </w:tcPr>
          <w:p>
            <w:r>
              <w:rPr>
                <w:b/>
                <w:sz w:val="17"/>
              </w:rPr>
              <w:t>37,638</w:t>
            </w:r>
          </w:p>
        </w:tc>
        <w:tc>
          <w:tcPr>
            <w:tcW w:type="dxa" w:w="1440"/>
            <w:shd w:fill="FAFAFA" w:val="clear"/>
          </w:tcPr>
          <w:p>
            <w:r>
              <w:rPr>
                <w:sz w:val="17"/>
              </w:rPr>
              <w:t>38,208</w:t>
            </w:r>
          </w:p>
        </w:tc>
        <w:tc>
          <w:tcPr>
            <w:tcW w:type="dxa" w:w="1440"/>
            <w:shd w:fill="FAFAFA" w:val="clear"/>
          </w:tcPr>
          <w:p>
            <w:r>
              <w:rPr>
                <w:b/>
                <w:color w:val="008000"/>
                <w:sz w:val="17"/>
              </w:rPr>
              <w:t>+1.7%</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36,889</w:t>
            </w:r>
          </w:p>
        </w:tc>
        <w:tc>
          <w:tcPr>
            <w:tcW w:type="dxa" w:w="1440"/>
            <w:shd w:fill="FAFAFA" w:val="clear"/>
          </w:tcPr>
          <w:p>
            <w:r>
              <w:rPr>
                <w:b/>
                <w:sz w:val="17"/>
              </w:rPr>
              <w:t>37,697</w:t>
            </w:r>
          </w:p>
        </w:tc>
        <w:tc>
          <w:tcPr>
            <w:tcW w:type="dxa" w:w="1440"/>
            <w:shd w:fill="FAFAFA" w:val="clear"/>
          </w:tcPr>
          <w:p>
            <w:r>
              <w:rPr>
                <w:sz w:val="17"/>
              </w:rPr>
              <w:t>38,504</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2026-10-06</w:t>
            </w:r>
          </w:p>
        </w:tc>
        <w:tc>
          <w:tcPr>
            <w:tcW w:type="dxa" w:w="1440"/>
            <w:shd w:fill="C6EFCE" w:val="clear"/>
          </w:tcPr>
          <w:p>
            <w:r>
              <w:rPr>
                <w:sz w:val="17"/>
              </w:rPr>
              <w:t>36,859</w:t>
            </w:r>
          </w:p>
        </w:tc>
        <w:tc>
          <w:tcPr>
            <w:tcW w:type="dxa" w:w="1440"/>
            <w:shd w:fill="C6EFCE" w:val="clear"/>
          </w:tcPr>
          <w:p>
            <w:r>
              <w:rPr>
                <w:b/>
                <w:sz w:val="17"/>
              </w:rPr>
              <w:t>37,852</w:t>
            </w:r>
          </w:p>
        </w:tc>
        <w:tc>
          <w:tcPr>
            <w:tcW w:type="dxa" w:w="1440"/>
            <w:shd w:fill="C6EFCE" w:val="clear"/>
          </w:tcPr>
          <w:p>
            <w:r>
              <w:rPr>
                <w:sz w:val="17"/>
              </w:rPr>
              <w:t>38,845</w:t>
            </w:r>
          </w:p>
        </w:tc>
        <w:tc>
          <w:tcPr>
            <w:tcW w:type="dxa" w:w="1440"/>
            <w:shd w:fill="C6EFCE" w:val="clear"/>
          </w:tcPr>
          <w:p>
            <w:r>
              <w:rPr>
                <w:b/>
                <w:color w:val="008000"/>
                <w:sz w:val="17"/>
              </w:rPr>
              <w:t>+2.3%</w:t>
            </w:r>
          </w:p>
        </w:tc>
      </w:tr>
      <w:tr>
        <w:tc>
          <w:tcPr>
            <w:tcW w:type="dxa" w:w="1440"/>
            <w:shd w:fill="C6EFCE" w:val="clear"/>
          </w:tcPr>
          <w:p>
            <w:r>
              <w:rPr>
                <w:sz w:val="17"/>
              </w:rPr>
              <w:t>J+4  Moyenne</w:t>
            </w:r>
          </w:p>
        </w:tc>
        <w:tc>
          <w:tcPr>
            <w:tcW w:type="dxa" w:w="1440"/>
            <w:shd w:fill="C6EFCE" w:val="clear"/>
          </w:tcPr>
          <w:p>
            <w:r>
              <w:rPr>
                <w:sz w:val="17"/>
              </w:rPr>
              <w:t>2026-10-07</w:t>
            </w:r>
          </w:p>
        </w:tc>
        <w:tc>
          <w:tcPr>
            <w:tcW w:type="dxa" w:w="1440"/>
            <w:shd w:fill="C6EFCE" w:val="clear"/>
          </w:tcPr>
          <w:p>
            <w:r>
              <w:rPr>
                <w:sz w:val="17"/>
              </w:rPr>
              <w:t>36,870</w:t>
            </w:r>
          </w:p>
        </w:tc>
        <w:tc>
          <w:tcPr>
            <w:tcW w:type="dxa" w:w="1440"/>
            <w:shd w:fill="C6EFCE" w:val="clear"/>
          </w:tcPr>
          <w:p>
            <w:r>
              <w:rPr>
                <w:b/>
                <w:sz w:val="17"/>
              </w:rPr>
              <w:t>38,021</w:t>
            </w:r>
          </w:p>
        </w:tc>
        <w:tc>
          <w:tcPr>
            <w:tcW w:type="dxa" w:w="1440"/>
            <w:shd w:fill="C6EFCE" w:val="clear"/>
          </w:tcPr>
          <w:p>
            <w:r>
              <w:rPr>
                <w:sz w:val="17"/>
              </w:rPr>
              <w:t>39,173</w:t>
            </w:r>
          </w:p>
        </w:tc>
        <w:tc>
          <w:tcPr>
            <w:tcW w:type="dxa" w:w="1440"/>
            <w:shd w:fill="C6EFCE" w:val="clear"/>
          </w:tcPr>
          <w:p>
            <w:r>
              <w:rPr>
                <w:b/>
                <w:color w:val="008000"/>
                <w:sz w:val="17"/>
              </w:rPr>
              <w:t>+2.8%</w:t>
            </w:r>
          </w:p>
        </w:tc>
      </w:tr>
      <w:tr>
        <w:tc>
          <w:tcPr>
            <w:tcW w:type="dxa" w:w="1440"/>
            <w:shd w:fill="C6EFCE" w:val="clear"/>
          </w:tcPr>
          <w:p>
            <w:r>
              <w:rPr>
                <w:sz w:val="17"/>
              </w:rPr>
              <w:t>J+5  Moyenne</w:t>
            </w:r>
          </w:p>
        </w:tc>
        <w:tc>
          <w:tcPr>
            <w:tcW w:type="dxa" w:w="1440"/>
            <w:shd w:fill="C6EFCE" w:val="clear"/>
          </w:tcPr>
          <w:p>
            <w:r>
              <w:rPr>
                <w:sz w:val="17"/>
              </w:rPr>
              <w:t>2026-10-08</w:t>
            </w:r>
          </w:p>
        </w:tc>
        <w:tc>
          <w:tcPr>
            <w:tcW w:type="dxa" w:w="1440"/>
            <w:shd w:fill="C6EFCE" w:val="clear"/>
          </w:tcPr>
          <w:p>
            <w:r>
              <w:rPr>
                <w:sz w:val="17"/>
              </w:rPr>
              <w:t>36,892</w:t>
            </w:r>
          </w:p>
        </w:tc>
        <w:tc>
          <w:tcPr>
            <w:tcW w:type="dxa" w:w="1440"/>
            <w:shd w:fill="C6EFCE" w:val="clear"/>
          </w:tcPr>
          <w:p>
            <w:r>
              <w:rPr>
                <w:b/>
                <w:sz w:val="17"/>
              </w:rPr>
              <w:t>38,185</w:t>
            </w:r>
          </w:p>
        </w:tc>
        <w:tc>
          <w:tcPr>
            <w:tcW w:type="dxa" w:w="1440"/>
            <w:shd w:fill="C6EFCE" w:val="clear"/>
          </w:tcPr>
          <w:p>
            <w:r>
              <w:rPr>
                <w:sz w:val="17"/>
              </w:rPr>
              <w:t>39,478</w:t>
            </w:r>
          </w:p>
        </w:tc>
        <w:tc>
          <w:tcPr>
            <w:tcW w:type="dxa" w:w="1440"/>
            <w:shd w:fill="C6EFCE" w:val="clear"/>
          </w:tcPr>
          <w:p>
            <w:r>
              <w:rPr>
                <w:b/>
                <w:color w:val="008000"/>
                <w:sz w:val="17"/>
              </w:rPr>
              <w:t>+3.2%</w:t>
            </w:r>
          </w:p>
        </w:tc>
      </w:tr>
      <w:tr>
        <w:tc>
          <w:tcPr>
            <w:tcW w:type="dxa" w:w="1440"/>
            <w:shd w:fill="C6EFCE" w:val="clear"/>
          </w:tcPr>
          <w:p>
            <w:r>
              <w:rPr>
                <w:sz w:val="17"/>
              </w:rPr>
              <w:t>J+6  Moyenne</w:t>
            </w:r>
          </w:p>
        </w:tc>
        <w:tc>
          <w:tcPr>
            <w:tcW w:type="dxa" w:w="1440"/>
            <w:shd w:fill="C6EFCE" w:val="clear"/>
          </w:tcPr>
          <w:p>
            <w:r>
              <w:rPr>
                <w:sz w:val="17"/>
              </w:rPr>
              <w:t>2026-10-09</w:t>
            </w:r>
          </w:p>
        </w:tc>
        <w:tc>
          <w:tcPr>
            <w:tcW w:type="dxa" w:w="1440"/>
            <w:shd w:fill="C6EFCE" w:val="clear"/>
          </w:tcPr>
          <w:p>
            <w:r>
              <w:rPr>
                <w:sz w:val="17"/>
              </w:rPr>
              <w:t>36,920</w:t>
            </w:r>
          </w:p>
        </w:tc>
        <w:tc>
          <w:tcPr>
            <w:tcW w:type="dxa" w:w="1440"/>
            <w:shd w:fill="C6EFCE" w:val="clear"/>
          </w:tcPr>
          <w:p>
            <w:r>
              <w:rPr>
                <w:b/>
                <w:sz w:val="17"/>
              </w:rPr>
              <w:t>38,343</w:t>
            </w:r>
          </w:p>
        </w:tc>
        <w:tc>
          <w:tcPr>
            <w:tcW w:type="dxa" w:w="1440"/>
            <w:shd w:fill="C6EFCE" w:val="clear"/>
          </w:tcPr>
          <w:p>
            <w:r>
              <w:rPr>
                <w:sz w:val="17"/>
              </w:rPr>
              <w:t>39,765</w:t>
            </w:r>
          </w:p>
        </w:tc>
        <w:tc>
          <w:tcPr>
            <w:tcW w:type="dxa" w:w="1440"/>
            <w:shd w:fill="C6EFCE" w:val="clear"/>
          </w:tcPr>
          <w:p>
            <w:r>
              <w:rPr>
                <w:b/>
                <w:color w:val="008000"/>
                <w:sz w:val="17"/>
              </w:rPr>
              <w:t>+3.6%</w:t>
            </w:r>
          </w:p>
        </w:tc>
      </w:tr>
      <w:tr>
        <w:tc>
          <w:tcPr>
            <w:tcW w:type="dxa" w:w="1440"/>
            <w:shd w:fill="C6EFCE" w:val="clear"/>
          </w:tcPr>
          <w:p>
            <w:r>
              <w:rPr>
                <w:sz w:val="17"/>
              </w:rPr>
              <w:t>J+7  Moyenne</w:t>
            </w:r>
          </w:p>
        </w:tc>
        <w:tc>
          <w:tcPr>
            <w:tcW w:type="dxa" w:w="1440"/>
            <w:shd w:fill="C6EFCE" w:val="clear"/>
          </w:tcPr>
          <w:p>
            <w:r>
              <w:rPr>
                <w:sz w:val="17"/>
              </w:rPr>
              <w:t>2026-10-12</w:t>
            </w:r>
          </w:p>
        </w:tc>
        <w:tc>
          <w:tcPr>
            <w:tcW w:type="dxa" w:w="1440"/>
            <w:shd w:fill="C6EFCE" w:val="clear"/>
          </w:tcPr>
          <w:p>
            <w:r>
              <w:rPr>
                <w:sz w:val="17"/>
              </w:rPr>
              <w:t>36,952</w:t>
            </w:r>
          </w:p>
        </w:tc>
        <w:tc>
          <w:tcPr>
            <w:tcW w:type="dxa" w:w="1440"/>
            <w:shd w:fill="C6EFCE" w:val="clear"/>
          </w:tcPr>
          <w:p>
            <w:r>
              <w:rPr>
                <w:b/>
                <w:sz w:val="17"/>
              </w:rPr>
              <w:t>38,494</w:t>
            </w:r>
          </w:p>
        </w:tc>
        <w:tc>
          <w:tcPr>
            <w:tcW w:type="dxa" w:w="1440"/>
            <w:shd w:fill="C6EFCE" w:val="clear"/>
          </w:tcPr>
          <w:p>
            <w:r>
              <w:rPr>
                <w:sz w:val="17"/>
              </w:rPr>
              <w:t>40,037</w:t>
            </w:r>
          </w:p>
        </w:tc>
        <w:tc>
          <w:tcPr>
            <w:tcW w:type="dxa" w:w="1440"/>
            <w:shd w:fill="C6EFCE" w:val="clear"/>
          </w:tcPr>
          <w:p>
            <w:r>
              <w:rPr>
                <w:b/>
                <w:color w:val="008000"/>
                <w:sz w:val="17"/>
              </w:rPr>
              <w:t>+4.0%</w:t>
            </w:r>
          </w:p>
        </w:tc>
      </w:tr>
      <w:tr>
        <w:tc>
          <w:tcPr>
            <w:tcW w:type="dxa" w:w="1440"/>
            <w:shd w:fill="C6EFCE" w:val="clear"/>
          </w:tcPr>
          <w:p>
            <w:r>
              <w:rPr>
                <w:sz w:val="17"/>
              </w:rPr>
              <w:t>J+8  Moyenne</w:t>
            </w:r>
          </w:p>
        </w:tc>
        <w:tc>
          <w:tcPr>
            <w:tcW w:type="dxa" w:w="1440"/>
            <w:shd w:fill="C6EFCE" w:val="clear"/>
          </w:tcPr>
          <w:p>
            <w:r>
              <w:rPr>
                <w:sz w:val="17"/>
              </w:rPr>
              <w:t>2026-10-13</w:t>
            </w:r>
          </w:p>
        </w:tc>
        <w:tc>
          <w:tcPr>
            <w:tcW w:type="dxa" w:w="1440"/>
            <w:shd w:fill="C6EFCE" w:val="clear"/>
          </w:tcPr>
          <w:p>
            <w:r>
              <w:rPr>
                <w:sz w:val="17"/>
              </w:rPr>
              <w:t>36,986</w:t>
            </w:r>
          </w:p>
        </w:tc>
        <w:tc>
          <w:tcPr>
            <w:tcW w:type="dxa" w:w="1440"/>
            <w:shd w:fill="C6EFCE" w:val="clear"/>
          </w:tcPr>
          <w:p>
            <w:r>
              <w:rPr>
                <w:b/>
                <w:sz w:val="17"/>
              </w:rPr>
              <w:t>38,641</w:t>
            </w:r>
          </w:p>
        </w:tc>
        <w:tc>
          <w:tcPr>
            <w:tcW w:type="dxa" w:w="1440"/>
            <w:shd w:fill="C6EFCE" w:val="clear"/>
          </w:tcPr>
          <w:p>
            <w:r>
              <w:rPr>
                <w:sz w:val="17"/>
              </w:rPr>
              <w:t>40,296</w:t>
            </w:r>
          </w:p>
        </w:tc>
        <w:tc>
          <w:tcPr>
            <w:tcW w:type="dxa" w:w="1440"/>
            <w:shd w:fill="C6EFCE" w:val="clear"/>
          </w:tcPr>
          <w:p>
            <w:r>
              <w:rPr>
                <w:b/>
                <w:color w:val="008000"/>
                <w:sz w:val="17"/>
              </w:rPr>
              <w:t>+4.4%</w:t>
            </w:r>
          </w:p>
        </w:tc>
      </w:tr>
      <w:tr>
        <w:tc>
          <w:tcPr>
            <w:tcW w:type="dxa" w:w="1440"/>
            <w:shd w:fill="C6EFCE" w:val="clear"/>
          </w:tcPr>
          <w:p>
            <w:r>
              <w:rPr>
                <w:sz w:val="17"/>
              </w:rPr>
              <w:t>J+9  Moyenne</w:t>
            </w:r>
          </w:p>
        </w:tc>
        <w:tc>
          <w:tcPr>
            <w:tcW w:type="dxa" w:w="1440"/>
            <w:shd w:fill="C6EFCE" w:val="clear"/>
          </w:tcPr>
          <w:p>
            <w:r>
              <w:rPr>
                <w:sz w:val="17"/>
              </w:rPr>
              <w:t>2026-10-14</w:t>
            </w:r>
          </w:p>
        </w:tc>
        <w:tc>
          <w:tcPr>
            <w:tcW w:type="dxa" w:w="1440"/>
            <w:shd w:fill="C6EFCE" w:val="clear"/>
          </w:tcPr>
          <w:p>
            <w:r>
              <w:rPr>
                <w:sz w:val="17"/>
              </w:rPr>
              <w:t>37,021</w:t>
            </w:r>
          </w:p>
        </w:tc>
        <w:tc>
          <w:tcPr>
            <w:tcW w:type="dxa" w:w="1440"/>
            <w:shd w:fill="C6EFCE" w:val="clear"/>
          </w:tcPr>
          <w:p>
            <w:r>
              <w:rPr>
                <w:b/>
                <w:sz w:val="17"/>
              </w:rPr>
              <w:t>38,783</w:t>
            </w:r>
          </w:p>
        </w:tc>
        <w:tc>
          <w:tcPr>
            <w:tcW w:type="dxa" w:w="1440"/>
            <w:shd w:fill="C6EFCE" w:val="clear"/>
          </w:tcPr>
          <w:p>
            <w:r>
              <w:rPr>
                <w:sz w:val="17"/>
              </w:rPr>
              <w:t>40,545</w:t>
            </w:r>
          </w:p>
        </w:tc>
        <w:tc>
          <w:tcPr>
            <w:tcW w:type="dxa" w:w="1440"/>
            <w:shd w:fill="C6EFCE" w:val="clear"/>
          </w:tcPr>
          <w:p>
            <w:r>
              <w:rPr>
                <w:b/>
                <w:color w:val="008000"/>
                <w:sz w:val="17"/>
              </w:rPr>
              <w:t>+4.8%</w:t>
            </w:r>
          </w:p>
        </w:tc>
      </w:tr>
      <w:tr>
        <w:tc>
          <w:tcPr>
            <w:tcW w:type="dxa" w:w="1440"/>
            <w:shd w:fill="C6EFCE" w:val="clear"/>
          </w:tcPr>
          <w:p>
            <w:r>
              <w:rPr>
                <w:sz w:val="17"/>
              </w:rPr>
              <w:t>J+10  Moyenne</w:t>
            </w:r>
          </w:p>
        </w:tc>
        <w:tc>
          <w:tcPr>
            <w:tcW w:type="dxa" w:w="1440"/>
            <w:shd w:fill="C6EFCE" w:val="clear"/>
          </w:tcPr>
          <w:p>
            <w:r>
              <w:rPr>
                <w:sz w:val="17"/>
              </w:rPr>
              <w:t>2026-10-15</w:t>
            </w:r>
          </w:p>
        </w:tc>
        <w:tc>
          <w:tcPr>
            <w:tcW w:type="dxa" w:w="1440"/>
            <w:shd w:fill="C6EFCE" w:val="clear"/>
          </w:tcPr>
          <w:p>
            <w:r>
              <w:rPr>
                <w:sz w:val="17"/>
              </w:rPr>
              <w:t>37,058</w:t>
            </w:r>
          </w:p>
        </w:tc>
        <w:tc>
          <w:tcPr>
            <w:tcW w:type="dxa" w:w="1440"/>
            <w:shd w:fill="C6EFCE" w:val="clear"/>
          </w:tcPr>
          <w:p>
            <w:r>
              <w:rPr>
                <w:b/>
                <w:sz w:val="17"/>
              </w:rPr>
              <w:t>38,922</w:t>
            </w:r>
          </w:p>
        </w:tc>
        <w:tc>
          <w:tcPr>
            <w:tcW w:type="dxa" w:w="1440"/>
            <w:shd w:fill="C6EFCE" w:val="clear"/>
          </w:tcPr>
          <w:p>
            <w:r>
              <w:rPr>
                <w:sz w:val="17"/>
              </w:rPr>
              <w:t>40,786</w:t>
            </w:r>
          </w:p>
        </w:tc>
        <w:tc>
          <w:tcPr>
            <w:tcW w:type="dxa" w:w="1440"/>
            <w:shd w:fill="C6EFCE" w:val="clear"/>
          </w:tcPr>
          <w:p>
            <w:r>
              <w:rPr>
                <w:b/>
                <w:color w:val="008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Entreprise (Boissons &amp; Limonaderies)*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609,05 milliards FCFA, SOLIBRA s'impose comme l'une des plus importantes capitalisations de la BRVM, ce qui témoigne de sa stature de leader régional dans le secteur des boissons. Le BPA de 2 781 FCFA par action signifie que chaque titre génère près de 2 800 FCFA de bénéfice net, un niveau remarquable qui traduit la forte rentabilité de l'entreprise. Le PER de 13,3x situe le titre légèrement au-dessus de la moyenne BRVM (8-12x), ce qui indique que les investisseurs paient une prime modérée pour la qualité et la croissance de SOLIBRA, sans pour autant que la valorisation soit excessive. Le P/B de 3,12x montre que le marché valorise l'entreprise à plus de trois fois sa valeur comptable, une prime de croissance justifiée par un ROE exceptionnel de 23,46%. Enfin, l'EV/EBITDA de 7,2x, dans la fourchette raisonnable de 5-10x, confirme que la valeur totale de l'entreprise (dette incluse) reste cohérente avec sa capacité opérationnelle à générer des profits, ce qui plaide pour une valorisation équilibrée.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SOLIBRA a enregistré une variation totale de -1,33%, avec une dernière séance (J-1) également en repli de -1,33%, portant le cours actuel à 37 000 FCFA. Le titre a évolué dans un range relativement étroit entre un plus haut de 41 500 FCFA et un plus bas de 36 900 FCFA, ce qui traduit une tendance globalement baissière mais contenue, le cours actuel se situant près du plancher de cette fourchette. Les statistiques descriptives révèlent une moyenne de 38 278 FCFA légèrement supérieure à la médiane et au mode (38 000 FCFA), confirmant une asymétrie positive (skewness de 0,833) indiquant que davantage de journées de trading se sont situées sous la moyenne, avec quelques pics haussiers ponctuels. L'écart-type de 854 FCFA et le coefficient de variation de 2,2% témoignent d'une dispersion très faible du cours, signe d'une relative stabilité. Le kurtosis de 0,830 (mésokurtique) suggère une distribution proche de la normale, sans risque excessif de pics extrêmes. La volatilité annualisée de 24,4% place le titre dans la catégorie des valeurs à volatilité modérée (15-30%), ce qui est rassurant pour un investisseur cherchant à limiter les risques tout en profitant d'un potentiel de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(37 787 FCFA) et la MM50 (37 852 FCFA) se situent toutes deux au-dessus du cours actuel (37 000 FCFA), ce qui confirme une pression baissière à court et moyen terme. La MM20 étant légèrement en dessous de la MM50, on observe un croisement baissier (death cross) qui justifie la décision technique de **Vente**.</w:t>
      </w:r>
    </w:p>
    <w:p>
      <w:pPr>
        <w:spacing w:after="120" w:line="276" w:lineRule="auto"/>
      </w:pPr>
      <w:r>
        <w:t>**Bandes de Bollinger** : Le cours actuel (37 000 FCFA) se situe en dessous de la borne inférieure des Bandes de Bollinger (37 173,576 FCFA), ce qui constitue un signal de survente et suggère un potentiel rebond technique. Cette position justifie la décision d'**Achat** dans un contexte de retour à la moyenne.</w:t>
      </w:r>
    </w:p>
    <w:p>
      <w:pPr>
        <w:spacing w:after="120" w:line="276" w:lineRule="auto"/>
      </w:pPr>
      <w:r>
        <w:t>**MACD** : La valeur du MACD (-92,491) est nettement inférieure à son signal (-23,537), avec un histogramme négatif, ce qui indique un momentum baissier persistant. Cette divergence négative confirme la décision de **Vente** à court terme.</w:t>
      </w:r>
    </w:p>
    <w:p>
      <w:pPr>
        <w:spacing w:after="120" w:line="276" w:lineRule="auto"/>
      </w:pPr>
      <w:r>
        <w:t>**RSI** : Avec une valeur de 19,732, le RSI se situe largement en dessous du seuil de survente (30), signalant que le titre est techniquement survendu et qu'un rebond pourrait se produire à court terme. Cette configuration justifie la décision d'**Achat** pour les investisseurs cherchant à profiter d'un retournement.</w:t>
      </w:r>
    </w:p>
    <w:p>
      <w:pPr>
        <w:spacing w:after="120" w:line="276" w:lineRule="auto"/>
      </w:pPr>
      <w:r>
        <w:t>**Stochastique** : Le %K et le %D sont tous deux à 0,0, ce qui place le stochastique en zone de survente extrême, renforçant le signal d'**Achat** en anticipation d'un retournement haussier imminent.</w:t>
      </w:r>
    </w:p>
    <w:p>
      <w:pPr>
        <w:spacing w:after="120" w:line="276" w:lineRule="auto"/>
      </w:pPr>
      <w:r>
        <w:t>**Conclusion technique** : Les indicateurs techniques présentent une divergence notable : les moyennes mobiles et le MACD confirment une tendance baissière, tandis que le RSI, le stochastique et les Bandes de Bollinger signalent une survente extrême propice à un rebond. Cette configuration suggère une opportunité d'achat tactique à court terme, mais la prudence reste de mise tant que les moyennes mobiles n'auront pas été reconquises.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affiché des performances financières exceptionnelles, avec un chiffre d'affaires de 378,123 milliards FCFA en croissance de 22,08% par rapport à 2024, et un résultat net de 45,781 milliards FCFA, en hausse spectaculaire de 113% (contre 21,472 milliards en 2024). Le ROE s'établit à 23,46%, largement supérieur au seuil d'excellence de 15%, tandis que le ROA atteint 13,48%, confirmant l'efficacité de l'utilisation des actifs. La marge nette s'améliore significativement, passant de 6,9% en 2024 à 12,1% en 2025, grâce à une maîtrise des charges et un effet volume favorable. En tant qu'entreprise du secteur des boissons, SOLIBRA affiche un BFR de 61,587 milliards FCFA (positif mais maîtrisé), avec un délai client de 64,27 jours (risque de trésorerie modéré) et un délai fournisseur de 76,82 jours (favorable à la trésorerie). La structure financière est saine, avec une autonomie financière de 57,48% et un ratio d'endettement de 42,52%, tandis que la trésorerie nette positive (22,117 milliards FCFA) offre une flexibilité appréciable. Les rapports trimestriels récents confirment cette dynamique : le T1 2026 (rapport du 19 mai 2026) affiche une croissance du chiffre d'affaires de +7,6% à 93,46 milliards FCFA et un résultat net de 16,26 milliards FCFA (+4,8%), tandis que le S1 2025 (rapport du 30 juin 2025) montrait déjà une progression de +12,3% du CA et une explosion du résultat net de +175,1%. Sur la base de ces tendances, on estime que l'exercice 2026 devrait enregistrer une croissance du chiffre d'affaires de l'ordre de 8-10%, avec un résultat net attendu entre 48 et 50 milliards FCFA, confirmant la solidité du modèle économique. La politique de dividende est très généreuse, avec un dividende proposé de 2 127 FCFA par action au titre de 2025 (taux de distribution de 76,5%), offrant un rendement attractif de 5,75% au cours actuel de 37 000 FCFA. Les principaux risques identifiés incluent la dépendance aux matières premières (sucre, PET) et la concentration géographique sur le marché ivoirien, mais la position de leader et la solidité financière atténuent ces préoccupations. En conclusion, les fondamentaux de SOLIBRA sont solides et en amélioration continue, avec une croissance rentable, une structure financière saine et une politique de dividende attractive, ce qui justifie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SOLIBRA (Partie 0) apparaît équilibrée, avec un PER de 13,3x légèrement supérieur à la moyenne BRVM mais justifié par un ROE exceptionnel de 23,46%, un P/B de 3,12x reflétant une prime de croissance légitime, et un EV/EBITDA de 7,2x dans la fourchette raisonnable. Le comportement du cours (Partie 1) révèle une tendance baissière contenue (-1,33% sur 100 jours) avec une volatilité modérée (24,4%) et une asymétrie positive (skewness de 0,833), le titre se situant près de son plus bas annuel, ce qui pourrait constituer une opportunité d'entrée. Les signaux techniques (Partie 2) sont divergents : si les moyennes mobiles et le MACD confirment la tendance baissière, le RSI (19,73) et le stochastique (0,0) signalent une survente extrême propice à un rebond, tandis que les Bandes de Bollinger indiquent un potentiel retour à la moyenne. Les fondamentaux (Partie 3) sont excellents, avec une croissance du CA de 22% en 2025, un résultat net en hausse de 113%, un ROE de 23,46% et une politique de dividende généreuse (rendement de 5,75%), les rapports trimestriels récents (T1 2026) confirmant la poursuite de cette dynamique. Les prédictions IA (J+1 à J+10) anticipent une trajectoire haussière modérée, avec un cours cible de 38 185 FCFA à J+10 (+3,2% par rapport au cours actuel), ce qui confirme le potentiel de rebond technique. Sur la base de cette synthèse globale, la convergence entre la survente technique, les fondamentaux solides et les prédictions haussières justifie une recommandation d'**ACHAT**, avec un niveau de confiance **Élevé** et un risque global **Moyen**. L'horizon d'investissement optimal est le **moyen terme (3-12 mois)**, afin de profiter à la fois du rebond technique attendu et de la poursuite de la croissance fondamentale, tout en bénéficiant d'un rendement attractif de 5,75%.</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1,657 titres</w:t>
            </w:r>
          </w:p>
        </w:tc>
        <w:tc>
          <w:tcPr>
            <w:tcW w:type="dxa" w:w="2268"/>
            <w:shd w:fill="FFF2CC" w:val="clear"/>
          </w:tcPr>
          <w:p>
            <w:r>
              <w:rPr>
                <w:b/>
                <w:color w:val="503200"/>
                <w:sz w:val="16"/>
              </w:rPr>
              <w:t xml:space="preserve">Cours actuel : </w:t>
            </w:r>
            <w:r>
              <w:rPr>
                <w:color w:val="000000"/>
                <w:sz w:val="17"/>
              </w:rPr>
              <w:t>16,410 FCFA</w:t>
            </w:r>
          </w:p>
          <w:p>
            <w:r>
              <w:rPr>
                <w:b/>
                <w:color w:val="503200"/>
                <w:sz w:val="16"/>
              </w:rPr>
              <w:t xml:space="preserve">Var. 100 jours : </w:t>
            </w:r>
            <w:r>
              <w:rPr>
                <w:b/>
                <w:color w:val="007800"/>
                <w:sz w:val="17"/>
              </w:rPr>
              <w:t>+36.81%</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11,995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10.16% (Moyenne) — μ=15,936 FCFA, σ=1,618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β=0.5366 (Défensif) — Cov=0.000037, Var(idx)=0.000070, ρ=0.167,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15,593</w:t>
            </w:r>
          </w:p>
        </w:tc>
        <w:tc>
          <w:tcPr>
            <w:tcW w:type="dxa" w:w="1440"/>
            <w:shd w:fill="FAFAFA" w:val="clear"/>
          </w:tcPr>
          <w:p>
            <w:r>
              <w:rPr>
                <w:b/>
                <w:sz w:val="17"/>
              </w:rPr>
              <w:t>16,321</w:t>
            </w:r>
          </w:p>
        </w:tc>
        <w:tc>
          <w:tcPr>
            <w:tcW w:type="dxa" w:w="1440"/>
            <w:shd w:fill="FAFAFA" w:val="clear"/>
          </w:tcPr>
          <w:p>
            <w:r>
              <w:rPr>
                <w:sz w:val="17"/>
              </w:rPr>
              <w:t>17,049</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15,254</w:t>
            </w:r>
          </w:p>
        </w:tc>
        <w:tc>
          <w:tcPr>
            <w:tcW w:type="dxa" w:w="1440"/>
            <w:shd w:fill="FAFAFA" w:val="clear"/>
          </w:tcPr>
          <w:p>
            <w:r>
              <w:rPr>
                <w:b/>
                <w:sz w:val="17"/>
              </w:rPr>
              <w:t>16,281</w:t>
            </w:r>
          </w:p>
        </w:tc>
        <w:tc>
          <w:tcPr>
            <w:tcW w:type="dxa" w:w="1440"/>
            <w:shd w:fill="FAFAFA" w:val="clear"/>
          </w:tcPr>
          <w:p>
            <w:r>
              <w:rPr>
                <w:sz w:val="17"/>
              </w:rPr>
              <w:t>17,308</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14,987</w:t>
            </w:r>
          </w:p>
        </w:tc>
        <w:tc>
          <w:tcPr>
            <w:tcW w:type="dxa" w:w="1440"/>
            <w:shd w:fill="FAFAFA" w:val="clear"/>
          </w:tcPr>
          <w:p>
            <w:r>
              <w:rPr>
                <w:b/>
                <w:sz w:val="17"/>
              </w:rPr>
              <w:t>16,241</w:t>
            </w:r>
          </w:p>
        </w:tc>
        <w:tc>
          <w:tcPr>
            <w:tcW w:type="dxa" w:w="1440"/>
            <w:shd w:fill="FAFAFA" w:val="clear"/>
          </w:tcPr>
          <w:p>
            <w:r>
              <w:rPr>
                <w:sz w:val="17"/>
              </w:rPr>
              <w:t>17,496</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14,760</w:t>
            </w:r>
          </w:p>
        </w:tc>
        <w:tc>
          <w:tcPr>
            <w:tcW w:type="dxa" w:w="1440"/>
            <w:shd w:fill="FAFAFA" w:val="clear"/>
          </w:tcPr>
          <w:p>
            <w:r>
              <w:rPr>
                <w:b/>
                <w:sz w:val="17"/>
              </w:rPr>
              <w:t>16,206</w:t>
            </w:r>
          </w:p>
        </w:tc>
        <w:tc>
          <w:tcPr>
            <w:tcW w:type="dxa" w:w="1440"/>
            <w:shd w:fill="FAFAFA" w:val="clear"/>
          </w:tcPr>
          <w:p>
            <w:r>
              <w:rPr>
                <w:sz w:val="17"/>
              </w:rPr>
              <w:t>17,652</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14,559</w:t>
            </w:r>
          </w:p>
        </w:tc>
        <w:tc>
          <w:tcPr>
            <w:tcW w:type="dxa" w:w="1440"/>
            <w:shd w:fill="FAFAFA" w:val="clear"/>
          </w:tcPr>
          <w:p>
            <w:r>
              <w:rPr>
                <w:b/>
                <w:sz w:val="17"/>
              </w:rPr>
              <w:t>16,172</w:t>
            </w:r>
          </w:p>
        </w:tc>
        <w:tc>
          <w:tcPr>
            <w:tcW w:type="dxa" w:w="1440"/>
            <w:shd w:fill="FAFAFA" w:val="clear"/>
          </w:tcPr>
          <w:p>
            <w:r>
              <w:rPr>
                <w:sz w:val="17"/>
              </w:rPr>
              <w:t>17,785</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14,375</w:t>
            </w:r>
          </w:p>
        </w:tc>
        <w:tc>
          <w:tcPr>
            <w:tcW w:type="dxa" w:w="1440"/>
            <w:shd w:fill="FAFAFA" w:val="clear"/>
          </w:tcPr>
          <w:p>
            <w:r>
              <w:rPr>
                <w:b/>
                <w:sz w:val="17"/>
              </w:rPr>
              <w:t>16,138</w:t>
            </w:r>
          </w:p>
        </w:tc>
        <w:tc>
          <w:tcPr>
            <w:tcW w:type="dxa" w:w="1440"/>
            <w:shd w:fill="FAFAFA" w:val="clear"/>
          </w:tcPr>
          <w:p>
            <w:r>
              <w:rPr>
                <w:sz w:val="17"/>
              </w:rPr>
              <w:t>17,901</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14,204</w:t>
            </w:r>
          </w:p>
        </w:tc>
        <w:tc>
          <w:tcPr>
            <w:tcW w:type="dxa" w:w="1440"/>
            <w:shd w:fill="FAFAFA" w:val="clear"/>
          </w:tcPr>
          <w:p>
            <w:r>
              <w:rPr>
                <w:b/>
                <w:sz w:val="17"/>
              </w:rPr>
              <w:t>16,105</w:t>
            </w:r>
          </w:p>
        </w:tc>
        <w:tc>
          <w:tcPr>
            <w:tcW w:type="dxa" w:w="1440"/>
            <w:shd w:fill="FAFAFA" w:val="clear"/>
          </w:tcPr>
          <w:p>
            <w:r>
              <w:rPr>
                <w:sz w:val="17"/>
              </w:rPr>
              <w:t>18,005</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14,044</w:t>
            </w:r>
          </w:p>
        </w:tc>
        <w:tc>
          <w:tcPr>
            <w:tcW w:type="dxa" w:w="1440"/>
            <w:shd w:fill="FFDCE0" w:val="clear"/>
          </w:tcPr>
          <w:p>
            <w:r>
              <w:rPr>
                <w:b/>
                <w:sz w:val="17"/>
              </w:rPr>
              <w:t>16,072</w:t>
            </w:r>
          </w:p>
        </w:tc>
        <w:tc>
          <w:tcPr>
            <w:tcW w:type="dxa" w:w="1440"/>
            <w:shd w:fill="FFDCE0" w:val="clear"/>
          </w:tcPr>
          <w:p>
            <w:r>
              <w:rPr>
                <w:sz w:val="17"/>
              </w:rPr>
              <w:t>18,100</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13,894</w:t>
            </w:r>
          </w:p>
        </w:tc>
        <w:tc>
          <w:tcPr>
            <w:tcW w:type="dxa" w:w="1440"/>
            <w:shd w:fill="FFDCE0" w:val="clear"/>
          </w:tcPr>
          <w:p>
            <w:r>
              <w:rPr>
                <w:b/>
                <w:sz w:val="17"/>
              </w:rPr>
              <w:t>16,040</w:t>
            </w:r>
          </w:p>
        </w:tc>
        <w:tc>
          <w:tcPr>
            <w:tcW w:type="dxa" w:w="1440"/>
            <w:shd w:fill="FFDCE0" w:val="clear"/>
          </w:tcPr>
          <w:p>
            <w:r>
              <w:rPr>
                <w:sz w:val="17"/>
              </w:rPr>
              <w:t>18,186</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13,750</w:t>
            </w:r>
          </w:p>
        </w:tc>
        <w:tc>
          <w:tcPr>
            <w:tcW w:type="dxa" w:w="1440"/>
            <w:shd w:fill="FFDCE0" w:val="clear"/>
          </w:tcPr>
          <w:p>
            <w:r>
              <w:rPr>
                <w:b/>
                <w:sz w:val="17"/>
              </w:rPr>
              <w:t>16,008</w:t>
            </w:r>
          </w:p>
        </w:tc>
        <w:tc>
          <w:tcPr>
            <w:tcW w:type="dxa" w:w="1440"/>
            <w:shd w:fill="FFDCE0" w:val="clear"/>
          </w:tcPr>
          <w:p>
            <w:r>
              <w:rPr>
                <w:sz w:val="17"/>
              </w:rPr>
              <w:t>18,266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non bancaire (Bitumes / Produits pétroliers)**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127,92 Mds FCFA, SMBC se positionne comme une valeur de taille intermédiaire sur la BRVM, représentant un dossier industriel spécialisé dans les bitumes et dérivés pétroliers. Le BPA de 1 677 FCFA/action signifie que chaque titre génère près de 1 677 FCFA de bénéfice net, ce qui, rapporté au cours actuel de 16 410 FCFA, donne un PER de 9,8x — légèrement inférieur à la moyenne BRVM (8-12x), suggérant une valorisation raisonnable voire légèrement sous-évaluée au regard des bénéfices. Le P/B de 2,98x indique que le marché valorise l'action à près de trois fois sa valeur comptable, une prime de croissance justifiée par un ROE exceptionnel de 30,5%. Enfin, l'EV/EBITDA de 6,1x traduit une valorisation équilibrée de la valeur d'entreprise par rapport à sa capacité opérationnelle, dans la fourchette basse du secteur (5-10x), ce qui renforce l'idée d'un titre attractif.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performance remarquable de **+36,81%**, malgré un léger repli de -0,55% lors de la dernière séance (J-1), signalant une pause dans un mouvement haussier de fond. Le titre a évolué dans un range large entre 11 995 FCFA (plus bas) et 18 500 FCFA (plus haut), soit une amplitude de plus de 54%, ce qui témoigne d'une forte dynamique acheteuse entrecoupée de corrections. Le cours actuel de 16 410 FCFA se situe au-dessus de la moyenne (15 936 FCFA) et quasiment au niveau de la médiane (16 405 FCFA), indiquant une distribution équilibrée malgré un skewness négatif de -0,914 — signe que davantage de séances se sont déroulées au-dessus de la moyenne, avec quelques journées de forte baisse créant une asymétrie à gauche. L'écart-type de 1 627 FCFA (CV = 10,2%) traduit une dispersion modérée du cours, tandis que le kurtosis de -0,059 (mésokurtique) suggère une distribution proche de la normale, sans risque excessif de pics extrêmes. La volatilité annualisée de 41,9% classe le titre dans la catégorie **élevée** (&gt;30%), ce qui est cohérent avec un marché frontière comme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(16 975,75 FCFA) et la MM50 (16 682,40 FCFA) se situent toutes deux au-dessus du cours actuel (16 410 FCFA), ce qui place le titre en position de repli sous ses moyennes court et moyen terme. Toutefois, la MM20 reste supérieure à la MM50, conservant une configuration haussière de fond, ce qui justifie la décision **Achat** fournie par l'indicateur.</w:t>
      </w:r>
    </w:p>
    <w:p>
      <w:pPr>
        <w:spacing w:after="120" w:line="276" w:lineRule="auto"/>
      </w:pPr>
      <w:r>
        <w:t>**Bandes de Bollinger** : Le cours (16 410 FCFA) évolue dans la partie basse de la bande, entre la borne inférieure (14 694,46 FCFA) et la borne supérieure (19 257,05 FCFA), sans franchissement des extrêmes. Cette position médiane-basse, dans un contexte de bandes larges (amplitude de 4 562 FCFA), traduit une volatilité élevée mais sans signal directionnel fort, d'où la décision **Neutre**.</w:t>
      </w:r>
    </w:p>
    <w:p>
      <w:pPr>
        <w:spacing w:after="120" w:line="276" w:lineRule="auto"/>
      </w:pPr>
      <w:r>
        <w:t>**MACD** : La valeur du MACD (-250,73) est inférieure à son signal (-174,10), confirmant un momentum baissier de court terme avec une divergence négative. Cette configuration traduit un essoufflement de la dynamique haussière récente et justifie la décision **Vente** à court terme.</w:t>
      </w:r>
    </w:p>
    <w:p>
      <w:pPr>
        <w:spacing w:after="120" w:line="276" w:lineRule="auto"/>
      </w:pPr>
      <w:r>
        <w:t>**RSI** : À 33,79, le RSI se situe dans la zone neutre basse, proche du seuil de survente (30), sans y être encore. Cela indique que le titre n'est ni suracheté ni franchement survendu, mais qu'une pression vendeuse modérée persiste, justifiant la décision **Neutre**.</w:t>
      </w:r>
    </w:p>
    <w:p>
      <w:pPr>
        <w:spacing w:after="120" w:line="276" w:lineRule="auto"/>
      </w:pPr>
      <w:r>
        <w:t>**Stochastique** : Le %K (45,09) et le %D (46,60) évoluent en zone médiane, avec un %K légèrement sous le %D, signalant l'absence de croisement haussier net. Cette configuration neutre confirme l'absence de signal directionnel fort à court terme.</w:t>
      </w:r>
    </w:p>
    <w:p>
      <w:pPr>
        <w:spacing w:after="120" w:line="276" w:lineRule="auto"/>
      </w:pPr>
      <w:r>
        <w:t>**Conclusion technique** : Les indicateurs techniques présentent un tableau **mitigé** : les moyennes mobiles conservent une structure haussière (MM20 &gt; MM50) mais le cours évolue en dessous, tandis que le MACD est baissier et le RSI proche de la survente. Les Bandes de Bollinger et le Stochastique restent neutres. Cette divergence suggère une phase de consolidation ou de correction au sein d'une tendance haussière plus large, avec un potentiel de rebond technique si le RSI franchit à la hausse le seuil de 40.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affiche un chiffre d'affaires de **206,74 Mds FCFA**, en baisse de -9,74% sur un an, reflétant un environnement de marché difficile (baisse des volumes et des prix du Brent). Malgré cette contraction, le résultat net progresse spectaculairement de **+50,3% à 13,075 Mds FCFA**, porté par une marge brute de 18,11% et une marge nette de 6,32% (contre 3,8% en 2024). Le ROE atteint **30,47%** (excellent, &gt;15%) et le ROA 7,26%, témoignant d'une efficacité capitalistique remarquable. En tant qu'entreprise industrielle, les délais d'exploitation méritent attention : le délai clients est élevé à **193,75 jours** (risque de trésorerie), mais il est compensé par un délai fournisseurs de 207,07 jours (favorable à la trésorerie), générant un BFR maîtrisé de 1,693 Md FCFA. La trésorerie nette positive de 23,988 Mds FCFA et un ratio de liquidité générale de 120,18% confirment une situation financière saine, bien que l'autonomie financière (23,84%) reste inférieure au seuil de 30% recommandé.</w:t>
      </w:r>
    </w:p>
    <w:p>
      <w:pPr>
        <w:spacing w:after="120" w:line="276" w:lineRule="auto"/>
      </w:pPr>
      <w:r>
        <w:t>**Estimations basées sur les rapports trimestriels** : Les rapports T1 2025 (CA -22%, RN -7%), S1 2025 (CA -23%, RN -7%) et 9M 2025 (CA -14%, RN +6%) montrent une **amélioration progressive de la rentabilité** au fil de l'année, avec une marge opérationnelle passant de 4,0% à 5,4% entre 9M 2024 et 9M 2025. Sur cette base, on estime que l'exercice 2025 devrait confirmer la tendance haussière du résultat net (+50,3%), portée par l'amélioration des marges de raffinage et la maîtrise des coûts. Le rapport annuel 2025 (publié le 31/12/2026) confirme d'ailleurs une recommandation source à l'**ACHAT**, soulignant la "progression spectaculaire des marges" et la "position de trésorerie solide". Les risques identifiés incluent la dépendance aux prix du pétrole, la volatilité de la demande à l'export et la baisse structurelle du chiffre d'affaires.</w:t>
      </w:r>
    </w:p>
    <w:p>
      <w:pPr>
        <w:spacing w:after="120" w:line="276" w:lineRule="auto"/>
      </w:pPr>
      <w:r>
        <w:t>**Recommandation fondamentale** : SMBC présente des **fondamentaux solides** avec une rentabilité en forte amélioration, un bilan renforcé et une génération de cash robuste. La baisse du CA reste préoccupante mais semble compensée par une excellente gestion opérationnelle. Le titre mérite une attention positive, avec un potentiel de revalorisation si la croissance des revenus reprend.</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apparaît **attractive** avec un PER de 9,8x (sous la moyenne BRVM), un P/B de 2,98x justifié par un ROE de 30,5% et un EV/EBITDA de 6,1x raisonnable. Le comportement du cours (Partie 1) est **haussier sur 100 jours (+36,81%)** mais marqué par une volatilité élevée (41,9%) et un skewness négatif, signalant des corrections brutales possibles. Les signaux techniques (Partie 2) sont **mitigés** : structure haussière des MM mais MACD baissier et RSI proche de la survente, plaidant pour une consolidation avant rebond. Les fondamentaux (Partie 3) sont **solides** : résultat net en hausse de +50,3% en 2025, ROE de 30,5%, trésorerie nette positive de 24 Mds FCFA, malgré un CA en repli de -9,7%. Les prédictions IA (J+1 à J+10) anticipent une **légère baisse** vers 16 172 FCFA (-1,45% sur 5 séances), confirmant la phase de consolidation technique à court terme.</w:t>
      </w:r>
    </w:p>
    <w:p>
      <w:pPr>
        <w:spacing w:after="120" w:line="276" w:lineRule="auto"/>
      </w:pPr>
      <w:r>
        <w:t>**Recommandation finale** : **CONSERVER** avec un biais positif. La convergence entre une valorisation attractive, des fondamentaux en amélioration et une tendance de fond haussière est contrebalancée par un momentum technique baissier à court terme et des prédictions IA légèrement négatives. Le niveau de confiance est **Moyen** (divergence court terme/long terme) et le risque global **Moyen** (volatilité élevée, dépendance aux matières premières). L'horizon d'investissement optimal est le **moyen terme (3-12 mois)**, en attendant une confirmation de la reprise du chiffre d'affaires et un retournement des indicateurs techniques (franchissement du RSI au-dessus de 40 et croisement haussier du MACD) pour envisager un renforcement de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12,724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007800"/>
                <w:sz w:val="17"/>
              </w:rPr>
              <w:t>+55.71%</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14.59% (Moyenne) — μ=32,760 FCFA, σ=4,781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β=1.2933 (Agressif) — Cov=0.000090, Var(idx)=0.000070, ρ=0.518,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12,724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2026-10-02</w:t>
            </w:r>
          </w:p>
        </w:tc>
        <w:tc>
          <w:tcPr>
            <w:tcW w:type="dxa" w:w="1440"/>
            <w:shd w:fill="FFDCE0" w:val="clear"/>
          </w:tcPr>
          <w:p>
            <w:r>
              <w:rPr>
                <w:sz w:val="17"/>
              </w:rPr>
              <w:t>41,734</w:t>
            </w:r>
          </w:p>
        </w:tc>
        <w:tc>
          <w:tcPr>
            <w:tcW w:type="dxa" w:w="1440"/>
            <w:shd w:fill="FFDCE0" w:val="clear"/>
          </w:tcPr>
          <w:p>
            <w:r>
              <w:rPr>
                <w:b/>
                <w:sz w:val="17"/>
              </w:rPr>
              <w:t>43,521</w:t>
            </w:r>
          </w:p>
        </w:tc>
        <w:tc>
          <w:tcPr>
            <w:tcW w:type="dxa" w:w="1440"/>
            <w:shd w:fill="FFDCE0" w:val="clear"/>
          </w:tcPr>
          <w:p>
            <w:r>
              <w:rPr>
                <w:sz w:val="17"/>
              </w:rPr>
              <w:t>45,309</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2026-10-05</w:t>
            </w:r>
          </w:p>
        </w:tc>
        <w:tc>
          <w:tcPr>
            <w:tcW w:type="dxa" w:w="1440"/>
            <w:shd w:fill="FFDCE0" w:val="clear"/>
          </w:tcPr>
          <w:p>
            <w:r>
              <w:rPr>
                <w:sz w:val="17"/>
              </w:rPr>
              <w:t>41,057</w:t>
            </w:r>
          </w:p>
        </w:tc>
        <w:tc>
          <w:tcPr>
            <w:tcW w:type="dxa" w:w="1440"/>
            <w:shd w:fill="FFDCE0" w:val="clear"/>
          </w:tcPr>
          <w:p>
            <w:r>
              <w:rPr>
                <w:b/>
                <w:sz w:val="17"/>
              </w:rPr>
              <w:t>43,588</w:t>
            </w:r>
          </w:p>
        </w:tc>
        <w:tc>
          <w:tcPr>
            <w:tcW w:type="dxa" w:w="1440"/>
            <w:shd w:fill="FFDCE0" w:val="clear"/>
          </w:tcPr>
          <w:p>
            <w:r>
              <w:rPr>
                <w:sz w:val="17"/>
              </w:rPr>
              <w:t>46,119</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2026-10-06</w:t>
            </w:r>
          </w:p>
        </w:tc>
        <w:tc>
          <w:tcPr>
            <w:tcW w:type="dxa" w:w="1440"/>
            <w:shd w:fill="FFDCE0" w:val="clear"/>
          </w:tcPr>
          <w:p>
            <w:r>
              <w:rPr>
                <w:sz w:val="17"/>
              </w:rPr>
              <w:t>40,442</w:t>
            </w:r>
          </w:p>
        </w:tc>
        <w:tc>
          <w:tcPr>
            <w:tcW w:type="dxa" w:w="1440"/>
            <w:shd w:fill="FFDCE0" w:val="clear"/>
          </w:tcPr>
          <w:p>
            <w:r>
              <w:rPr>
                <w:b/>
                <w:sz w:val="17"/>
              </w:rPr>
              <w:t>43,539</w:t>
            </w:r>
          </w:p>
        </w:tc>
        <w:tc>
          <w:tcPr>
            <w:tcW w:type="dxa" w:w="1440"/>
            <w:shd w:fill="FFDCE0" w:val="clear"/>
          </w:tcPr>
          <w:p>
            <w:r>
              <w:rPr>
                <w:sz w:val="17"/>
              </w:rPr>
              <w:t>46,636</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39,935</w:t>
            </w:r>
          </w:p>
        </w:tc>
        <w:tc>
          <w:tcPr>
            <w:tcW w:type="dxa" w:w="1440"/>
            <w:shd w:fill="FFDCE0" w:val="clear"/>
          </w:tcPr>
          <w:p>
            <w:r>
              <w:rPr>
                <w:b/>
                <w:sz w:val="17"/>
              </w:rPr>
              <w:t>43,509</w:t>
            </w:r>
          </w:p>
        </w:tc>
        <w:tc>
          <w:tcPr>
            <w:tcW w:type="dxa" w:w="1440"/>
            <w:shd w:fill="FFDCE0" w:val="clear"/>
          </w:tcPr>
          <w:p>
            <w:r>
              <w:rPr>
                <w:sz w:val="17"/>
              </w:rPr>
              <w:t>47,082</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39,509</w:t>
            </w:r>
          </w:p>
        </w:tc>
        <w:tc>
          <w:tcPr>
            <w:tcW w:type="dxa" w:w="1440"/>
            <w:shd w:fill="FFDCE0" w:val="clear"/>
          </w:tcPr>
          <w:p>
            <w:r>
              <w:rPr>
                <w:b/>
                <w:sz w:val="17"/>
              </w:rPr>
              <w:t>43,504</w:t>
            </w:r>
          </w:p>
        </w:tc>
        <w:tc>
          <w:tcPr>
            <w:tcW w:type="dxa" w:w="1440"/>
            <w:shd w:fill="FFDCE0" w:val="clear"/>
          </w:tcPr>
          <w:p>
            <w:r>
              <w:rPr>
                <w:sz w:val="17"/>
              </w:rPr>
              <w:t>47,498</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39,136</w:t>
            </w:r>
          </w:p>
        </w:tc>
        <w:tc>
          <w:tcPr>
            <w:tcW w:type="dxa" w:w="1440"/>
            <w:shd w:fill="FFDCE0" w:val="clear"/>
          </w:tcPr>
          <w:p>
            <w:r>
              <w:rPr>
                <w:b/>
                <w:sz w:val="17"/>
              </w:rPr>
              <w:t>43,512</w:t>
            </w:r>
          </w:p>
        </w:tc>
        <w:tc>
          <w:tcPr>
            <w:tcW w:type="dxa" w:w="1440"/>
            <w:shd w:fill="FFDCE0" w:val="clear"/>
          </w:tcPr>
          <w:p>
            <w:r>
              <w:rPr>
                <w:sz w:val="17"/>
              </w:rPr>
              <w:t>47,889</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38,797</w:t>
            </w:r>
          </w:p>
        </w:tc>
        <w:tc>
          <w:tcPr>
            <w:tcW w:type="dxa" w:w="1440"/>
            <w:shd w:fill="FFDCE0" w:val="clear"/>
          </w:tcPr>
          <w:p>
            <w:r>
              <w:rPr>
                <w:b/>
                <w:sz w:val="17"/>
              </w:rPr>
              <w:t>43,526</w:t>
            </w:r>
          </w:p>
        </w:tc>
        <w:tc>
          <w:tcPr>
            <w:tcW w:type="dxa" w:w="1440"/>
            <w:shd w:fill="FFDCE0" w:val="clear"/>
          </w:tcPr>
          <w:p>
            <w:r>
              <w:rPr>
                <w:sz w:val="17"/>
              </w:rPr>
              <w:t>48,255</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38,485</w:t>
            </w:r>
          </w:p>
        </w:tc>
        <w:tc>
          <w:tcPr>
            <w:tcW w:type="dxa" w:w="1440"/>
            <w:shd w:fill="FFDCE0" w:val="clear"/>
          </w:tcPr>
          <w:p>
            <w:r>
              <w:rPr>
                <w:b/>
                <w:sz w:val="17"/>
              </w:rPr>
              <w:t>43,542</w:t>
            </w:r>
          </w:p>
        </w:tc>
        <w:tc>
          <w:tcPr>
            <w:tcW w:type="dxa" w:w="1440"/>
            <w:shd w:fill="FFDCE0" w:val="clear"/>
          </w:tcPr>
          <w:p>
            <w:r>
              <w:rPr>
                <w:sz w:val="17"/>
              </w:rPr>
              <w:t>48,599</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38,192</w:t>
            </w:r>
          </w:p>
        </w:tc>
        <w:tc>
          <w:tcPr>
            <w:tcW w:type="dxa" w:w="1440"/>
            <w:shd w:fill="FFDCE0" w:val="clear"/>
          </w:tcPr>
          <w:p>
            <w:r>
              <w:rPr>
                <w:b/>
                <w:sz w:val="17"/>
              </w:rPr>
              <w:t>43,558</w:t>
            </w:r>
          </w:p>
        </w:tc>
        <w:tc>
          <w:tcPr>
            <w:tcW w:type="dxa" w:w="1440"/>
            <w:shd w:fill="FFDCE0" w:val="clear"/>
          </w:tcPr>
          <w:p>
            <w:r>
              <w:rPr>
                <w:sz w:val="17"/>
              </w:rPr>
              <w:t>48,924</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37,915</w:t>
            </w:r>
          </w:p>
        </w:tc>
        <w:tc>
          <w:tcPr>
            <w:tcW w:type="dxa" w:w="1440"/>
            <w:shd w:fill="FFDCE0" w:val="clear"/>
          </w:tcPr>
          <w:p>
            <w:r>
              <w:rPr>
                <w:b/>
                <w:sz w:val="17"/>
              </w:rPr>
              <w:t>43,573</w:t>
            </w:r>
          </w:p>
        </w:tc>
        <w:tc>
          <w:tcPr>
            <w:tcW w:type="dxa" w:w="1440"/>
            <w:shd w:fill="FFDCE0" w:val="clear"/>
          </w:tcPr>
          <w:p>
            <w:r>
              <w:rPr>
                <w:sz w:val="17"/>
              </w:rPr>
              <w:t>49,231</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4 500 milliards FCFA, Sonatel s'impose comme la première capitalisation de la BRVM, un statut de valeur refuge qui pèse structurellement sur sa liquidité et sa prime de qualité. Le BPA de 4 136 FCFA par action signifie que chaque titre génère près de 4 136 FCFA de bénéfice net, un niveau exceptionnel qui traduit la forte rentabilité de l'opérateur. Le PER de 10,9x se situe dans la fourchette moyenne du marché (8-12x), indiquant que les investisseurs ne paient pas de prime excessive pour ces bénéfices, malgré le leadership du titre. Le P/B de 3,22x montre que le marché valorise l'action à plus de trois fois sa valeur comptable, une prime de croissance justifiée par la qualité des actifs immatériels (licences, réseaux, base clients) et la rentabilité des fonds propres. Enfin, l'EV/EBITDA de 4,7x, inférieur au seuil de 5x, signale que la valeur d'entreprise reste très raisonnable au regard de la capacité opérationnelle de génération de cash-flow, ce qui constitue un signal de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+55,71%, clôturant à 45 000 FCFA, tandis que la variation J-1 est restée stable à +0,00%, signe d'une pause dans le mouvement haussier. Le range de trading est particulièrement large, avec un plus bas à 27 160 FCFA et un plus haut à 45 000 FCFA — le cours actuel évolue donc exactement sur son sommet, ce qui traduit une tendance haussière forte et soutenue. Les statistiques descriptives révèlent une moyenne de 32 760 FCFA nettement supérieure à la médiane de 31 002 FCFA et au mode de 31 000 FCFA, confirmant une distribution asymétrique où les récents sommets tirent la moyenne vers le haut. L'écart-type de 4 805 FCFA (CV de 14,7%) indique une dispersion modérée du cours autour de sa moyenne, tandis que le kurtosis de -0,317 (mésokurtique) suggère une distribution proche de la normale, sans risque excessif de pics extrêmes. Le skewness de +0,966 (asymétrie positive) signifie que davantage de journées se sont situées sous la moyenne, ce qui est cohérent avec un rallye récent concentré sur la fin de période. La volatilité annualisée de 33,3% classe le titre dans la catégorie à volatilité élevée (&gt;30%), ce qui implique un risque de correction significatif après un tel rallye.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40 878,75 FCFA et la MM50 à 36 272,2 FCFA, toutes deux nettement inférieures au cours actuel de 45 000 FCFA. Cette configuration en « golden cross » (MM20 &gt; MM50) avec un cours au-dessus des deux moyennes confirme une dynamique haussière robuste et justifie la décision d'**Achat**.</w:t>
      </w:r>
    </w:p>
    <w:p>
      <w:pPr>
        <w:spacing w:after="120" w:line="276" w:lineRule="auto"/>
      </w:pPr>
      <w:r>
        <w:t>**Bandes de Bollinger** : La borne supérieure est à 45 152,79 FCFA et la borne inférieure à 36 604,71 FCFA, avec un cours actuel de 45 000 FCFA qui frôle la bande haute. Cette position indique une volatilité en expansion et un potentiel de surchauffe à court terme, d'où la décision **Neutre** qui invite à la prudence malgré la tendance haussière.</w:t>
      </w:r>
    </w:p>
    <w:p>
      <w:pPr>
        <w:spacing w:after="120" w:line="276" w:lineRule="auto"/>
      </w:pPr>
      <w:r>
        <w:t>**MACD** : La valeur du MACD (2 244,21) est supérieure à son signal (2 028,08), avec un histogramme positif qui traduit un momentum haussier toujours actif. La divergence positive confirme que la dynamique d'achat reste dominante, justifiant la décision d'**Achat**.</w:t>
      </w:r>
    </w:p>
    <w:p>
      <w:pPr>
        <w:spacing w:after="120" w:line="276" w:lineRule="auto"/>
      </w:pPr>
      <w:r>
        <w:t>**RSI** : À 81,54, le RSI se situe largement au-dessus du seuil de surachat de 70, signalant que le titre est techniquement surchauffé après un rallye de +55%. Cette configuration justifie la décision de **Vente** à court terme, un repli technique étant probable.</w:t>
      </w:r>
    </w:p>
    <w:p>
      <w:pPr>
        <w:spacing w:after="120" w:line="276" w:lineRule="auto"/>
      </w:pPr>
      <w:r>
        <w:t>**Stochastique** : Le %K à 100,0 et le %D à 99,96 sont tous deux en zone extrême de surachat, avec un croisement imminent possible. Cette configuration confirme la décision de **Vente**, le titre ayant épuisé son potentiel de hausse immédiat.</w:t>
      </w:r>
    </w:p>
    <w:p>
      <w:pPr>
        <w:spacing w:after="120" w:line="276" w:lineRule="auto"/>
      </w:pPr>
      <w:r>
        <w:t>**Conclusion technique** : Les indicateurs de tendance (MM, MACD) restent haussiers et confirment la solidité du mouvement de fond, mais les oscillateurs (RSI à 81,5, Stochastique à 100) signalent une surchauffe manifeste à court terme. Cette divergence classique entre tendance et momentum suggère une consolidation ou un repli technique imminent, sans remettre en cause la tendance de fond. La prudence est de mise pour les acheteurs tardifs, tandis que les détenteurs peuvent conserver avec un stop de protection.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affiche un chiffre d'affaires consolidé de 1 923,122 milliards FCFA, en croissance de +8,26% sur un an, porté par la Data mobile, le Fixe Broadband et Orange Money. Le résultat net s'établit à 413,588 milliards FCFA, soit une marge nette de 21,51%, tandis que le ROE atteint 29,56% — un niveau excellent (&gt;15%) qui témoigne d'une rentabilité exceptionnelle des fonds propres — et le ROA ressort à 12,65%. La marge brute de 67,03% et la marge opérationnelle de 34,83% confirment la maîtrise des coûts, avec un EBE de 932,436 milliards FCFA. Sur le plan bilanciel, l'autonomie financière de 42,79% est saine, la solvabilité générale de 174,79% est confortable, et le BFR négatif de -284,906 milliards FCFA constitue un avantage concurrentiel majeur (financement par les fournisseurs). Les délais clients de 46,16 jours restent modérés, tandis que le délai fournisseurs de 201,39 jours offre un coussin de trésorerie appréciable. La capacité de remboursement de 0,64 an et la couverture des intérêts de 2 744,71% traduisent une structure financière très solide.</w:t>
      </w:r>
    </w:p>
    <w:p>
      <w:pPr>
        <w:spacing w:after="120" w:line="276" w:lineRule="auto"/>
      </w:pPr>
      <w:r>
        <w:t>**Estimations basées sur les rapports trimestriels** : Le communiqué du S1 2026 (publié le 27/07/2026) révèle un chiffre d'affaires de 1 049,8 milliards FCFA (+9,3%) et un résultat net de 230 milliards FCFA (+10,5%), avec un EBITDAAL de 510,8 milliards FCFA (48,7% du CA) et une notation relevée à AAA (wu) par GCR Ratings. Sur cette base, on peut estimer que l'exercice 2026 devrait afficher un chiffre d'affaires supérieur à 2 100 milliards FCFA et un résultat net proche de 450 milliards FCFA, confirmant l'accélération de la croissance. Le rapport annuel 2025 (publié le 16/02/2026) confirme un dividende brut de 1 933 FCFA par action (1 740 FCFA net), offrant un rendement attractif de 3,87% au cours actuel de 45 000 FCFA. Les rapports antérieurs (T3 2025, S1 2025, T1 2025) montrent une trajectoire de croissance régulière de +8% à +10% du CA et du résultat net, malgré un environnement réglementaire et fiscal plus contraignant.</w:t>
      </w:r>
    </w:p>
    <w:p>
      <w:pPr>
        <w:spacing w:after="120" w:line="276" w:lineRule="auto"/>
      </w:pPr>
      <w:r>
        <w:t>**Recommandation fondamentale** : Sonatel présente une solidité financière exceptionnelle, une croissance rentable soutenue et une politique de dividende généreuse. Les risques identifiés (pression fiscale, concurrence sur le Mobile Money, instabilité géopolitique au Mali) restent gérables au regard de la diversification géographique et de la position de leader. La valorisation actuelle (PER 10,9x, EV/EBITDA 4,7x) apparaît raisonnable pour une entreprise de cette qualité.</w:t>
      </w:r>
    </w:p>
    <w:p>
      <w:pPr>
        <w:spacing w:after="120" w:line="276" w:lineRule="auto"/>
      </w:pPr>
      <w:r>
        <w:t>---</w:t>
      </w:r>
    </w:p>
    <w:p>
      <w:pPr>
        <w:spacing w:after="120" w:line="276" w:lineRule="auto"/>
      </w:pPr>
      <w:r>
        <w:t>## PARTIE 4 : CONCLUSION D'INVESTISSEMENT</w:t>
      </w:r>
    </w:p>
    <w:p>
      <w:pPr>
        <w:spacing w:after="120" w:line="276" w:lineRule="auto"/>
      </w:pPr>
      <w:r>
        <w:t>La valorisation de Sonatel apparaît équilibrée : le PER de 10,9x est dans la moyenne du marché, le P/B de 3,22x reflète une prime de qualité justifiée, et l'EV/EBITDA de 4,7x signale une sous-évaluation relative par rapport à la capacité opérationnelle. Le comportement du cours sur 100 jours est exceptionnel (+55,71%), avec une volatilité élevée (33,3%) et une asymétrie positive (skewness +0,966) qui traduit un rallye concentré sur la fin de période — un signal de prudence à court terme. Les signaux techniques sont divergents : les moyennes mobiles et le MACD confirment la tendance haussière de fond, mais le RSI (81,5) et le Stochastique (100) signalent une surchauffe manifeste qui plaide pour une consolidation. Les fondamentaux restent excellents : ROE de 29,56%, marge nette de 21,51%, BFR négatif et dividende de 1 740 FCFA net (rendement 3,87%), avec une estimation 2026 de résultat net proche de 450 milliards FCFA sur la base du S1 2026 (+10,5%). Les prédictions IA anticipent une légère correction vers 43 500 FCFA à J+10, ce qui confirme la thèse d'un repli technique après le rallye, sans remettre en cause la tendance de fond. **Recommandation finale : CONSERVER** — la convergence entre fondamentaux solides, valorisation raisonnable et tendance haussière de fond justifie le maintien en portefeuille, mais la surchauffe technique et les prédictions baissières à court terme déconseillent tout achat agressif au cours actuel. Le niveau de confiance est **Moyen** (divergence technique/fondamental), le risque global est **Moyen** (volatilité élevée mais fondamentaux robustes), et l'horizon optimal est **moyen terme (3-12 mois)** pour profiter de la croissance bénéficiaire et du dividende, en attendant un repli vers 42 000-43 000 FCFA pour renforcer.</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171.52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5,295 titres</w:t>
            </w:r>
          </w:p>
        </w:tc>
        <w:tc>
          <w:tcPr>
            <w:tcW w:type="dxa" w:w="2268"/>
            <w:shd w:fill="FFF2CC" w:val="clear"/>
          </w:tcPr>
          <w:p>
            <w:r>
              <w:rPr>
                <w:b/>
                <w:color w:val="503200"/>
                <w:sz w:val="16"/>
              </w:rPr>
              <w:t xml:space="preserve">Cours actuel : </w:t>
            </w:r>
            <w:r>
              <w:rPr>
                <w:color w:val="000000"/>
                <w:sz w:val="17"/>
              </w:rPr>
              <w:t>7,940 FCFA</w:t>
            </w:r>
          </w:p>
          <w:p>
            <w:r>
              <w:rPr>
                <w:b/>
                <w:color w:val="503200"/>
                <w:sz w:val="16"/>
              </w:rPr>
              <w:t xml:space="preserve">Var. 100 jours : </w:t>
            </w:r>
            <w:r>
              <w:rPr>
                <w:b/>
                <w:color w:val="007800"/>
                <w:sz w:val="17"/>
              </w:rPr>
              <w:t>+7.44%</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4.61% (Faible) — μ=8,068 FCFA, σ=372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β=0.9317 (Neutre (suit le marché)) — Cov=0.000065, Var(idx)=0.000070, ρ=0.299,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7,534</w:t>
            </w:r>
          </w:p>
        </w:tc>
        <w:tc>
          <w:tcPr>
            <w:tcW w:type="dxa" w:w="1440"/>
            <w:shd w:fill="FAFAFA" w:val="clear"/>
          </w:tcPr>
          <w:p>
            <w:r>
              <w:rPr>
                <w:b/>
                <w:sz w:val="17"/>
              </w:rPr>
              <w:t>7,917</w:t>
            </w:r>
          </w:p>
        </w:tc>
        <w:tc>
          <w:tcPr>
            <w:tcW w:type="dxa" w:w="1440"/>
            <w:shd w:fill="FAFAFA" w:val="clear"/>
          </w:tcPr>
          <w:p>
            <w:r>
              <w:rPr>
                <w:sz w:val="17"/>
              </w:rPr>
              <w:t>8,299</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7,347</w:t>
            </w:r>
          </w:p>
        </w:tc>
        <w:tc>
          <w:tcPr>
            <w:tcW w:type="dxa" w:w="1440"/>
            <w:shd w:fill="FAFAFA" w:val="clear"/>
          </w:tcPr>
          <w:p>
            <w:r>
              <w:rPr>
                <w:b/>
                <w:sz w:val="17"/>
              </w:rPr>
              <w:t>7,886</w:t>
            </w:r>
          </w:p>
        </w:tc>
        <w:tc>
          <w:tcPr>
            <w:tcW w:type="dxa" w:w="1440"/>
            <w:shd w:fill="FAFAFA" w:val="clear"/>
          </w:tcPr>
          <w:p>
            <w:r>
              <w:rPr>
                <w:sz w:val="17"/>
              </w:rPr>
              <w:t>8,425</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7,203</w:t>
            </w:r>
          </w:p>
        </w:tc>
        <w:tc>
          <w:tcPr>
            <w:tcW w:type="dxa" w:w="1440"/>
            <w:shd w:fill="FAFAFA" w:val="clear"/>
          </w:tcPr>
          <w:p>
            <w:r>
              <w:rPr>
                <w:b/>
                <w:sz w:val="17"/>
              </w:rPr>
              <w:t>7,861</w:t>
            </w:r>
          </w:p>
        </w:tc>
        <w:tc>
          <w:tcPr>
            <w:tcW w:type="dxa" w:w="1440"/>
            <w:shd w:fill="FAFAFA" w:val="clear"/>
          </w:tcPr>
          <w:p>
            <w:r>
              <w:rPr>
                <w:sz w:val="17"/>
              </w:rPr>
              <w:t>8,519</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7,080</w:t>
            </w:r>
          </w:p>
        </w:tc>
        <w:tc>
          <w:tcPr>
            <w:tcW w:type="dxa" w:w="1440"/>
            <w:shd w:fill="FAFAFA" w:val="clear"/>
          </w:tcPr>
          <w:p>
            <w:r>
              <w:rPr>
                <w:b/>
                <w:sz w:val="17"/>
              </w:rPr>
              <w:t>7,838</w:t>
            </w:r>
          </w:p>
        </w:tc>
        <w:tc>
          <w:tcPr>
            <w:tcW w:type="dxa" w:w="1440"/>
            <w:shd w:fill="FAFAFA" w:val="clear"/>
          </w:tcPr>
          <w:p>
            <w:r>
              <w:rPr>
                <w:sz w:val="17"/>
              </w:rPr>
              <w:t>8,596</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6,971</w:t>
            </w:r>
          </w:p>
        </w:tc>
        <w:tc>
          <w:tcPr>
            <w:tcW w:type="dxa" w:w="1440"/>
            <w:shd w:fill="FAFAFA" w:val="clear"/>
          </w:tcPr>
          <w:p>
            <w:r>
              <w:rPr>
                <w:b/>
                <w:sz w:val="17"/>
              </w:rPr>
              <w:t>7,816</w:t>
            </w:r>
          </w:p>
        </w:tc>
        <w:tc>
          <w:tcPr>
            <w:tcW w:type="dxa" w:w="1440"/>
            <w:shd w:fill="FAFAFA" w:val="clear"/>
          </w:tcPr>
          <w:p>
            <w:r>
              <w:rPr>
                <w:sz w:val="17"/>
              </w:rPr>
              <w:t>8,661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6,872</w:t>
            </w:r>
          </w:p>
        </w:tc>
        <w:tc>
          <w:tcPr>
            <w:tcW w:type="dxa" w:w="1440"/>
            <w:shd w:fill="FAFAFA" w:val="clear"/>
          </w:tcPr>
          <w:p>
            <w:r>
              <w:rPr>
                <w:b/>
                <w:sz w:val="17"/>
              </w:rPr>
              <w:t>7,795</w:t>
            </w:r>
          </w:p>
        </w:tc>
        <w:tc>
          <w:tcPr>
            <w:tcW w:type="dxa" w:w="1440"/>
            <w:shd w:fill="FAFAFA" w:val="clear"/>
          </w:tcPr>
          <w:p>
            <w:r>
              <w:rPr>
                <w:sz w:val="17"/>
              </w:rPr>
              <w:t>8,718</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6,780</w:t>
            </w:r>
          </w:p>
        </w:tc>
        <w:tc>
          <w:tcPr>
            <w:tcW w:type="dxa" w:w="1440"/>
            <w:shd w:fill="FFDCE0" w:val="clear"/>
          </w:tcPr>
          <w:p>
            <w:r>
              <w:rPr>
                <w:b/>
                <w:sz w:val="17"/>
              </w:rPr>
              <w:t>7,775</w:t>
            </w:r>
          </w:p>
        </w:tc>
        <w:tc>
          <w:tcPr>
            <w:tcW w:type="dxa" w:w="1440"/>
            <w:shd w:fill="FFDCE0" w:val="clear"/>
          </w:tcPr>
          <w:p>
            <w:r>
              <w:rPr>
                <w:sz w:val="17"/>
              </w:rPr>
              <w:t>8,769</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6,695</w:t>
            </w:r>
          </w:p>
        </w:tc>
        <w:tc>
          <w:tcPr>
            <w:tcW w:type="dxa" w:w="1440"/>
            <w:shd w:fill="FFDCE0" w:val="clear"/>
          </w:tcPr>
          <w:p>
            <w:r>
              <w:rPr>
                <w:b/>
                <w:sz w:val="17"/>
              </w:rPr>
              <w:t>7,755</w:t>
            </w:r>
          </w:p>
        </w:tc>
        <w:tc>
          <w:tcPr>
            <w:tcW w:type="dxa" w:w="1440"/>
            <w:shd w:fill="FFDCE0" w:val="clear"/>
          </w:tcPr>
          <w:p>
            <w:r>
              <w:rPr>
                <w:sz w:val="17"/>
              </w:rPr>
              <w:t>8,815</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6,614</w:t>
            </w:r>
          </w:p>
        </w:tc>
        <w:tc>
          <w:tcPr>
            <w:tcW w:type="dxa" w:w="1440"/>
            <w:shd w:fill="FFDCE0" w:val="clear"/>
          </w:tcPr>
          <w:p>
            <w:r>
              <w:rPr>
                <w:b/>
                <w:sz w:val="17"/>
              </w:rPr>
              <w:t>7,736</w:t>
            </w:r>
          </w:p>
        </w:tc>
        <w:tc>
          <w:tcPr>
            <w:tcW w:type="dxa" w:w="1440"/>
            <w:shd w:fill="FFDCE0" w:val="clear"/>
          </w:tcPr>
          <w:p>
            <w:r>
              <w:rPr>
                <w:sz w:val="17"/>
              </w:rPr>
              <w:t>8,858</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6,539</w:t>
            </w:r>
          </w:p>
        </w:tc>
        <w:tc>
          <w:tcPr>
            <w:tcW w:type="dxa" w:w="1440"/>
            <w:shd w:fill="FFDCE0" w:val="clear"/>
          </w:tcPr>
          <w:p>
            <w:r>
              <w:rPr>
                <w:b/>
                <w:sz w:val="17"/>
              </w:rPr>
              <w:t>7,718</w:t>
            </w:r>
          </w:p>
        </w:tc>
        <w:tc>
          <w:tcPr>
            <w:tcW w:type="dxa" w:w="1440"/>
            <w:shd w:fill="FFDCE0" w:val="clear"/>
          </w:tcPr>
          <w:p>
            <w:r>
              <w:rPr>
                <w:sz w:val="17"/>
              </w:rPr>
              <w:t>8,898</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*Marché : BRVM | Secteur : Entreprise agro-industrielle (Hévéa / Palmier à huile)*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171,52 milliards FCFA, SOGC se positionne parmi les valeurs moyennes à grandes de la cote BRVM, ce qui traduit une liquidité correcte mais un poids encore limité à l'échelle régionale. Le BPA de 578 FCFA/action signifie que chaque titre génère près de 578 FCFA de bénéfice net, un niveau confortable au regard du cours actuel de 7 940 FCFA. Le PER de 13,7x se situe légèrement au-dessus de la fourchette moyenne du marché BRVM (8-12x), ce qui indique que les investisseurs paient une prime modérée pour la qualité des bénéfices, sans exagération manifeste. Le P/B de 2,51x montre que le marché valorise la société à environ 2,5 fois sa valeur comptable, une prime de croissance justifiée par la rentabilité élevée des fonds propres (ROE de 18,26%). Enfin, l'EV/EBITDA de 7,1x, dans la fourchette raisonnable de 5-10x, suggère que la valeur totale de l'entreprise (dette incluse) reste cohérente avec sa capacité opérationnelle à générer du cash. Globalement, la valorisation apparaît **raisonnable, sans excès ni décote flagrante**.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variation totale positive de +7,44%, mais la dernière séance (J-1) enregistre un repli de -1,98%, signalant une pression vendeuse de court terme. Le cours actuel de 7 940 FCFA se situe dans la moitié basse du range de trading, dont le plus haut a atteint 8 875 FCFA et le plus bas 7 200 FCFA, soit une amplitude d'environ 23% — reflétant une tendance générale haussière mais avec une correction récente. Les statistiques descriptives révèlent une moyenne de 8 068 FCFA légèrement supérieure à la médiane de 8 145 FCFA, avec un mode à 8 100 FCFA : l'écart entre moyenne et médiane, bien que faible, confirme une légère asymétrie. L'écart-type de 374 FCFA et le coefficient de variation de 4,6% indiquent une dispersion modérée du cours autour de sa moyenne. Le kurtosis de -0,361 (mésokurtique) suggère une distribution proche de la normale, donc un risque de pics extrêmes limité. Le skewness de -0,573 (asymétrie négative) signifie qu'il y a eu davantage de journées de cotation au-dessus de la moyenne, mais que les baisses, moins fréquentes, ont été plus amples — un profil typique de correction après un rallye. La volatilité annualisée de 41,6% classe le titre dans la catégorie **élevée (&gt;30%)**, ce qui est cohérent avec une valeur exposée aux matières premières agricoles.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(7 949,25 FCFA) est légèrement supérieure au cours actuel (7 940 FCFA), tandis que la MM50 (8 067,6 FCFA) se situe nettement au-dessus. Le cours évolue donc sous ses deux moyennes, signe d'une pression baissière de court et moyen terme. La décision technique est **Vente**, confirmée par le croisement baissier du cours sous la MM20.</w:t>
      </w:r>
    </w:p>
    <w:p>
      <w:pPr>
        <w:spacing w:after="120" w:line="276" w:lineRule="auto"/>
      </w:pPr>
      <w:r>
        <w:t>**Bandes de Bollinger** : Le cours (7 940 FCFA) se situe dans la partie médiane de la bande, entre la borne inférieure (7 367,82 FCFA) et la borne supérieure (8 530,68 FCFA). Cette position centrale, sans contact avec les extrêmes, traduit une absence de signal directionnel fort. La décision est **Neutre**, la volatilité restant contenue dans les bandes.</w:t>
      </w:r>
    </w:p>
    <w:p>
      <w:pPr>
        <w:spacing w:after="120" w:line="276" w:lineRule="auto"/>
      </w:pPr>
      <w:r>
        <w:t>**MACD** : La valeur du MACD (-72,719) est supérieure à son signal (-85,596), ce qui génère un croisement haussier (MACD au-dessus du signal). Ce momentum positif, bien que les deux lignes restent en territoire négatif, indique un ralentissement de la dynamique baissière. La décision est **Achat**, mais avec prudence car les valeurs demeurent négatives.</w:t>
      </w:r>
    </w:p>
    <w:p>
      <w:pPr>
        <w:spacing w:after="120" w:line="276" w:lineRule="auto"/>
      </w:pPr>
      <w:r>
        <w:t>**RSI** : À 46,825, le RSI se situe dans la zone neutre (30-70), sans signal de surachat ni de survente. Cette position médiane reflète un équilibre entre acheteurs et vendeurs. La décision est **Neutre**, sans divergence notable.</w:t>
      </w:r>
    </w:p>
    <w:p>
      <w:pPr>
        <w:spacing w:after="120" w:line="276" w:lineRule="auto"/>
      </w:pPr>
      <w:r>
        <w:t>**Stochastique** : Le %K (76,19) est inférieur au %D (82,738), ce qui constitue un croisement baissier en zone haute (proche de la surachat à 80). Ce signal suggère un essoufflement de la dynamique haussière de court terme. La décision est **Neutre**, mais le croisement baissier invite à la vigilance.</w:t>
      </w:r>
    </w:p>
    <w:p>
      <w:pPr>
        <w:spacing w:after="120" w:line="276" w:lineRule="auto"/>
      </w:pPr>
      <w:r>
        <w:t>**Conclusion technique** : Les indicateurs sont **mitigés**. Les moyennes mobiles et le stochastique penchent baissier, tandis que le MACD donne un signal d'achat contrarié par sa position négative. Le RSI et les Bollinger confirment une absence de tendance claire. La configuration globale suggère une **phase de consolidation baissière** avant tout rebond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SOGC a réalisé un chiffre d'affaires de 98,979 milliards FCFA, en hausse de 10,7% par rapport à 2024 (93,52 milliards FCFA), portée par la hausse des prix de l'huile de palme (+20%) et de palmiste (+47%), ainsi que par la croissance des volumes de caoutchouc (+9%). Le résultat net s'établit à 12,493 milliards FCFA, en légère baisse de 5% par rapport aux 13,11 milliards de 2024, sous l'effet de la hausse de 15% des coûts d'achat du coagulum. La rentabilité reste excellente avec un ROE de 18,26% (&gt;15%, seuil d'excellence) et un ROA de 13,84%, confirmant l'efficacité de l'utilisation des actifs. La structure financière est très saine : l'autonomie financière atteint 75,79%, le ratio d'endettement est faible (24,21%), et la trésorerie nette s'élève à 4,575 milliards FCFA, en amélioration de 3,1 milliards sur l'exercice. Le BFR de 7,124 milliards FCFA (positif) et le délai de stockage élevé (97,67 jours) constituent des points de vigilance, mais le délai fournisseurs (31,72 jours) et le délai clients (29,60 jours) restent maîtrisés. Les rapports trimestriels 2025 (T1, S1, 9M) confirment une dynamique exceptionnelle sur la première moitié de l'année (CA +51,9% au S1, résultat net +151,6%), suivie d'un ralentissement au S2 sous l'effet de la concurrence accrue sur l'achat de matière première et de la baisse des cours SICOM. Sur la base du rapport 9M 2025 (CA de 75,6 milliards, résultat net de 11,5 milliards), on peut estimer que l'exercice 2025 devrait se clôturer avec un résultat net proche de 12,5 milliards FCFA, confirmant la résilience malgré un environnement plus difficile. La politique de dividende est très généreuse : un dividende brut de 570 FCFA/action a été proposé pour 2025 (contre 60 FCFA en 2024), soit un rendement attractif de 7,2% au cours actuel. Le principal risque réside dans la volatilité des prix des matières premières et la pression concurrentielle sur les coûts d'approvisionnement. **Recommandation fondamentale : CONSERVER**, avec une préférence pour un renforcement sur repli vers 7 500 FCFA.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avec un PER de 13,7x légèrement supérieur à la moyenne du marché, un P/B de 2,51x justifié par un ROE de 18,26%, et un EV/EBITDA de 7,1x dans la fourchette normale — le titre n'est ni sous-évalué ni surévalué. Le comportement du cours (Partie 1) montre une tendance haussière sur 100 jours (+7,44%) mais une correction récente (-1,98% en J-1), avec une volatilité élevée (41,6%) et une asymétrie négative (skewness -0,573) qui suggère que les baisses, bien que moins fréquentes, sont amples. Les signaux techniques (Partie 2) sont mitigés : les moyennes mobiles et le stochastique sont baissiers, le MACD donne un signal d'achat contrarié, et le RSI/Bollinger sont neutres — la configuration globale penche pour une consolidation. Les fondamentaux (Partie 3) restent solides : CA en croissance (+10,7% en 2025), ROE élevé (18,26%), structure financière saine (autonomie de 75,79%), et dividende attractif (570 FCFA/action, rendement de 7,2%), mais le résultat net recule de 5% et les coûts d'approvisionnement pèsent sur les marges. Les prédictions IA (J+1 à J+10) anticipent une baisse progressive de 7 917 FCFA à 7 816 FCFA, confirmant la pression baissière de court terme déjà visible dans les indicateurs techniques. **Synthèse** : la convergence entre technique baissier, prédictions IA à la baisse et fondamentaux solides mais en léger ralentissement plaide pour une **phase de consolidation**. En conséquence, la recommandation finale est **CONSERVER**, avec un niveau de confiance **Moyen** et un risque global **Moyen** (volatilité élevée et sensibilité aux matières premières). L'horizon d'investissement optimal est le **moyen terme (3-12 mois)**, en attendant une stabilisation des cours et une clarification de la politique de distribution, avec un point d'entrée idéal vers 7 500-7 600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4,668 titres</w:t>
            </w:r>
          </w:p>
        </w:tc>
        <w:tc>
          <w:tcPr>
            <w:tcW w:type="dxa" w:w="2268"/>
            <w:shd w:fill="FFF2CC" w:val="clear"/>
          </w:tcPr>
          <w:p>
            <w:r>
              <w:rPr>
                <w:b/>
                <w:color w:val="503200"/>
                <w:sz w:val="16"/>
              </w:rPr>
              <w:t xml:space="preserve">Cours actuel : </w:t>
            </w:r>
            <w:r>
              <w:rPr>
                <w:color w:val="000000"/>
                <w:sz w:val="17"/>
              </w:rPr>
              <w:t>7,890 FCFA</w:t>
            </w:r>
          </w:p>
          <w:p>
            <w:r>
              <w:rPr>
                <w:b/>
                <w:color w:val="503200"/>
                <w:sz w:val="16"/>
              </w:rPr>
              <w:t xml:space="preserve">Var. 100 jours : </w:t>
            </w:r>
            <w:r>
              <w:rPr>
                <w:b/>
                <w:color w:val="007800"/>
                <w:sz w:val="17"/>
              </w:rPr>
              <w:t>+11.91%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9.76% (Moyenne) — μ=7,857 FCFA, σ=767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β=0.7693 (Défensif) — Cov=0.000054, Var(idx)=0.000070, ρ=0.234,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7,363</w:t>
            </w:r>
          </w:p>
        </w:tc>
        <w:tc>
          <w:tcPr>
            <w:tcW w:type="dxa" w:w="1440"/>
            <w:shd w:fill="FAFAFA" w:val="clear"/>
          </w:tcPr>
          <w:p>
            <w:r>
              <w:rPr>
                <w:b/>
                <w:sz w:val="17"/>
              </w:rPr>
              <w:t>7,821</w:t>
            </w:r>
          </w:p>
        </w:tc>
        <w:tc>
          <w:tcPr>
            <w:tcW w:type="dxa" w:w="1440"/>
            <w:shd w:fill="FAFAFA" w:val="clear"/>
          </w:tcPr>
          <w:p>
            <w:r>
              <w:rPr>
                <w:sz w:val="17"/>
              </w:rPr>
              <w:t>8,279</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7,139</w:t>
            </w:r>
          </w:p>
        </w:tc>
        <w:tc>
          <w:tcPr>
            <w:tcW w:type="dxa" w:w="1440"/>
            <w:shd w:fill="FAFAFA" w:val="clear"/>
          </w:tcPr>
          <w:p>
            <w:r>
              <w:rPr>
                <w:b/>
                <w:sz w:val="17"/>
              </w:rPr>
              <w:t>7,784</w:t>
            </w:r>
          </w:p>
        </w:tc>
        <w:tc>
          <w:tcPr>
            <w:tcW w:type="dxa" w:w="1440"/>
            <w:shd w:fill="FAFAFA" w:val="clear"/>
          </w:tcPr>
          <w:p>
            <w:r>
              <w:rPr>
                <w:sz w:val="17"/>
              </w:rPr>
              <w:t>8,428</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2026-10-06</w:t>
            </w:r>
          </w:p>
        </w:tc>
        <w:tc>
          <w:tcPr>
            <w:tcW w:type="dxa" w:w="1440"/>
            <w:shd w:fill="FAFAFA" w:val="clear"/>
          </w:tcPr>
          <w:p>
            <w:r>
              <w:rPr>
                <w:sz w:val="17"/>
              </w:rPr>
              <w:t>6,961</w:t>
            </w:r>
          </w:p>
        </w:tc>
        <w:tc>
          <w:tcPr>
            <w:tcW w:type="dxa" w:w="1440"/>
            <w:shd w:fill="FAFAFA" w:val="clear"/>
          </w:tcPr>
          <w:p>
            <w:r>
              <w:rPr>
                <w:b/>
                <w:sz w:val="17"/>
              </w:rPr>
              <w:t>7,746</w:t>
            </w:r>
          </w:p>
        </w:tc>
        <w:tc>
          <w:tcPr>
            <w:tcW w:type="dxa" w:w="1440"/>
            <w:shd w:fill="FAFAFA" w:val="clear"/>
          </w:tcPr>
          <w:p>
            <w:r>
              <w:rPr>
                <w:sz w:val="17"/>
              </w:rPr>
              <w:t>8,532</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6,809</w:t>
            </w:r>
          </w:p>
        </w:tc>
        <w:tc>
          <w:tcPr>
            <w:tcW w:type="dxa" w:w="1440"/>
            <w:shd w:fill="FFDCE0" w:val="clear"/>
          </w:tcPr>
          <w:p>
            <w:r>
              <w:rPr>
                <w:b/>
                <w:sz w:val="17"/>
              </w:rPr>
              <w:t>7,712</w:t>
            </w:r>
          </w:p>
        </w:tc>
        <w:tc>
          <w:tcPr>
            <w:tcW w:type="dxa" w:w="1440"/>
            <w:shd w:fill="FFDCE0" w:val="clear"/>
          </w:tcPr>
          <w:p>
            <w:r>
              <w:rPr>
                <w:sz w:val="17"/>
              </w:rPr>
              <w:t>8,615</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6,674</w:t>
            </w:r>
          </w:p>
        </w:tc>
        <w:tc>
          <w:tcPr>
            <w:tcW w:type="dxa" w:w="1440"/>
            <w:shd w:fill="FFDCE0" w:val="clear"/>
          </w:tcPr>
          <w:p>
            <w:r>
              <w:rPr>
                <w:b/>
                <w:sz w:val="17"/>
              </w:rPr>
              <w:t>7,679</w:t>
            </w:r>
          </w:p>
        </w:tc>
        <w:tc>
          <w:tcPr>
            <w:tcW w:type="dxa" w:w="1440"/>
            <w:shd w:fill="FFDCE0" w:val="clear"/>
          </w:tcPr>
          <w:p>
            <w:r>
              <w:rPr>
                <w:sz w:val="17"/>
              </w:rPr>
              <w:t>8,684</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6,550</w:t>
            </w:r>
          </w:p>
        </w:tc>
        <w:tc>
          <w:tcPr>
            <w:tcW w:type="dxa" w:w="1440"/>
            <w:shd w:fill="FFDCE0" w:val="clear"/>
          </w:tcPr>
          <w:p>
            <w:r>
              <w:rPr>
                <w:b/>
                <w:sz w:val="17"/>
              </w:rPr>
              <w:t>7,646</w:t>
            </w:r>
          </w:p>
        </w:tc>
        <w:tc>
          <w:tcPr>
            <w:tcW w:type="dxa" w:w="1440"/>
            <w:shd w:fill="FFDCE0" w:val="clear"/>
          </w:tcPr>
          <w:p>
            <w:r>
              <w:rPr>
                <w:sz w:val="17"/>
              </w:rPr>
              <w:t>8,743</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6,436</w:t>
            </w:r>
          </w:p>
        </w:tc>
        <w:tc>
          <w:tcPr>
            <w:tcW w:type="dxa" w:w="1440"/>
            <w:shd w:fill="FFDCE0" w:val="clear"/>
          </w:tcPr>
          <w:p>
            <w:r>
              <w:rPr>
                <w:b/>
                <w:sz w:val="17"/>
              </w:rPr>
              <w:t>7,615</w:t>
            </w:r>
          </w:p>
        </w:tc>
        <w:tc>
          <w:tcPr>
            <w:tcW w:type="dxa" w:w="1440"/>
            <w:shd w:fill="FFDCE0" w:val="clear"/>
          </w:tcPr>
          <w:p>
            <w:r>
              <w:rPr>
                <w:sz w:val="17"/>
              </w:rPr>
              <w:t>8,794</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6,329</w:t>
            </w:r>
          </w:p>
        </w:tc>
        <w:tc>
          <w:tcPr>
            <w:tcW w:type="dxa" w:w="1440"/>
            <w:shd w:fill="FFDCE0" w:val="clear"/>
          </w:tcPr>
          <w:p>
            <w:r>
              <w:rPr>
                <w:b/>
                <w:sz w:val="17"/>
              </w:rPr>
              <w:t>7,585</w:t>
            </w:r>
          </w:p>
        </w:tc>
        <w:tc>
          <w:tcPr>
            <w:tcW w:type="dxa" w:w="1440"/>
            <w:shd w:fill="FFDCE0" w:val="clear"/>
          </w:tcPr>
          <w:p>
            <w:r>
              <w:rPr>
                <w:sz w:val="17"/>
              </w:rPr>
              <w:t>8,840</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6,229</w:t>
            </w:r>
          </w:p>
        </w:tc>
        <w:tc>
          <w:tcPr>
            <w:tcW w:type="dxa" w:w="1440"/>
            <w:shd w:fill="FFDCE0" w:val="clear"/>
          </w:tcPr>
          <w:p>
            <w:r>
              <w:rPr>
                <w:b/>
                <w:sz w:val="17"/>
              </w:rPr>
              <w:t>7,555</w:t>
            </w:r>
          </w:p>
        </w:tc>
        <w:tc>
          <w:tcPr>
            <w:tcW w:type="dxa" w:w="1440"/>
            <w:shd w:fill="FFDCE0" w:val="clear"/>
          </w:tcPr>
          <w:p>
            <w:r>
              <w:rPr>
                <w:sz w:val="17"/>
              </w:rPr>
              <w:t>8,881</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6,133</w:t>
            </w:r>
          </w:p>
        </w:tc>
        <w:tc>
          <w:tcPr>
            <w:tcW w:type="dxa" w:w="1440"/>
            <w:shd w:fill="FFDCE0" w:val="clear"/>
          </w:tcPr>
          <w:p>
            <w:r>
              <w:rPr>
                <w:b/>
                <w:sz w:val="17"/>
              </w:rPr>
              <w:t>7,526</w:t>
            </w:r>
          </w:p>
        </w:tc>
        <w:tc>
          <w:tcPr>
            <w:tcW w:type="dxa" w:w="1440"/>
            <w:shd w:fill="FFDCE0" w:val="clear"/>
          </w:tcPr>
          <w:p>
            <w:r>
              <w:rPr>
                <w:sz w:val="17"/>
              </w:rPr>
              <w:t>8,919</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201,65 milliards FCFA, SPHC s'affirme comme une valeur de premier plan de la cote BRVM, représentant un pilier du compartiment agro-industriel régional. Le BPA de 977 FCFA/action signifie que chaque titre génère près d'un millier de francs de bénéfice net, un niveau de rentabilité par action remarquable pour le marché ouest-africain. Le PER de 8,1x situe le titre en dessous de la moyenne BRVM (8-12x), suggérant une potentielle sous-évaluation : les investisseurs ne paient que 8,1 fois les bénéfices annuels, un multiple modeste au regard de la croissance historique. Le P/B de 1,46x indique que le marché valorise SPHC à 46% au-dessus de sa valeur comptable, un niveau raisonnable qui traduit une confiance modérée dans la qualité des actifs sans excès spéculatif. Enfin, l'EV/EBITDA de 5,1x, bien inférieur au seuil de 10x, signale que la valeur totale de l'entreprise (dette incluse) reste contenue par rapport à sa capacité opérationnelle à générer des liquidités, renforçant le diagnostic de sous-valorisation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 enregistré une progression totale de +11,91%, portant le cours à 7 890 FCFA, malgré un repli de -1,31% lors de la dernière séance (J-1). Le titre a évolué dans un range large de 3 450 FCFA, oscillant entre un plus bas de 6 850 FCFA et un plus haut de 10 300 FCFA, ce qui témoigne d'une volatilité intra-période significative. La tendance générale demeure haussière sur la période, mais le repli récent sous les 8 000 FCFA suggère une phase de consolidation, voire de correction, après le pic atteint. Les statistiques descriptives révèlent une moyenne de 7 857 FCFA légèrement supérieure à la médiane de 7 645 FCFA, avec un mode à 7 500 FCFA : cet écart indique une distribution asymétrique où quelques journées de forte hausse tirent la moyenne vers le haut. L'écart-type de 771 FCFA (CV = 9,8%) traduit une dispersion modérée du cours autour de sa moyenne, tandis que le kurtosis de 1,624 (leptokurtique) signale des queues épaisses, c'est-à-dire un risque accru de pics de volatilité brutaux. Le skewness positif de 1,435 confirme cette asymétrie : les journées sous la moyenne sont plus fréquentes, mais les hausses, lorsqu'elles surviennent, sont amples. Enfin, la volatilité annualisée de 43,3% classe SPHC dans la catégorie des titres à volatilité élevée (&gt;30%), ce qui implique un risque de marché conséquent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(8 119,5 FCFA) et la MM50 (8 289,9 FCFA) se situent toutes deux au-dessus du cours actuel (7 890 FCFA), ce qui place le titre en position baissière à court et moyen terme. La MM20 étant inférieure à la MM50, on observe un croisement baissier (death cross) confirmant la pression vendeuse. La décision technique est donc logiquement « Vente ».</w:t>
      </w:r>
    </w:p>
    <w:p>
      <w:pPr>
        <w:spacing w:after="120" w:line="276" w:lineRule="auto"/>
      </w:pPr>
      <w:r>
        <w:t>**Bandes de Bollinger :** Le cours actuel (7 890 FCFA) évolue dans la partie basse de la bande, entre la borne inférieure (6 940,77 FCFA) et la borne supérieure (9 298,23 FCFA). Cette position médiane-basse, sans franchissement des bornes, justifie une décision « Neutre » : le titre n'est ni en surachat ni en survente, mais la largeur des bandes (2 357 FCFA) confirme une volatilité élevée.</w:t>
      </w:r>
    </w:p>
    <w:p>
      <w:pPr>
        <w:spacing w:after="120" w:line="276" w:lineRule="auto"/>
      </w:pPr>
      <w:r>
        <w:t>**MACD :** La valeur du MACD (-219,094) est inférieure à son signal (-199,98), avec un histogramme négatif. Cette configuration indique un momentum baissier persistant, bien que l'écart entre les deux lignes reste modéré. La décision « Vente » est cohérente avec cette divergence négative.</w:t>
      </w:r>
    </w:p>
    <w:p>
      <w:pPr>
        <w:spacing w:after="120" w:line="276" w:lineRule="auto"/>
      </w:pPr>
      <w:r>
        <w:t>**RSI :** À 40,049, le RSI se situe en zone neutre (30-70), sans signal de survente (&lt;30) ni de surachat (&gt;70). Cette valeur médiane-basse suggère une absence de pression acheteuse forte, mais aussi un potentiel de rebond limité à court terme. La décision « Neutre » est appropriée.</w:t>
      </w:r>
    </w:p>
    <w:p>
      <w:pPr>
        <w:spacing w:after="120" w:line="276" w:lineRule="auto"/>
      </w:pPr>
      <w:r>
        <w:t>**Stochastique :** Le %K (57,353) et le %D (56,409) évoluent en zone médiane, avec un %K légèrement supérieur au %D, ce qui pourrait préfigurer un croisement haussier de faible ampleur. Cependant, l'absence de franchissement des seuils de 20 ou 80 maintient la décision « Neutre ».</w:t>
      </w:r>
    </w:p>
    <w:p>
      <w:pPr>
        <w:spacing w:after="120" w:line="276" w:lineRule="auto"/>
      </w:pPr>
      <w:r>
        <w:t>**Conclusion technique :** La convergence des signaux baissiers (MM, MACD) et neutres (Bollinger, RSI, Stochastique) dresse un tableau technique mitigé à tendance baissière. Le titre est sous pression à court terme, sans être en zone de survente extrême, ce qui laisse présager une poursuite de la consolidation, voire une nouvelle jambe de baisse, avant un éventuel rebond.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a réalisé un chiffre d'affaires de 340,831 milliards FCFA, en croissance de +21,97% par rapport à 2024, portée par une hausse des volumes vendus et des prix moyens de vente. Le résultat net s'établit à 24,972 milliards FCFA, en progression de +32,9%, avec une marge nette de 7,33% (contre 6,7% en 2024). Le ROE atteint 18,10% (&gt;15% = excellent), confirmant la capacité de l'entreprise à générer des profits sur ses fonds propres, tandis que le ROA de 11,06% traduit une bonne efficacité dans l'utilisation des actifs. La structure financière est solide : capitaux propres de 137,937 milliards FCFA, autonomie financière de 61,08%, et ratio d'endettement maîtrisé à 25,81%. Le BFR de 65,389 milliards FCFA et la trésorerie nette négative (-15,413 milliards FCFA) constituent des points de vigilance, bien que le flux opérationnel positif (37,612 milliards FCFA) couvre largement les investissements (-23,419 milliards FCFA). Les délais clients (35 jours) et la durée de stockage (72,33 jours) restent modérés pour le secteur agro-industriel. Sur la base du rapport T1 2026 (publié en 2026), le chiffre d'affaires chute de -24% à 71,8 milliards FCFA et le résultat net de -78% à 2,633 milliards FCFA, pénalisé par la baisse des cours mondiaux du caoutchouc et l'engorgement du port de San Pedro. On estime donc que l'exercice 2026 devrait être nettement moins favorable que 2025, avec une possible contraction des marges. La recommandation fondamentale est de **conserver** le titre, en surveillant l'évolution des cours du caoutchouc et la capacité de SPHC à maintenir sa structure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(PER 8,1x, P/B 1,46x, EV/EBITDA 5,1x) plaide pour une sous-évaluation relative, offrant un potentiel de rattrapage si les fondamentaux se stabilisent. Cependant, le comportement du cours sur 100 jours (+11,91% mais -1,31% en J-1) et les statistiques descriptives (kurtosis leptokurtique, skewness positif, volatilité annualisée de 43,3%) révèlent un titre volatil et asymétrique, avec un risque de pics baissiers. Les signaux techniques sont majoritairement baissiers (MM20 et MM50 au-dessus du cours, MACD négatif), bien que le RSI et le Stochastique en zone neutre n'excluent pas un rebond technique. Les fondamentaux 2025 sont solides (ROE 18,1%, croissance du CA de +22%), mais les perspectives 2026 sont assombries par la chute du T1 (CA -24%, RN -78%), ce qui pourrait peser sur la performance annuelle. Les prédictions IA pour les 10 prochains jours (7 821 → 7 679 FCFA) confirment une trajectoire baissière à court terme, en ligne avec les signaux techniques. **Recommandation finale : CONSERVER.** La convergence entre valorisation attractive, fondamentaux 2025 solides mais perspectives 2026 dégradées, et signaux techniques baissiers justifie une position d'attente. Le niveau de confiance est **Moyen** (incertitude sur les cours du caoutchouc), et le risque global est **Élevé** (volatilité 43,3%, dépendance aux matières premières). L'horizon d'investissement optimal est **moyen terme (3-12 mois)**, en attendant une clarification sur les cours mondiaux et la capacité de SPHC à redresser ses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6,194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-19.17%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μ=2,865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β=0.0209 (Défensif) — Cov=0.000001, Var(idx)=0.000070, ρ=0.005,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2,012</w:t>
            </w:r>
          </w:p>
        </w:tc>
        <w:tc>
          <w:tcPr>
            <w:tcW w:type="dxa" w:w="1440"/>
            <w:shd w:fill="FAFAFA" w:val="clear"/>
          </w:tcPr>
          <w:p>
            <w:r>
              <w:rPr>
                <w:b/>
                <w:sz w:val="17"/>
              </w:rPr>
              <w:t>2,151</w:t>
            </w:r>
          </w:p>
        </w:tc>
        <w:tc>
          <w:tcPr>
            <w:tcW w:type="dxa" w:w="1440"/>
            <w:shd w:fill="FAFAFA" w:val="clear"/>
          </w:tcPr>
          <w:p>
            <w:r>
              <w:rPr>
                <w:sz w:val="17"/>
              </w:rPr>
              <w:t>2,289</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1,918</w:t>
            </w:r>
          </w:p>
        </w:tc>
        <w:tc>
          <w:tcPr>
            <w:tcW w:type="dxa" w:w="1440"/>
            <w:shd w:fill="FAFAFA" w:val="clear"/>
          </w:tcPr>
          <w:p>
            <w:r>
              <w:rPr>
                <w:b/>
                <w:sz w:val="17"/>
              </w:rPr>
              <w:t>2,111</w:t>
            </w:r>
          </w:p>
        </w:tc>
        <w:tc>
          <w:tcPr>
            <w:tcW w:type="dxa" w:w="1440"/>
            <w:shd w:fill="FAFAFA" w:val="clear"/>
          </w:tcPr>
          <w:p>
            <w:r>
              <w:rPr>
                <w:sz w:val="17"/>
              </w:rPr>
              <w:t>2,303</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2026-10-06</w:t>
            </w:r>
          </w:p>
        </w:tc>
        <w:tc>
          <w:tcPr>
            <w:tcW w:type="dxa" w:w="1440"/>
            <w:shd w:fill="FFDCE0" w:val="clear"/>
          </w:tcPr>
          <w:p>
            <w:r>
              <w:rPr>
                <w:sz w:val="17"/>
              </w:rPr>
              <w:t>1,861</w:t>
            </w:r>
          </w:p>
        </w:tc>
        <w:tc>
          <w:tcPr>
            <w:tcW w:type="dxa" w:w="1440"/>
            <w:shd w:fill="FFDCE0" w:val="clear"/>
          </w:tcPr>
          <w:p>
            <w:r>
              <w:rPr>
                <w:b/>
                <w:sz w:val="17"/>
              </w:rPr>
              <w:t>2,095</w:t>
            </w:r>
          </w:p>
        </w:tc>
        <w:tc>
          <w:tcPr>
            <w:tcW w:type="dxa" w:w="1440"/>
            <w:shd w:fill="FFDCE0" w:val="clear"/>
          </w:tcPr>
          <w:p>
            <w:r>
              <w:rPr>
                <w:sz w:val="17"/>
              </w:rPr>
              <w:t>2,329</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1,820</w:t>
            </w:r>
          </w:p>
        </w:tc>
        <w:tc>
          <w:tcPr>
            <w:tcW w:type="dxa" w:w="1440"/>
            <w:shd w:fill="FFDCE0" w:val="clear"/>
          </w:tcPr>
          <w:p>
            <w:r>
              <w:rPr>
                <w:b/>
                <w:sz w:val="17"/>
              </w:rPr>
              <w:t>2,090</w:t>
            </w:r>
          </w:p>
        </w:tc>
        <w:tc>
          <w:tcPr>
            <w:tcW w:type="dxa" w:w="1440"/>
            <w:shd w:fill="FFDCE0" w:val="clear"/>
          </w:tcPr>
          <w:p>
            <w:r>
              <w:rPr>
                <w:sz w:val="17"/>
              </w:rPr>
              <w:t>2,360</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1,789</w:t>
            </w:r>
          </w:p>
        </w:tc>
        <w:tc>
          <w:tcPr>
            <w:tcW w:type="dxa" w:w="1440"/>
            <w:shd w:fill="FFDCE0" w:val="clear"/>
          </w:tcPr>
          <w:p>
            <w:r>
              <w:rPr>
                <w:b/>
                <w:sz w:val="17"/>
              </w:rPr>
              <w:t>2,090</w:t>
            </w:r>
          </w:p>
        </w:tc>
        <w:tc>
          <w:tcPr>
            <w:tcW w:type="dxa" w:w="1440"/>
            <w:shd w:fill="FFDCE0" w:val="clear"/>
          </w:tcPr>
          <w:p>
            <w:r>
              <w:rPr>
                <w:sz w:val="17"/>
              </w:rPr>
              <w:t>2,392</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1,762</w:t>
            </w:r>
          </w:p>
        </w:tc>
        <w:tc>
          <w:tcPr>
            <w:tcW w:type="dxa" w:w="1440"/>
            <w:shd w:fill="FFDCE0" w:val="clear"/>
          </w:tcPr>
          <w:p>
            <w:r>
              <w:rPr>
                <w:b/>
                <w:sz w:val="17"/>
              </w:rPr>
              <w:t>2,093</w:t>
            </w:r>
          </w:p>
        </w:tc>
        <w:tc>
          <w:tcPr>
            <w:tcW w:type="dxa" w:w="1440"/>
            <w:shd w:fill="FFDCE0" w:val="clear"/>
          </w:tcPr>
          <w:p>
            <w:r>
              <w:rPr>
                <w:sz w:val="17"/>
              </w:rPr>
              <w:t>2,424</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1,739</w:t>
            </w:r>
          </w:p>
        </w:tc>
        <w:tc>
          <w:tcPr>
            <w:tcW w:type="dxa" w:w="1440"/>
            <w:shd w:fill="FFDCE0" w:val="clear"/>
          </w:tcPr>
          <w:p>
            <w:r>
              <w:rPr>
                <w:b/>
                <w:sz w:val="17"/>
              </w:rPr>
              <w:t>2,097</w:t>
            </w:r>
          </w:p>
        </w:tc>
        <w:tc>
          <w:tcPr>
            <w:tcW w:type="dxa" w:w="1440"/>
            <w:shd w:fill="FFDCE0" w:val="clear"/>
          </w:tcPr>
          <w:p>
            <w:r>
              <w:rPr>
                <w:sz w:val="17"/>
              </w:rPr>
              <w:t>2,455</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1,717</w:t>
            </w:r>
          </w:p>
        </w:tc>
        <w:tc>
          <w:tcPr>
            <w:tcW w:type="dxa" w:w="1440"/>
            <w:shd w:fill="FFDCE0" w:val="clear"/>
          </w:tcPr>
          <w:p>
            <w:r>
              <w:rPr>
                <w:b/>
                <w:sz w:val="17"/>
              </w:rPr>
              <w:t>2,101</w:t>
            </w:r>
          </w:p>
        </w:tc>
        <w:tc>
          <w:tcPr>
            <w:tcW w:type="dxa" w:w="1440"/>
            <w:shd w:fill="FFDCE0" w:val="clear"/>
          </w:tcPr>
          <w:p>
            <w:r>
              <w:rPr>
                <w:sz w:val="17"/>
              </w:rPr>
              <w:t>2,484</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1,697</w:t>
            </w:r>
          </w:p>
        </w:tc>
        <w:tc>
          <w:tcPr>
            <w:tcW w:type="dxa" w:w="1440"/>
            <w:shd w:fill="FFDCE0" w:val="clear"/>
          </w:tcPr>
          <w:p>
            <w:r>
              <w:rPr>
                <w:b/>
                <w:sz w:val="17"/>
              </w:rPr>
              <w:t>2,104</w:t>
            </w:r>
          </w:p>
        </w:tc>
        <w:tc>
          <w:tcPr>
            <w:tcW w:type="dxa" w:w="1440"/>
            <w:shd w:fill="FFDCE0" w:val="clear"/>
          </w:tcPr>
          <w:p>
            <w:r>
              <w:rPr>
                <w:sz w:val="17"/>
              </w:rPr>
              <w:t>2,512</w:t>
            </w:r>
          </w:p>
        </w:tc>
        <w:tc>
          <w:tcPr>
            <w:tcW w:type="dxa" w:w="1440"/>
            <w:shd w:fill="FFDCE0" w:val="clear"/>
          </w:tcPr>
          <w:p>
            <w:r>
              <w:rPr>
                <w:b/>
                <w:color w:val="C00000"/>
                <w:sz w:val="17"/>
              </w:rPr>
              <w:t>-2.1%</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1,678</w:t>
            </w:r>
          </w:p>
        </w:tc>
        <w:tc>
          <w:tcPr>
            <w:tcW w:type="dxa" w:w="1440"/>
            <w:shd w:fill="FAFAFA" w:val="clear"/>
          </w:tcPr>
          <w:p>
            <w:r>
              <w:rPr>
                <w:b/>
                <w:sz w:val="17"/>
              </w:rPr>
              <w:t>2,108</w:t>
            </w:r>
          </w:p>
        </w:tc>
        <w:tc>
          <w:tcPr>
            <w:tcW w:type="dxa" w:w="1440"/>
            <w:shd w:fill="FAFAFA" w:val="clear"/>
          </w:tcPr>
          <w:p>
            <w:r>
              <w:rPr>
                <w:sz w:val="17"/>
              </w:rPr>
              <w:t>2,538</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 RAPPORT D'ANALYSE FINANCIÈRE — SETAO (STAC)</w:t>
        <w:br/>
        <w:t>### Bourse Régionale des Valeurs Mobilières (BRVM) — Secteur BTP &amp; Études Techniques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**28,90 milliards FCFA**, SETAO se situe dans la fourchette basse des valeurs cotées à la BRVM, ce qui traduit une taille modeste à l'échelle régionale mais reste significatif pour une entreprise du secteur BTP ivoirien. Le **BPA s'établit à -7 FCFA/action**, confirmant que chaque action détruit de la valeur en 2025, ce qui rend le **PER de -299,3x** non interprétable en termes classiques (un PER négatif signale une société déficitaire, non une sous-évaluation). Le **P/B de 81,00x** constitue un signal d'alerte majeur : le marché valorise l'action à 81 fois sa valeur comptable, alors que le seuil de prudence généralement admis est de 4x — cette prime extrême s'explique par des capitaux propres quasi-inexistants (356,75 M FCFA) face à une capitalisation de 28,90 Mds FCFA, et traduit une décorrélation totale entre le prix de marché et la réalité bilancielle. En l'absence d'EBITDA positif (EBE de -650,13 M FCFA en 2025), le ratio EV/EBITDA n'est pas calculable et n'aurait aucun sens économique : la valeur d'entreprise ne peut être comparée à une capacité opérationnelle négative. En synthèse, la valorisation boursière de SETAO est **hors-sol** : elle repose sur des anticipations spéculatives (projet aéroport d'Abidjan) et non sur des fondamentaux mesurables.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-19,17%**, avec une chute brutale de **-6,52% lors de la dernière séance (J-1)**, signalant une pression vendeuse récente et un momentum clairement négatif. Le titre évolue dans un range de trading très large, entre un plus haut de **3 640 FCFA** et un plus bas de **2 085 FCFA**, soit un écart de 74,6% qui témoigne d'une forte instabilité ; le cours actuel de **2 150 FCFA** se situe dans le quart inférieur de ce range, à seulement 3,1% au-dessus du plancher, ce qui traduit une tendance **baissière structurelle** sur la période. Les statistiques descriptives révèlent une **moyenne de 2 865 FCFA** légèrement supérieure à la **médiane de 2 808 FCFA**, avec un **mode à 3 500 FCFA** : cet écart modéré indique une distribution faiblement asymétrique, mais le mode élevé (3 500 FCFA) par rapport au cours actuel (2 150 FCFA) confirme que le titre a passé une grande partie de la période à des niveaux bien supérieurs avant de décrocher. L'**écart-type de 407 FCFA** avec un **coefficient de variation de 14,2%** signale une dispersion modérée du cours autour de sa moyenne, tandis que le **kurtosis de -0,760 (mésokurtique)** indique une distribution proche de la normale, sans risque excessif de pics extrêmes, et le **skewness de 0,236** confirme une légère asymétrie positive (queue de distribution étirée vers les hausses). La **volatilité annualisée de 61,6%** classe le titre dans la catégorie **très élevée** (&gt;30%), ce qui est cohérent avec un profil spéculatif et un flottant probablement étroit. En conclusion, le comportement du cours est celui d'une action **baissière, volatile et spéculative**, dont la récente accélération à la baisse (-6,52% en une séance) appelle à la prudence.</w:t>
      </w:r>
    </w:p>
    <w:p>
      <w:pPr>
        <w:spacing w:after="120" w:line="276" w:lineRule="auto"/>
      </w:pPr>
      <w:r>
        <w:t>---</w:t>
      </w:r>
    </w:p>
    <w:p>
      <w:pPr>
        <w:spacing w:after="120" w:line="276" w:lineRule="auto"/>
      </w:pPr>
      <w:r>
        <w:t>## PARTIE 2 : ANALYSE TECHNIQUE DÉTAILLÉE</w:t>
      </w:r>
    </w:p>
    <w:p>
      <w:pPr>
        <w:spacing w:after="120" w:line="276" w:lineRule="auto"/>
      </w:pPr>
      <w:r>
        <w:t>**Moyennes Mobiles** : La MM20 (2 361 FCFA) et la MM50 (2 566,8 FCFA) se situent toutes deux **au-dessus du cours actuel** (2 150 FCFA), avec la MM20 sous la MM50, configuration typique d'un **croisement baissier (death cross)** confirmant la tendance descendante. Le cours évoluant sous ses deux moyennes, la pression vendeuse est structurelle et la décision technique **"Vente"** est pleinement justifiée.</w:t>
      </w:r>
    </w:p>
    <w:p>
      <w:pPr>
        <w:spacing w:after="120" w:line="276" w:lineRule="auto"/>
      </w:pPr>
      <w:r>
        <w:t>**Bandes de Bollinger** : Le cours (2 150 FCFA) se situe dans la moitié inférieure de la bande, entre la borne inférieure (1 993,22 FCFA) et la borne supérieure (2 728,78 FCFA), sans toucher les extrêmes. L'amplitude de la bande (735 FCFA, soit 34% du cours) reflète une **volatilité élevée**, et la position du cours à 21% de la borne basse suggère une pression baissière persistante mais sans survente extrême — la décision **"Neutre"** traduit cette absence de signal fort.</w:t>
      </w:r>
    </w:p>
    <w:p>
      <w:pPr>
        <w:spacing w:after="120" w:line="276" w:lineRule="auto"/>
      </w:pPr>
      <w:r>
        <w:t>**MACD** : La valeur du MACD (-122,042) est **légèrement supérieure à son signal** (-125,723), générant un croisement haussier marginal et une décision **"Achat"**. Toutefois, les deux lignes restent profondément en territoire négatif, ce qui limite la portée de ce signal : il s'agit davantage d'un **ralentissement de la baisse** que d'un véritable retournement.</w:t>
      </w:r>
    </w:p>
    <w:p>
      <w:pPr>
        <w:spacing w:after="120" w:line="276" w:lineRule="auto"/>
      </w:pPr>
      <w:r>
        <w:t>**RSI** : À **34,082**, le RSI se situe dans la zone neutre basse (30-70), à proximité du seuil de survente (30) sans l'atteindre. Cette valeur indique une **faiblesse persistante** du titre sans capitulation, justifiant la décision **"Neutre"** — un rebond technique est possible mais non confirmé.</w:t>
      </w:r>
    </w:p>
    <w:p>
      <w:pPr>
        <w:spacing w:after="120" w:line="276" w:lineRule="auto"/>
      </w:pPr>
      <w:r>
        <w:t>**Stochastique** : Le %K (13,83) est très bas et nettement inférieur au %D (39,101), ce qui place le titre en **zone de survente** (%K &lt; 20). La décision **"Achat"** repose sur l'anticipation d'un rebond technique, mais l'absence de croisement haussier confirmé (%K franchissant %D à la hausse) rend ce signal **fragile et prématuré**.</w:t>
      </w:r>
    </w:p>
    <w:p>
      <w:pPr>
        <w:spacing w:after="120" w:line="276" w:lineRule="auto"/>
      </w:pPr>
      <w:r>
        <w:t>**Conclusion technique** : Les indicateurs sont **divergents** — les moyennes mobiles et la tendance de fond sont clairement baissières ("Vente"), tandis que le MACD et le stochastique suggèrent un potentiel rebond technique ("Achat"), et le RSI/Bollinger restent neutres. Cette configuration est typique d'une **phase de consolidation baissière** où les signaux d'achat sont des pièges potentiels tant que le cours reste sous la MM20 (2 361 FCFA). La prudence domine : aucun signal haussier fort n'est confirmé.</w:t>
      </w:r>
    </w:p>
    <w:p>
      <w:pPr>
        <w:spacing w:after="120" w:line="276" w:lineRule="auto"/>
      </w:pPr>
      <w:r>
        <w:t>---</w:t>
      </w:r>
    </w:p>
    <w:p>
      <w:pPr>
        <w:spacing w:after="120" w:line="276" w:lineRule="auto"/>
      </w:pPr>
      <w:r>
        <w:t>## PARTIE 3 : ANALYSE FONDAMENTALE (SECTION CRITIQUE)</w:t>
      </w:r>
    </w:p>
    <w:p>
      <w:pPr>
        <w:spacing w:after="120" w:line="276" w:lineRule="auto"/>
      </w:pPr>
      <w:r>
        <w:t>**Données structurées de l'exercice 2025 (états financiers officiels)** : En 2025, SETAO affiche un **chiffre d'affaires de 3 878 M FCFA**, en **croissance spectaculaire de +116,26%** par rapport à 2024 (1 793 M FCFA), portée par la reprise des travaux préliminaires de l'aéroport d'Abidjan. Cependant, cette dynamique commerciale ne se traduit pas en rentabilité : le **résultat net reste négatif à -96,56 M FCFA** (marge nette de -2,49%), l'**EBE est profondément déficitaire à -650,13 M FCFA**, et le **résultat d'exploitation s'établit à -771,95 M FCFA** (marge opérationnelle de -19,90%). Le **ROE est catastrophique à -27,07%** (vs seuil d'excellence de 15%) et le **ROA à -1,77%**, confirmant une destruction de valeur. La structure financière est **très dégradée** : l'**autonomie financière n'est que de 6,55%** (seuil sain : &gt;30%), le **ratio d'endettement atteint 93,45%**, et la **capacité de remboursement est de 77,53 années** de CAF — un niveau insoutenable. Point positif pour un profil BTP : le **BFR est négatif à -930,47 M FCFA** (favorable, car les clients financent l'exploitation), et la **trésorerie nette reste positive à 1 330 M FCFA**, bien que le **flux opérationnel soit négatif à -2 212 M FCFA**, signalant une consommation de cash préoccupante.</w:t>
      </w:r>
    </w:p>
    <w:p>
      <w:pPr>
        <w:spacing w:after="120" w:line="276" w:lineRule="auto"/>
      </w:pPr>
      <w:r>
        <w:t>**Estimations basées sur les rapports trimestriels 2025** : Le rapport du **T3 2025 (30/09/2025)** indique un CA cumulé de 3 456 M FCFA (+176% sur 9 mois) et une **perte nette réduite de 22% à -477 M FCFA**, avec une perte d'exploitation divisée par deux (-456 M FCFA vs -921 M FCFA). Le rapport du **S1 2025 (30/06/2025)** faisait état d'un CA de 2 271 M FCFA (+290%) mais d'une perte nette aggravée de 77% à -557 M FCFA, illustrant le paradoxe d'une croissance non rentable. Sur cette base, on estime que **l'exercice 2025 devrait clôturer sur un CA proche de 4 Mds FCFA** (prévision direction), avec une **perte nette annuelle réduite autour de -100 M FCFA** — cohérent avec le résultat net officiel de -96,56 M FCFA. La trajectoire est donc celle d'une **amélioration progressive mais insuffisante** : la société réduit ses pertes mais reste loin de la rentabilité.</w:t>
      </w:r>
    </w:p>
    <w:p>
      <w:pPr>
        <w:spacing w:after="120" w:line="276" w:lineRule="auto"/>
      </w:pPr>
      <w:r>
        <w:t>**Évolution pluriannuelle** : Les rapports antérieurs (2020-2021) montrent une entreprise autrefois rentable (résultat net de 2,32 Mds FCFA en 2020, marge nette de 14,6%), avant un effondrement à partir de 2022-2023 (perte de 1 118 M FCFA en 2023, CA chutant à 1 793 M FCFA en 2024). La **dépendance à un seul projet (aéroport d'Abidjan)** et l'**absence de dividendes depuis 2018** constituent des risques majeurs. En conclusion fondamentale, SETAO présente un **profil de retournement spéculatif** : la reprise d'activité est réelle mais la rentabilité opérationnelle reste profondément déficitaire, la structure financière est fragile (capitaux propres de 356,75 M FCFA seulement), et la survie à moyen terme dépend de la sécurisation de nouveaux contrats au-delà de l'aéroport. **Recommandation fondamentale : VENTE / CONSERVER avec prudence extrême** — le titre n'est adapté qu'aux investisseurs spéculatifs acceptant un risque de perte en capital élevé.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baissière préoccupante**. Sur le plan de la **valorisation (Partie 0)**, les ratios sont aberrants : PER négatif (-299,3x), P/B de 81,00x (vs seuil de 4x), BPA de -7 FCFA — le marché valorise SETAO à 81 fois ses capitaux propres alors que l'entreprise est déficitaire, ce qui constitue une **surévaluation manifeste** portée par la spéculation sur le projet aéroportuaire. Le **comportement du cours (Partie 1)** est tout aussi défavorable : tendance baissière de -19,17% sur 100 jours, chute de -6,52% en J-1, volatilité annualisée de 61,6% (très élevée), cours proche du plancher (2 150 FCFA vs plus bas de 2 085 FCFA), et distribution mésokurtique sans signal de retournement. Les **signaux techniques (Partie 2)** sont divergents mais globalement négatifs : les moyennes mobiles confirment la tendance baissière ("Vente"), le MACD et le stochastique suggèrent un rebond technique fragile ("Achat"), mais le RSI (34,08) et les Bollinger restent neutres — aucun signal haussier fort n'est validé. Les **fondamentaux (Partie 3)** sont mitigés : croissance du CA de +116,26% en 2025 (3 878 M FCFA) mais perte nette de -96,56 M FCFA, ROE de -27,07%, autonomie financière de 6,55%, et capacité de remboursement de 77,53 années — la société est **techniquement insolvable à long terme** sans recapitalisation. Enfin, les **prédictions IA (J+1 à J+10)** anticipent une **poursuite de la baisse** : 2 151 FCFA (J+1), 2 111 FCFA (J+2), 2 095 FCFA (J+3), puis stabilisation autour de 2 090 FCFA — cette trajectoire **confirme la tendance baissière** et contredit les signaux d'achat techniques marginaux.</w:t>
      </w:r>
    </w:p>
    <w:p>
      <w:pPr>
        <w:spacing w:after="120" w:line="276" w:lineRule="auto"/>
      </w:pPr>
      <w:r>
        <w:t>**Recommandation finale : VENTE** (avec un biais vers **VENTE FORTE** pour les investisseurs averses au risque). La convergence entre valorisation surévaluée, tendance baissière, fondamentaux fragiles et prédictions IA négatives est **trop défavorable** pour justifier une exposition. Le niveau de confiance est **Élevé** (les signaux convergent), le niveau de risque global est **Élevé** (volatilité de 61,6%, structure financière dégradée, dépendance à un projet unique), et l'horizon d'investissement recommandé est **court terme (&lt;3 mois)** pour les spéculateurs cherchant un rebond technique — mais avec un stop-loss strict à 2 085 FCFA (plus bas récent). Pour les investisseurs long terme, **aucune position n'est justifiée** tant que la rentabilité opérationnelle n'est pas rétablie et que la structure financière n'est pas assainie.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3,650 titres</w:t>
            </w:r>
          </w:p>
        </w:tc>
        <w:tc>
          <w:tcPr>
            <w:tcW w:type="dxa" w:w="2268"/>
            <w:shd w:fill="FFF2CC" w:val="clear"/>
          </w:tcPr>
          <w:p>
            <w:r>
              <w:rPr>
                <w:b/>
                <w:color w:val="503200"/>
                <w:sz w:val="16"/>
              </w:rPr>
              <w:t xml:space="preserve">Cours actuel : </w:t>
            </w:r>
            <w:r>
              <w:rPr>
                <w:color w:val="000000"/>
                <w:sz w:val="17"/>
              </w:rPr>
              <w:t>21,970 FCFA</w:t>
            </w:r>
          </w:p>
          <w:p>
            <w:r>
              <w:rPr>
                <w:b/>
                <w:color w:val="503200"/>
                <w:sz w:val="16"/>
              </w:rPr>
              <w:t xml:space="preserve">Var. 100 jours : </w:t>
            </w:r>
            <w:r>
              <w:rPr>
                <w:b/>
                <w:color w:val="007800"/>
                <w:sz w:val="17"/>
              </w:rPr>
              <w:t>+2.19%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5.03% (Moyenne) — μ=22,544 FCFA, σ=1,134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β=0.4459 (Défensif) — Cov=0.000031, Var(idx)=0.000070, ρ=0.159,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2026-10-02</w:t>
            </w:r>
          </w:p>
        </w:tc>
        <w:tc>
          <w:tcPr>
            <w:tcW w:type="dxa" w:w="1440"/>
            <w:shd w:fill="C6EFCE" w:val="clear"/>
          </w:tcPr>
          <w:p>
            <w:r>
              <w:rPr>
                <w:sz w:val="17"/>
              </w:rPr>
              <w:t>21,784</w:t>
            </w:r>
          </w:p>
        </w:tc>
        <w:tc>
          <w:tcPr>
            <w:tcW w:type="dxa" w:w="1440"/>
            <w:shd w:fill="C6EFCE" w:val="clear"/>
          </w:tcPr>
          <w:p>
            <w:r>
              <w:rPr>
                <w:b/>
                <w:sz w:val="17"/>
              </w:rPr>
              <w:t>22,714</w:t>
            </w:r>
          </w:p>
        </w:tc>
        <w:tc>
          <w:tcPr>
            <w:tcW w:type="dxa" w:w="1440"/>
            <w:shd w:fill="C6EFCE" w:val="clear"/>
          </w:tcPr>
          <w:p>
            <w:r>
              <w:rPr>
                <w:sz w:val="17"/>
              </w:rPr>
              <w:t>23,644</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2026-10-05</w:t>
            </w:r>
          </w:p>
        </w:tc>
        <w:tc>
          <w:tcPr>
            <w:tcW w:type="dxa" w:w="1440"/>
            <w:shd w:fill="C6EFCE" w:val="clear"/>
          </w:tcPr>
          <w:p>
            <w:r>
              <w:rPr>
                <w:sz w:val="17"/>
              </w:rPr>
              <w:t>21,731</w:t>
            </w:r>
          </w:p>
        </w:tc>
        <w:tc>
          <w:tcPr>
            <w:tcW w:type="dxa" w:w="1440"/>
            <w:shd w:fill="C6EFCE" w:val="clear"/>
          </w:tcPr>
          <w:p>
            <w:r>
              <w:rPr>
                <w:b/>
                <w:sz w:val="17"/>
              </w:rPr>
              <w:t>23,067</w:t>
            </w:r>
          </w:p>
        </w:tc>
        <w:tc>
          <w:tcPr>
            <w:tcW w:type="dxa" w:w="1440"/>
            <w:shd w:fill="C6EFCE" w:val="clear"/>
          </w:tcPr>
          <w:p>
            <w:r>
              <w:rPr>
                <w:sz w:val="17"/>
              </w:rPr>
              <w:t>24,403</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2026-10-06</w:t>
            </w:r>
          </w:p>
        </w:tc>
        <w:tc>
          <w:tcPr>
            <w:tcW w:type="dxa" w:w="1440"/>
            <w:shd w:fill="C6EFCE" w:val="clear"/>
          </w:tcPr>
          <w:p>
            <w:r>
              <w:rPr>
                <w:sz w:val="17"/>
              </w:rPr>
              <w:t>21,711</w:t>
            </w:r>
          </w:p>
        </w:tc>
        <w:tc>
          <w:tcPr>
            <w:tcW w:type="dxa" w:w="1440"/>
            <w:shd w:fill="C6EFCE" w:val="clear"/>
          </w:tcPr>
          <w:p>
            <w:r>
              <w:rPr>
                <w:b/>
                <w:sz w:val="17"/>
              </w:rPr>
              <w:t>23,369</w:t>
            </w:r>
          </w:p>
        </w:tc>
        <w:tc>
          <w:tcPr>
            <w:tcW w:type="dxa" w:w="1440"/>
            <w:shd w:fill="C6EFCE" w:val="clear"/>
          </w:tcPr>
          <w:p>
            <w:r>
              <w:rPr>
                <w:sz w:val="17"/>
              </w:rPr>
              <w:t>25,027</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2026-10-07</w:t>
            </w:r>
          </w:p>
        </w:tc>
        <w:tc>
          <w:tcPr>
            <w:tcW w:type="dxa" w:w="1440"/>
            <w:shd w:fill="C6EFCE" w:val="clear"/>
          </w:tcPr>
          <w:p>
            <w:r>
              <w:rPr>
                <w:sz w:val="17"/>
              </w:rPr>
              <w:t>21,693</w:t>
            </w:r>
          </w:p>
        </w:tc>
        <w:tc>
          <w:tcPr>
            <w:tcW w:type="dxa" w:w="1440"/>
            <w:shd w:fill="C6EFCE" w:val="clear"/>
          </w:tcPr>
          <w:p>
            <w:r>
              <w:rPr>
                <w:b/>
                <w:sz w:val="17"/>
              </w:rPr>
              <w:t>23,628</w:t>
            </w:r>
          </w:p>
        </w:tc>
        <w:tc>
          <w:tcPr>
            <w:tcW w:type="dxa" w:w="1440"/>
            <w:shd w:fill="C6EFCE" w:val="clear"/>
          </w:tcPr>
          <w:p>
            <w:r>
              <w:rPr>
                <w:sz w:val="17"/>
              </w:rPr>
              <w:t>25,564</w:t>
            </w:r>
          </w:p>
        </w:tc>
        <w:tc>
          <w:tcPr>
            <w:tcW w:type="dxa" w:w="1440"/>
            <w:shd w:fill="C6EFCE" w:val="clear"/>
          </w:tcPr>
          <w:p>
            <w:r>
              <w:rPr>
                <w:b/>
                <w:color w:val="008000"/>
                <w:sz w:val="17"/>
              </w:rPr>
              <w:t>+7.5%</w:t>
            </w:r>
          </w:p>
        </w:tc>
      </w:tr>
      <w:tr>
        <w:tc>
          <w:tcPr>
            <w:tcW w:type="dxa" w:w="1440"/>
            <w:shd w:fill="C6EFCE" w:val="clear"/>
          </w:tcPr>
          <w:p>
            <w:r>
              <w:rPr>
                <w:sz w:val="17"/>
              </w:rPr>
              <w:t>J+5  ⭐</w:t>
            </w:r>
          </w:p>
        </w:tc>
        <w:tc>
          <w:tcPr>
            <w:tcW w:type="dxa" w:w="1440"/>
            <w:shd w:fill="C6EFCE" w:val="clear"/>
          </w:tcPr>
          <w:p>
            <w:r>
              <w:rPr>
                <w:sz w:val="17"/>
              </w:rPr>
              <w:t>2026-10-08</w:t>
            </w:r>
          </w:p>
        </w:tc>
        <w:tc>
          <w:tcPr>
            <w:tcW w:type="dxa" w:w="1440"/>
            <w:shd w:fill="C6EFCE" w:val="clear"/>
          </w:tcPr>
          <w:p>
            <w:r>
              <w:rPr>
                <w:sz w:val="17"/>
              </w:rPr>
              <w:t>21,629</w:t>
            </w:r>
          </w:p>
        </w:tc>
        <w:tc>
          <w:tcPr>
            <w:tcW w:type="dxa" w:w="1440"/>
            <w:shd w:fill="C6EFCE" w:val="clear"/>
          </w:tcPr>
          <w:p>
            <w:r>
              <w:rPr>
                <w:b/>
                <w:sz w:val="17"/>
              </w:rPr>
              <w:t>23,810</w:t>
            </w:r>
          </w:p>
        </w:tc>
        <w:tc>
          <w:tcPr>
            <w:tcW w:type="dxa" w:w="1440"/>
            <w:shd w:fill="C6EFCE" w:val="clear"/>
          </w:tcPr>
          <w:p>
            <w:r>
              <w:rPr>
                <w:sz w:val="17"/>
              </w:rPr>
              <w:t>25,991</w:t>
            </w:r>
          </w:p>
        </w:tc>
        <w:tc>
          <w:tcPr>
            <w:tcW w:type="dxa" w:w="1440"/>
            <w:shd w:fill="C6EFCE" w:val="clear"/>
          </w:tcPr>
          <w:p>
            <w:r>
              <w:rPr>
                <w:b/>
                <w:color w:val="008000"/>
                <w:sz w:val="17"/>
              </w:rPr>
              <w:t>+8.4%</w:t>
            </w:r>
          </w:p>
        </w:tc>
      </w:tr>
      <w:tr>
        <w:tc>
          <w:tcPr>
            <w:tcW w:type="dxa" w:w="1440"/>
            <w:shd w:fill="C6EFCE" w:val="clear"/>
          </w:tcPr>
          <w:p>
            <w:r>
              <w:rPr>
                <w:sz w:val="17"/>
              </w:rPr>
              <w:t>J+6  ⭐</w:t>
            </w:r>
          </w:p>
        </w:tc>
        <w:tc>
          <w:tcPr>
            <w:tcW w:type="dxa" w:w="1440"/>
            <w:shd w:fill="C6EFCE" w:val="clear"/>
          </w:tcPr>
          <w:p>
            <w:r>
              <w:rPr>
                <w:sz w:val="17"/>
              </w:rPr>
              <w:t>2026-10-09</w:t>
            </w:r>
          </w:p>
        </w:tc>
        <w:tc>
          <w:tcPr>
            <w:tcW w:type="dxa" w:w="1440"/>
            <w:shd w:fill="C6EFCE" w:val="clear"/>
          </w:tcPr>
          <w:p>
            <w:r>
              <w:rPr>
                <w:sz w:val="17"/>
              </w:rPr>
              <w:t>21,508</w:t>
            </w:r>
          </w:p>
        </w:tc>
        <w:tc>
          <w:tcPr>
            <w:tcW w:type="dxa" w:w="1440"/>
            <w:shd w:fill="C6EFCE" w:val="clear"/>
          </w:tcPr>
          <w:p>
            <w:r>
              <w:rPr>
                <w:b/>
                <w:sz w:val="17"/>
              </w:rPr>
              <w:t>23,907</w:t>
            </w:r>
          </w:p>
        </w:tc>
        <w:tc>
          <w:tcPr>
            <w:tcW w:type="dxa" w:w="1440"/>
            <w:shd w:fill="C6EFCE" w:val="clear"/>
          </w:tcPr>
          <w:p>
            <w:r>
              <w:rPr>
                <w:sz w:val="17"/>
              </w:rPr>
              <w:t>26,305</w:t>
            </w:r>
          </w:p>
        </w:tc>
        <w:tc>
          <w:tcPr>
            <w:tcW w:type="dxa" w:w="1440"/>
            <w:shd w:fill="C6EFCE" w:val="clear"/>
          </w:tcPr>
          <w:p>
            <w:r>
              <w:rPr>
                <w:b/>
                <w:color w:val="008000"/>
                <w:sz w:val="17"/>
              </w:rPr>
              <w:t>+8.8%</w:t>
            </w:r>
          </w:p>
        </w:tc>
      </w:tr>
      <w:tr>
        <w:tc>
          <w:tcPr>
            <w:tcW w:type="dxa" w:w="1440"/>
            <w:shd w:fill="C6EFCE" w:val="clear"/>
          </w:tcPr>
          <w:p>
            <w:r>
              <w:rPr>
                <w:sz w:val="17"/>
              </w:rPr>
              <w:t>J+7  ⭐</w:t>
            </w:r>
          </w:p>
        </w:tc>
        <w:tc>
          <w:tcPr>
            <w:tcW w:type="dxa" w:w="1440"/>
            <w:shd w:fill="C6EFCE" w:val="clear"/>
          </w:tcPr>
          <w:p>
            <w:r>
              <w:rPr>
                <w:sz w:val="17"/>
              </w:rPr>
              <w:t>2026-10-12</w:t>
            </w:r>
          </w:p>
        </w:tc>
        <w:tc>
          <w:tcPr>
            <w:tcW w:type="dxa" w:w="1440"/>
            <w:shd w:fill="C6EFCE" w:val="clear"/>
          </w:tcPr>
          <w:p>
            <w:r>
              <w:rPr>
                <w:sz w:val="17"/>
              </w:rPr>
              <w:t>21,437</w:t>
            </w:r>
          </w:p>
        </w:tc>
        <w:tc>
          <w:tcPr>
            <w:tcW w:type="dxa" w:w="1440"/>
            <w:shd w:fill="C6EFCE" w:val="clear"/>
          </w:tcPr>
          <w:p>
            <w:r>
              <w:rPr>
                <w:b/>
                <w:sz w:val="17"/>
              </w:rPr>
              <w:t>24,042</w:t>
            </w:r>
          </w:p>
        </w:tc>
        <w:tc>
          <w:tcPr>
            <w:tcW w:type="dxa" w:w="1440"/>
            <w:shd w:fill="C6EFCE" w:val="clear"/>
          </w:tcPr>
          <w:p>
            <w:r>
              <w:rPr>
                <w:sz w:val="17"/>
              </w:rPr>
              <w:t>26,647</w:t>
            </w:r>
          </w:p>
        </w:tc>
        <w:tc>
          <w:tcPr>
            <w:tcW w:type="dxa" w:w="1440"/>
            <w:shd w:fill="C6EFCE" w:val="clear"/>
          </w:tcPr>
          <w:p>
            <w:r>
              <w:rPr>
                <w:b/>
                <w:color w:val="008000"/>
                <w:sz w:val="17"/>
              </w:rPr>
              <w:t>+9.4%</w:t>
            </w:r>
          </w:p>
        </w:tc>
      </w:tr>
      <w:tr>
        <w:tc>
          <w:tcPr>
            <w:tcW w:type="dxa" w:w="1440"/>
            <w:shd w:fill="C6EFCE" w:val="clear"/>
          </w:tcPr>
          <w:p>
            <w:r>
              <w:rPr>
                <w:sz w:val="17"/>
              </w:rPr>
              <w:t>J+8  ⭐</w:t>
            </w:r>
          </w:p>
        </w:tc>
        <w:tc>
          <w:tcPr>
            <w:tcW w:type="dxa" w:w="1440"/>
            <w:shd w:fill="C6EFCE" w:val="clear"/>
          </w:tcPr>
          <w:p>
            <w:r>
              <w:rPr>
                <w:sz w:val="17"/>
              </w:rPr>
              <w:t>2026-10-13</w:t>
            </w:r>
          </w:p>
        </w:tc>
        <w:tc>
          <w:tcPr>
            <w:tcW w:type="dxa" w:w="1440"/>
            <w:shd w:fill="C6EFCE" w:val="clear"/>
          </w:tcPr>
          <w:p>
            <w:r>
              <w:rPr>
                <w:sz w:val="17"/>
              </w:rPr>
              <w:t>21,449</w:t>
            </w:r>
          </w:p>
        </w:tc>
        <w:tc>
          <w:tcPr>
            <w:tcW w:type="dxa" w:w="1440"/>
            <w:shd w:fill="C6EFCE" w:val="clear"/>
          </w:tcPr>
          <w:p>
            <w:r>
              <w:rPr>
                <w:b/>
                <w:sz w:val="17"/>
              </w:rPr>
              <w:t>24,259</w:t>
            </w:r>
          </w:p>
        </w:tc>
        <w:tc>
          <w:tcPr>
            <w:tcW w:type="dxa" w:w="1440"/>
            <w:shd w:fill="C6EFCE" w:val="clear"/>
          </w:tcPr>
          <w:p>
            <w:r>
              <w:rPr>
                <w:sz w:val="17"/>
              </w:rPr>
              <w:t>27,070</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2026-10-14</w:t>
            </w:r>
          </w:p>
        </w:tc>
        <w:tc>
          <w:tcPr>
            <w:tcW w:type="dxa" w:w="1440"/>
            <w:shd w:fill="C6EFCE" w:val="clear"/>
          </w:tcPr>
          <w:p>
            <w:r>
              <w:rPr>
                <w:sz w:val="17"/>
              </w:rPr>
              <w:t>21,369</w:t>
            </w:r>
          </w:p>
        </w:tc>
        <w:tc>
          <w:tcPr>
            <w:tcW w:type="dxa" w:w="1440"/>
            <w:shd w:fill="C6EFCE" w:val="clear"/>
          </w:tcPr>
          <w:p>
            <w:r>
              <w:rPr>
                <w:b/>
                <w:sz w:val="17"/>
              </w:rPr>
              <w:t>24,363</w:t>
            </w:r>
          </w:p>
        </w:tc>
        <w:tc>
          <w:tcPr>
            <w:tcW w:type="dxa" w:w="1440"/>
            <w:shd w:fill="C6EFCE" w:val="clear"/>
          </w:tcPr>
          <w:p>
            <w:r>
              <w:rPr>
                <w:sz w:val="17"/>
              </w:rPr>
              <w:t>27,356</w:t>
            </w:r>
          </w:p>
        </w:tc>
        <w:tc>
          <w:tcPr>
            <w:tcW w:type="dxa" w:w="1440"/>
            <w:shd w:fill="C6EFCE" w:val="clear"/>
          </w:tcPr>
          <w:p>
            <w:r>
              <w:rPr>
                <w:b/>
                <w:color w:val="008000"/>
                <w:sz w:val="17"/>
              </w:rPr>
              <w:t>+10.9%</w:t>
            </w:r>
          </w:p>
        </w:tc>
      </w:tr>
      <w:tr>
        <w:tc>
          <w:tcPr>
            <w:tcW w:type="dxa" w:w="1440"/>
            <w:shd w:fill="C6EFCE" w:val="clear"/>
          </w:tcPr>
          <w:p>
            <w:r>
              <w:rPr>
                <w:sz w:val="17"/>
              </w:rPr>
              <w:t>J+10  ⭐</w:t>
            </w:r>
          </w:p>
        </w:tc>
        <w:tc>
          <w:tcPr>
            <w:tcW w:type="dxa" w:w="1440"/>
            <w:shd w:fill="C6EFCE" w:val="clear"/>
          </w:tcPr>
          <w:p>
            <w:r>
              <w:rPr>
                <w:sz w:val="17"/>
              </w:rPr>
              <w:t>2026-10-15</w:t>
            </w:r>
          </w:p>
        </w:tc>
        <w:tc>
          <w:tcPr>
            <w:tcW w:type="dxa" w:w="1440"/>
            <w:shd w:fill="C6EFCE" w:val="clear"/>
          </w:tcPr>
          <w:p>
            <w:r>
              <w:rPr>
                <w:sz w:val="17"/>
              </w:rPr>
              <w:t>21,296</w:t>
            </w:r>
          </w:p>
        </w:tc>
        <w:tc>
          <w:tcPr>
            <w:tcW w:type="dxa" w:w="1440"/>
            <w:shd w:fill="C6EFCE" w:val="clear"/>
          </w:tcPr>
          <w:p>
            <w:r>
              <w:rPr>
                <w:b/>
                <w:sz w:val="17"/>
              </w:rPr>
              <w:t>24,464</w:t>
            </w:r>
          </w:p>
        </w:tc>
        <w:tc>
          <w:tcPr>
            <w:tcW w:type="dxa" w:w="1440"/>
            <w:shd w:fill="C6EFCE" w:val="clear"/>
          </w:tcPr>
          <w:p>
            <w:r>
              <w:rPr>
                <w:sz w:val="17"/>
              </w:rPr>
              <w:t>27,633</w:t>
            </w:r>
          </w:p>
        </w:tc>
        <w:tc>
          <w:tcPr>
            <w:tcW w:type="dxa" w:w="1440"/>
            <w:shd w:fill="C6EFCE" w:val="clear"/>
          </w:tcPr>
          <w:p>
            <w:r>
              <w:rPr>
                <w:b/>
                <w:color w:val="008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(Distribution de tabac)*</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394,47 Mds FCFA, STBC figure parmi les valeurs les plus importantes de la cote BRVM, ce qui en fait un titre de référence pour les investisseurs institutionnels de la zone UEMOA. Le BPA s'établit à 2 014 FCFA par action, ce qui signifie que chaque titre génère un bénéfice net de plus de deux mille francs CFA, un niveau élevé qui traduit la forte rentabilité de la société. Le PER de 10,9x se situe dans la fourchette modérée de la BRVM (moyenne ~8-12x), indiquant que les investisseurs ne paient pas une prime excessive pour les bénéfices actuels, avec un rendement implicite de l'ordre de 9,2 %. En revanche, le P/B de 8,70x — très supérieur au seuil de 4x — révèle que le marché valorise le titre à près de neuf fois sa valeur comptable, une prime exigeante qui s'explique par la très forte rentabilité des fonds propres (ROE de 79,75 % en 2025) mais qui laisse peu de marge d'erreur. Enfin, l'EV/EBITDA de 7,8x, dans la fourchette raisonnable de 5-10x, suggère que la valeur totale de l'entreprise (incluant sa trésorerie nette positive) reste cohérente avec sa capacité opérationnelle, ce qui tempère le signal du P/B élevé.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progressé de +2,19 %, pour s'établir à 21 970 FCFA, avec une variation nulle lors de la dernière séance (J-1 : +0,00 %), signe d'une stabilisation récente après une phase de correction. Le titre a évolué dans un range de trading de 4 105 FCFA, entre un plus bas de 20 895 FCFA et un plus haut de 25 000 FCFA, ce qui traduit une tendance générale baissière depuis le sommet, le cours actuel se situant à environ 12 % en dessous du plus haut. Les statistiques descriptives révèlent une moyenne de 22 544 FCFA supérieure à la médiane de 22 218 FCFA, avec un mode à 22 000 FCFA : cet écart modéré indique une légère asymétrie, confirmée par un skewness positif de 0,538, signifiant que davantage de journées se sont situées sous la moyenne (asymétrie à droite). L'écart-type de 1 139 FCFA et le coefficient de variation de 5,1 % témoignent d'une dispersion relativement contenue du cours, tandis que le kurtosis de -0,754 (mésokurtique) suggère une distribution proche de la normale, sans risque majeur de pics extrêmes. La volatilité annualisée de 36,7 % positionne toutefois le titre dans la catégorie des valeurs à volatilité élevée (&gt;30 %), ce qui implique un risque de fluctuation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21 744,25 FCFA et la MM50 à 22 583,30 FCFA. Le cours actuel (21 970 FCFA) est supérieur à la MM20 mais inférieur à la MM50, configuration qui traduit une tentative de rebond à court terme dans une tendance de fond encore baissière. La décision technique est « Vente », la MM50 jouant le rôle de résistance dynamique que le cours n'a pas encore réussi à franchir.</w:t>
      </w:r>
    </w:p>
    <w:p>
      <w:pPr>
        <w:spacing w:after="120" w:line="276" w:lineRule="auto"/>
      </w:pPr>
      <w:r>
        <w:t>**Bandes de Bollinger** : La borne supérieure est à 22 502,39 FCFA et la borne inférieure à 20 986,11 FCFA, avec un cours actuel de 21 970 FCFA situé légèrement au-dessus du milieu de bande. Cette position médiane, dans un canal relativement étroit (largeur d'environ 1 516 FCFA), indique une volatilité modérée et une absence de signal directionnel fort. La décision est « Neutre », le cours n'étant ni en zone de surachat ni de survente.</w:t>
      </w:r>
    </w:p>
    <w:p>
      <w:pPr>
        <w:spacing w:after="120" w:line="276" w:lineRule="auto"/>
      </w:pPr>
      <w:r>
        <w:t>**MACD** : La valeur du MACD est de -221,737 contre un signal à -321,643, ce qui place la ligne MACD au-dessus de sa ligne de signal. Cette configuration positive, bien que les deux courbes restent en territoire négatif, suggère un ralentissement de la dynamique baissière et un possible début de retournement. La décision est « Achat », le momentum baissier s'essoufflant.</w:t>
      </w:r>
    </w:p>
    <w:p>
      <w:pPr>
        <w:spacing w:after="120" w:line="276" w:lineRule="auto"/>
      </w:pPr>
      <w:r>
        <w:t>**RSI** : À 47,569, le RSI se situe dans la zone neutre (30-70), légèrement en dessous du seuil de 50 qui sépare les zones haussière et baissière. Cette valeur indique un équilibre entre acheteurs et vendeurs, sans pression acheteuse ou vendeuse dominante. La décision est « Neutre », le titre n'étant ni suracheté ni survendu.</w:t>
      </w:r>
    </w:p>
    <w:p>
      <w:pPr>
        <w:spacing w:after="120" w:line="276" w:lineRule="auto"/>
      </w:pPr>
      <w:r>
        <w:t>**Stochastique** : Le %K est à 99,537 et le %D à 88,224, des niveaux très proches de 100 qui signalent une condition de surachat marquée. Le croisement du %K au-dessus du %D en zone extrême constitue un signal de retournement baissier imminent. La décision est « Vente », le risque de correction à court terme étant élevé.</w:t>
      </w:r>
    </w:p>
    <w:p>
      <w:pPr>
        <w:spacing w:after="120" w:line="276" w:lineRule="auto"/>
      </w:pPr>
      <w:r>
        <w:t>**Conclusion technique** : Les indicateurs présentent une divergence notable : le MACD génère un signal d'achat tandis que les moyennes mobiles et le stochastique recommandent la vente, le RSI et les bandes de Bollinger restant neutres. Cette configuration mitigée reflète un marché en phase de transition, où la pression baissière s'atténue mais où le surachat stochastique expose le titre à une consolidation à court terme. La prudence est de mise avant tout renforcement de position.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Sur la base des états financiers de l'exercice 2025 (données structurées brvm_donnees_financieres), SITAB affiche un chiffre d'affaires de 268,537 Mds FCFA, en croissance de 25,30 % par rapport à 2024, portée par une hausse des volumes de 5,6 % et un effet prix favorable. Le résultat net s'établit à 36,158 Mds FCFA, en recul de 17,5 % par rapport aux 44,174 Mds FCFA de 2024, sous l'effet de la hausse des droits d'accises (de 49 % à 70 % en janvier 2025) et d'un contrôle fiscal. La rentabilité reste exceptionnelle avec un ROE de 79,75 % et un ROA de 48,09 %, bien que la marge nette se soit dégradée de 20,4 % à 13,46 %. La structure financière est très saine : autonomie financière de 60,30 %, dettes financières quasi nulles (1,40 M FCFA), trésorerie nette de 30,763 Mds FCFA et liquidité générale de 224,99 %. Le BFR de 5,639 Mds FCFA et le délai client de 42,57 jours restent maîtrisés, tandis que la rotation des stocks est très rapide (5,73 jours). Les rapports trimestriels 2026 confirment une stabilisation : le T1 2026 (rapport du 31/03/2026) affiche un CA de 68,8 Mds FCFA (+12 %) et un résultat net de 9,3 Mds FCFA (-1 %), tandis que le T2 2026 (rapport du 30/06/2026) montre un CA de 70,05 Mds FCFA (+1 %) et un résultat net de 8,64 Mds FCFA (-0,2 %). On estime donc que l'exercice 2026 devrait se situer dans la continuité de 2025, avec un CA annuel projeté autour de 275-280 Mds FCFA et un résultat net de l'ordre de 35-37 Mds FCFA, la direction visant la consolidation des performances. Le principal risque reste réglementaire et fiscal (pression sur les marges), mais la trésorerie abondante et l'absence d'endettement offrent une forte capacité de résilience. La recommandation fondamentale est de **CONSERVER**, la valorisation restant attractive pour une valeur de rendement.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présente un profil contrasté : le PER de 10,9x et l'EV/EBITDA de 7,8x indiquent une valorisation raisonnable, voire légèrement sous-évaluée par rapport aux bénéfices et à la capacité opérationnelle, mais le P/B de 8,70x traduit une prime exigeante qui limite le potentiel de revalorisation à court terme. Le comportement du cours sur 100 jours est mitigé : tendance baissière depuis le plus haut de 25 000 FCFA, volatilité élevée (36,7 %), mais distribution proche de la normale (kurtosis -0,754) et skewness positif modéré, sans risque de pics extrêmes. Les signaux techniques sont divergents : le MACD est acheteur, mais les moyennes mobiles et le stochastique (en surachat à 99,5) recommandent la vente, le RSI et les Bollinger restant neutres — cette configuration suggère une consolidation à court terme avant un éventuel rebond. Les fondamentaux demeurent solides : croissance du CA de 25,3 % en 2025, ROE de 79,75 %, trésorerie nette de 30,8 Mds FCFA, absence de dettes financières, et stabilisation des performances au T1 et T2 2026 (CA +12 % et +1 %, résultat net quasi stable). Les prédictions IA anticipent une trajectoire haussière sur 10 jours, de 22 714 FCFA (J+1) à 23 810 FCFA (J+8), soit un potentiel de +8,4 % depuis le cours actuel de 21 970 FCFA, ce qui contredit le signal baissier du stochastique mais confirme le signal acheteur du MACD. Sur la base de cette synthèse, la recommandation finale est **CONSERVER**, avec un biais positif : la convergence entre la valorisation raisonnable (PER, EV/EBITDA), les fondamentaux solides (ROE, trésorerie, croissance) et les prédictions haussières soutient le titre, mais le surachat stochastique et la pression fiscale persistante incitent à la prudence avant tout renforcement. Le niveau de confiance est **Moyen**, le risque global est **Moyen** (volatilité élevée mais structure financière robuste), et l'horizon d'investissement optimal est le **moyen terme (3-12 mois)**, en attendant la confirmation d'un retournement technique et la publication des résultats du S1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189.51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7,039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007800"/>
                <w:sz w:val="17"/>
              </w:rPr>
              <w:t>+9.45%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2,750 FCFA</w:t>
            </w:r>
          </w:p>
          <w:p>
            <w:r>
              <w:rPr>
                <w:b/>
                <w:color w:val="503200"/>
                <w:sz w:val="16"/>
              </w:rPr>
              <w:t xml:space="preserve">Volatilité ann. : </w:t>
            </w:r>
            <w:r>
              <w:rPr>
                <w:color w:val="000000"/>
                <w:sz w:val="17"/>
              </w:rPr>
              <w:t>42.9%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μ=3,020 FCFA, σ=193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β=0.0910 (Défensif) — Cov=0.000006, Var(idx)=0.000070, ρ=0.028,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2,891</w:t>
            </w:r>
          </w:p>
        </w:tc>
        <w:tc>
          <w:tcPr>
            <w:tcW w:type="dxa" w:w="1440"/>
            <w:shd w:fill="FAFAFA" w:val="clear"/>
          </w:tcPr>
          <w:p>
            <w:r>
              <w:rPr>
                <w:b/>
                <w:sz w:val="17"/>
              </w:rPr>
              <w:t>3,015</w:t>
            </w:r>
          </w:p>
        </w:tc>
        <w:tc>
          <w:tcPr>
            <w:tcW w:type="dxa" w:w="1440"/>
            <w:shd w:fill="FAFAFA" w:val="clear"/>
          </w:tcPr>
          <w:p>
            <w:r>
              <w:rPr>
                <w:sz w:val="17"/>
              </w:rPr>
              <w:t>3,139</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2,830</w:t>
            </w:r>
          </w:p>
        </w:tc>
        <w:tc>
          <w:tcPr>
            <w:tcW w:type="dxa" w:w="1440"/>
            <w:shd w:fill="FAFAFA" w:val="clear"/>
          </w:tcPr>
          <w:p>
            <w:r>
              <w:rPr>
                <w:b/>
                <w:sz w:val="17"/>
              </w:rPr>
              <w:t>3,005</w:t>
            </w:r>
          </w:p>
        </w:tc>
        <w:tc>
          <w:tcPr>
            <w:tcW w:type="dxa" w:w="1440"/>
            <w:shd w:fill="FAFAFA" w:val="clear"/>
          </w:tcPr>
          <w:p>
            <w:r>
              <w:rPr>
                <w:sz w:val="17"/>
              </w:rPr>
              <w:t>3,180</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2,790</w:t>
            </w:r>
          </w:p>
        </w:tc>
        <w:tc>
          <w:tcPr>
            <w:tcW w:type="dxa" w:w="1440"/>
            <w:shd w:fill="FAFAFA" w:val="clear"/>
          </w:tcPr>
          <w:p>
            <w:r>
              <w:rPr>
                <w:b/>
                <w:sz w:val="17"/>
              </w:rPr>
              <w:t>3,004</w:t>
            </w:r>
          </w:p>
        </w:tc>
        <w:tc>
          <w:tcPr>
            <w:tcW w:type="dxa" w:w="1440"/>
            <w:shd w:fill="FAFAFA" w:val="clear"/>
          </w:tcPr>
          <w:p>
            <w:r>
              <w:rPr>
                <w:sz w:val="17"/>
              </w:rPr>
              <w:t>3,219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2,754</w:t>
            </w:r>
          </w:p>
        </w:tc>
        <w:tc>
          <w:tcPr>
            <w:tcW w:type="dxa" w:w="1440"/>
            <w:shd w:fill="FAFAFA" w:val="clear"/>
          </w:tcPr>
          <w:p>
            <w:r>
              <w:rPr>
                <w:b/>
                <w:sz w:val="17"/>
              </w:rPr>
              <w:t>3,001</w:t>
            </w:r>
          </w:p>
        </w:tc>
        <w:tc>
          <w:tcPr>
            <w:tcW w:type="dxa" w:w="1440"/>
            <w:shd w:fill="FAFAFA" w:val="clear"/>
          </w:tcPr>
          <w:p>
            <w:r>
              <w:rPr>
                <w:sz w:val="17"/>
              </w:rPr>
              <w:t>3,249</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2,721</w:t>
            </w:r>
          </w:p>
        </w:tc>
        <w:tc>
          <w:tcPr>
            <w:tcW w:type="dxa" w:w="1440"/>
            <w:shd w:fill="FAFAFA" w:val="clear"/>
          </w:tcPr>
          <w:p>
            <w:r>
              <w:rPr>
                <w:b/>
                <w:sz w:val="17"/>
              </w:rPr>
              <w:t>2,997</w:t>
            </w:r>
          </w:p>
        </w:tc>
        <w:tc>
          <w:tcPr>
            <w:tcW w:type="dxa" w:w="1440"/>
            <w:shd w:fill="FAFAFA" w:val="clear"/>
          </w:tcPr>
          <w:p>
            <w:r>
              <w:rPr>
                <w:sz w:val="17"/>
              </w:rPr>
              <w:t>3,273</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2,690</w:t>
            </w:r>
          </w:p>
        </w:tc>
        <w:tc>
          <w:tcPr>
            <w:tcW w:type="dxa" w:w="1440"/>
            <w:shd w:fill="FAFAFA" w:val="clear"/>
          </w:tcPr>
          <w:p>
            <w:r>
              <w:rPr>
                <w:b/>
                <w:sz w:val="17"/>
              </w:rPr>
              <w:t>2,992</w:t>
            </w:r>
          </w:p>
        </w:tc>
        <w:tc>
          <w:tcPr>
            <w:tcW w:type="dxa" w:w="1440"/>
            <w:shd w:fill="FAFAFA" w:val="clear"/>
          </w:tcPr>
          <w:p>
            <w:r>
              <w:rPr>
                <w:sz w:val="17"/>
              </w:rPr>
              <w:t>3,294</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2026-10-12</w:t>
            </w:r>
          </w:p>
        </w:tc>
        <w:tc>
          <w:tcPr>
            <w:tcW w:type="dxa" w:w="1440"/>
            <w:shd w:fill="FAFAFA" w:val="clear"/>
          </w:tcPr>
          <w:p>
            <w:r>
              <w:rPr>
                <w:sz w:val="17"/>
              </w:rPr>
              <w:t>2,662</w:t>
            </w:r>
          </w:p>
        </w:tc>
        <w:tc>
          <w:tcPr>
            <w:tcW w:type="dxa" w:w="1440"/>
            <w:shd w:fill="FAFAFA" w:val="clear"/>
          </w:tcPr>
          <w:p>
            <w:r>
              <w:rPr>
                <w:b/>
                <w:sz w:val="17"/>
              </w:rPr>
              <w:t>2,987</w:t>
            </w:r>
          </w:p>
        </w:tc>
        <w:tc>
          <w:tcPr>
            <w:tcW w:type="dxa" w:w="1440"/>
            <w:shd w:fill="FAFAFA" w:val="clear"/>
          </w:tcPr>
          <w:p>
            <w:r>
              <w:rPr>
                <w:sz w:val="17"/>
              </w:rPr>
              <w:t>3,312</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2026-10-13</w:t>
            </w:r>
          </w:p>
        </w:tc>
        <w:tc>
          <w:tcPr>
            <w:tcW w:type="dxa" w:w="1440"/>
            <w:shd w:fill="FAFAFA" w:val="clear"/>
          </w:tcPr>
          <w:p>
            <w:r>
              <w:rPr>
                <w:sz w:val="17"/>
              </w:rPr>
              <w:t>2,635</w:t>
            </w:r>
          </w:p>
        </w:tc>
        <w:tc>
          <w:tcPr>
            <w:tcW w:type="dxa" w:w="1440"/>
            <w:shd w:fill="FAFAFA" w:val="clear"/>
          </w:tcPr>
          <w:p>
            <w:r>
              <w:rPr>
                <w:b/>
                <w:sz w:val="17"/>
              </w:rPr>
              <w:t>2,982</w:t>
            </w:r>
          </w:p>
        </w:tc>
        <w:tc>
          <w:tcPr>
            <w:tcW w:type="dxa" w:w="1440"/>
            <w:shd w:fill="FAFAFA" w:val="clear"/>
          </w:tcPr>
          <w:p>
            <w:r>
              <w:rPr>
                <w:sz w:val="17"/>
              </w:rPr>
              <w:t>3,329</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2026-10-14</w:t>
            </w:r>
          </w:p>
        </w:tc>
        <w:tc>
          <w:tcPr>
            <w:tcW w:type="dxa" w:w="1440"/>
            <w:shd w:fill="FAFAFA" w:val="clear"/>
          </w:tcPr>
          <w:p>
            <w:r>
              <w:rPr>
                <w:sz w:val="17"/>
              </w:rPr>
              <w:t>2,609</w:t>
            </w:r>
          </w:p>
        </w:tc>
        <w:tc>
          <w:tcPr>
            <w:tcW w:type="dxa" w:w="1440"/>
            <w:shd w:fill="FAFAFA" w:val="clear"/>
          </w:tcPr>
          <w:p>
            <w:r>
              <w:rPr>
                <w:b/>
                <w:sz w:val="17"/>
              </w:rPr>
              <w:t>2,977</w:t>
            </w:r>
          </w:p>
        </w:tc>
        <w:tc>
          <w:tcPr>
            <w:tcW w:type="dxa" w:w="1440"/>
            <w:shd w:fill="FAFAFA" w:val="clear"/>
          </w:tcPr>
          <w:p>
            <w:r>
              <w:rPr>
                <w:sz w:val="17"/>
              </w:rPr>
              <w:t>3,345</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2026-10-15</w:t>
            </w:r>
          </w:p>
        </w:tc>
        <w:tc>
          <w:tcPr>
            <w:tcW w:type="dxa" w:w="1440"/>
            <w:shd w:fill="FAFAFA" w:val="clear"/>
          </w:tcPr>
          <w:p>
            <w:r>
              <w:rPr>
                <w:sz w:val="17"/>
              </w:rPr>
              <w:t>2,585</w:t>
            </w:r>
          </w:p>
        </w:tc>
        <w:tc>
          <w:tcPr>
            <w:tcW w:type="dxa" w:w="1440"/>
            <w:shd w:fill="FAFAFA" w:val="clear"/>
          </w:tcPr>
          <w:p>
            <w:r>
              <w:rPr>
                <w:b/>
                <w:sz w:val="17"/>
              </w:rPr>
              <w:t>2,972</w:t>
            </w:r>
          </w:p>
        </w:tc>
        <w:tc>
          <w:tcPr>
            <w:tcW w:type="dxa" w:w="1440"/>
            <w:shd w:fill="FAFAFA" w:val="clear"/>
          </w:tcPr>
          <w:p>
            <w:r>
              <w:rPr>
                <w:sz w:val="17"/>
              </w:rPr>
              <w:t>3,359</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TTLC (TotalEnergies Marketing Côte d'Ivoire)</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**189,51 milliards FCFA**, TTLC figure parmi les valeurs les plus importantes de la cote BRVM, ce qui traduit la solidité et la notoriété de l'émetteur. Le **BPA de 144 FCFA/action** signifie que chaque titre génère 144 FCFA de bénéfice net, un niveau correct pour un distributeur à faible marge. Le **PER de 20,9x** est nettement supérieur à la moyenne du marché BRVM (8-12x), ce qui indique que les investisseurs paient une prime significative pour les bénéfices, soit en anticipation de croissance, soit par effet de rareté sur le compartiment pétrolier. Le **P/B de 5,23x** confirme cette valorisation exigeante : le marché valorise l'entreprise à plus de 5 fois sa valeur comptable, une prime qui n'est justifiée que par la qualité des actifs et la régularité des dividendes. Enfin, l'**EV/EBITDA de 10,9x** situe la valeur d'entreprise dans la fourchette haute (10-15x), signalant une valorisation tendue par rapport à la capacité opérationnelle, ce qui invite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**variation totale de +9,45%**, mais la dernière séance (J-1) enregistre une correction marquée de **-5,94%**, signe d'une prise de bénéfices ou d'une réaction négative à une publication. Le cours actuel de **3 010 FCFA** se situe dans la moitié basse du range de trading, entre un plus bas de **2 750 FCFA** et un plus haut de **3 595 FCFA**, ce qui traduit une tendance globalement haussière mais avec une forte volatilité récente. Les statistiques descriptives révèlent une **moyenne de 3 020 FCFA** légèrement supérieure à la **médiane de 2 950 FCFA**, confirmant une asymétrie positive (skewness de 0,882) : le cours a passé plus de journées sous sa moyenne, avec quelques pics haussiers tirant la moyenne vers le haut. L'**écart-type de 194 FCFA (CV = 6,4%)** indique une dispersion modérée du cours autour de sa moyenne, tandis que le **kurtosis de -0,313** (mésokurtique) suggère une distribution proche de la normale, sans risque excessif de pics extrêmes. La **volatilité annualisée de 42,9%** classe le titre dans la catégorie des valeurs à volatilité élevée (&gt;30%), ce qui implique un risque de marché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(3 187 FCFA) et la MM50 (3 158,7 FCFA) sont toutes deux supérieures au cours actuel (3 010 FCFA), ce qui place le titre en position baissière à court terme. Toutefois, la MM20 reste au-dessus de la MM50, maintenant une configuration haussière de fond qui justifie la décision **Achat** fournie, mais avec un signal affaibli par la cassure récente du cours sous ses moyennes.</w:t>
      </w:r>
    </w:p>
    <w:p>
      <w:pPr>
        <w:spacing w:after="120" w:line="276" w:lineRule="auto"/>
      </w:pPr>
      <w:r>
        <w:t>**Bandes de Bollinger** : Le cours (3 010 FCFA) évolue dans la partie basse du canal, proche de la borne inférieure (2 968,65 FCFA) et loin de la borne supérieure (3 405,35 FCFA). Cette position suggère une pression vendeuse récente, mais aussi un potentiel de rebond technique depuis la borne basse. La décision **Neutre** reflète l'absence de signal directionnel clair, le cours n'ayant pas encore cassé la borne inférieure.</w:t>
      </w:r>
    </w:p>
    <w:p>
      <w:pPr>
        <w:spacing w:after="120" w:line="276" w:lineRule="auto"/>
      </w:pPr>
      <w:r>
        <w:t>**MACD** : La valeur du MACD (-33,361) est inférieure à son signal (-16,454), confirmant un momentum baissier en cours. La divergence négative entre les deux lignes indique que la dynamique de court terme s'est retournée à la baisse, ce qui justifie pleinement la décision **Vente** et appelle à la prudence avant tout achat.</w:t>
      </w:r>
    </w:p>
    <w:p>
      <w:pPr>
        <w:spacing w:after="120" w:line="276" w:lineRule="auto"/>
      </w:pPr>
      <w:r>
        <w:t>**RSI** : À **32,692**, le RSI se situe dans la zone neutre basse, proche du seuil de survente (30). Sans être encore en survente, cette valeur indique que le titre approche d'une zone où les vendeurs pourraient s'épuiser, ce qui justifie la décision **Neutre** et suggère qu'un rebond technique n'est pas exclu.</w:t>
      </w:r>
    </w:p>
    <w:p>
      <w:pPr>
        <w:spacing w:after="120" w:line="276" w:lineRule="auto"/>
      </w:pPr>
      <w:r>
        <w:t>**Stochastique** : Le %K (8,333) est très bas, en zone de survente, tandis que le %D (47,778) reste en zone neutre. Cet écart important entre les deux lignes suggère que le %K pourrait bientôt croiser le %D à la hausse, signal d'achat potentiel, ce qui justifie la décision **Achat** fournie, mais qui doit être confirmé par une stabilisation du cours.</w:t>
      </w:r>
    </w:p>
    <w:p>
      <w:pPr>
        <w:spacing w:after="120" w:line="276" w:lineRule="auto"/>
      </w:pPr>
      <w:r>
        <w:t>**Conclusion technique** : Les indicateurs sont **divergents** — les moyennes mobiles et le MACD sont baissiers, tandis que le RSI et le stochastique approchent de zones de survente propices à un rebond. Cette configuration suggère une phase de consolidation, voire un point d'entrée opportuniste pour les investisseurs patients, mais la cassure du cours sous la MM20 et la borne basse de Bollinger impose une confirmation avant tout achat.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milliards FCFA**, en **recul de 5,2%** par rapport à 2024 (621,0 Mds FCFA), et un **résultat net de 9,087 milliards FCFA** (-3% sur un an). La rentabilité des fonds propres (**ROE de 25,1%**) reste excellente et bien supérieure au seuil de 15%, tandis que le **ROA de 4,82%** traduit une rotation d'actifs élevée (**312,4%**), typique d'un distributeur à fort volume. La **marge nette de 1,54%** est faible mais stable, et la **marge brute de 11,81%** confirme la nature de "distributeur en volume" de l'entreprise. Sur le plan de la structure financière, l'**autonomie financière de 19,2%** est inférieure au seuil sain de 30%, et le **ratio d'endettement de 90,2%** (dettes totales/capitaux propres) est élevé, bien que la **solvabilité générale (123,8%)** reste supérieure à 1. Le **BFR est négatif (-9,662 Mds FCFA)**, ce qui est favorable car il signifie que les fournisseurs financent une partie du cycle d'exploitation, avec un **délai fournisseurs de 49,72 jours** et une **durée de stockage de 13,80 jours** bien maîtrisée. La **trésorerie nette est négative (-21,926 Mds FCFA)**, signal d'alerte sur la liquidité, et le **free cash flow de seulement 72 millions FCFA** est très faible.</w:t>
      </w:r>
    </w:p>
    <w:p>
      <w:pPr>
        <w:spacing w:after="120" w:line="276" w:lineRule="auto"/>
      </w:pPr>
      <w:r>
        <w:t>**Estimations basées sur les rapports trimestriels** : Le **rapport T1 2026 (publié en 2026)** indique un chiffre d'affaires de **154,392 Mds FCFA (+4,3%)** et un résultat net de **2,329 Mds FCFA (+5,5%)**, marquant un **retour à la croissance** après le repli de 2025. Le **rapport annuel 2025 (publié en 2026)** confirme un **résultat d'exploitation en hausse de 18%** à 12,329 Mds FCFA et un **EBE en progression de 12%** à 22,347 Mds FCFA, signe d'une meilleure maîtrise des marges malgré la baisse du CA. Le **rapport S1 2025 (daté du 30/06/2025)** et le **rapport T3 2025 (daté du 30/09/2025)** montrent une érosion du résultat net (-25,5% au S1, -30,2% au T3), principalement due à un effet de base défavorable et à une charge fiscale anticipée. Sur la base du T1 2026, on peut **estimer que l'exercice 2026 devrait renouer avec la croissance**, avec un CA annuel projeté autour de 610-620 Mds FCFA et un résultat net en légère hausse. La politique de dividende reste généreuse (**10 Mds FCFA de dividende brut en 2025, soit un payout &gt;100%**), mais cette distribution supérieure au bénéfice net puise dans les réserves et pèse sur la trésorerie.</w:t>
      </w:r>
    </w:p>
    <w:p>
      <w:pPr>
        <w:spacing w:after="120" w:line="276" w:lineRule="auto"/>
      </w:pPr>
      <w:r>
        <w:t>**Recommandation fondamentale** : TTLC est une entreprise **solide et leader de son marché**, avec un ROE élevé et une capacité à générer de la marge malgré un environnement difficile. Cependant, la **trésorerie nette négative**, le **payout &gt;100%** et la **dépendance aux crédits court terme** constituent des risques à surveiller. La reprise de la croissance au T1 2026 est un signal positif, mais la soutenabilité de la distribution et la structure financière fragile invitent à la **prudence**.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le PER de 20,9x et le P/B de 5,23x intègrent déjà une prime de qualité et de rareté, limitant le potentiel de revalorisation à court terme. Le **comportement du cours (Partie 1)** montre une tendance haussière sur 100 jours (+9,45%) mais une correction récente (-5,94%) et une volatilité élevée (42,9%), avec une asymétrie positive (skewness 0,882) qui suggère que les pics haussiers ont été plus marqués que les creux. Les **signaux techniques (Partie 2)** sont **divergents** : baissiers pour les MM et le MACD, mais proches de zones de survente pour le RSI et le stochastique, ce qui plaide pour une consolidation avant un éventuel rebond. Les **fondamentaux (Partie 3)** sont **mitigés** : ROE excellent (25,1%), BFR négatif favorable, mais trésorerie nette négative (-21,9 Mds FCFA), payout &gt;100% et endettement élevé (90,2%). Les **prédictions IA (J+1 à J+10)** anticipent une **stabilisation autour de 3 000-3 015 FCFA**, avec une légère tendance baissière (2 997 FCFA à J+10), ce qui **contredit** un scénario de rebond technique immédiat mais **confirme** la phase de consolidation.</w:t>
      </w:r>
    </w:p>
    <w:p>
      <w:pPr>
        <w:spacing w:after="120" w:line="276" w:lineRule="auto"/>
      </w:pPr>
      <w:r>
        <w:t>**Recommandation finale : CONSERVER**</w:t>
        <w:br/>
        <w:t>- **Justification** : La convergence entre une valorisation tendue, des signaux techniques divergents, des fondamentaux solides mais fragilisés par la trésorerie, et des prédictions IA stables plaide pour une **position attentiste**. Le titre offre un rendement de dividende attractif, mais le risque de correction à court terme et la soutenabilité de la distribution invitent à ne pas renforcer.</w:t>
        <w:br/>
        <w:t>- **Niveau de confiance** : **Moyen** — les signaux sont contradictoires et dépendent de la confirmation de la reprise au T2 2026.</w:t>
        <w:br/>
        <w:t>- **Niveau de risque global** : **Moyen à Élevé** — volatilité de 42,9%, trésorerie négative et payout &gt;100% sont des facteurs de risque.</w:t>
        <w:br/>
        <w:t>- **Horizon d'investissement optimal** : **Moyen terme (3-12 mois)** — le temps que la reprise de la croissance se confirme et que la structure financière s'assainisse. Un horizon court terme (&lt;3 mois) est déconseillé en raison de la volatilité et de l'absence de catalyseur immédiat.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2,643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+25.08%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9.00% (Moyenne) — μ=3,661 FCFA, σ=329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β=0.4780 (Défensif) — Cov=0.000033, Var(idx)=0.000070, ρ=0.145,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2026-10-02</w:t>
            </w:r>
          </w:p>
        </w:tc>
        <w:tc>
          <w:tcPr>
            <w:tcW w:type="dxa" w:w="1440"/>
            <w:shd w:fill="FAFAFA" w:val="clear"/>
          </w:tcPr>
          <w:p>
            <w:r>
              <w:rPr>
                <w:sz w:val="17"/>
              </w:rPr>
              <w:t>3,525</w:t>
            </w:r>
          </w:p>
        </w:tc>
        <w:tc>
          <w:tcPr>
            <w:tcW w:type="dxa" w:w="1440"/>
            <w:shd w:fill="FAFAFA" w:val="clear"/>
          </w:tcPr>
          <w:p>
            <w:r>
              <w:rPr>
                <w:b/>
                <w:sz w:val="17"/>
              </w:rPr>
              <w:t>3,661</w:t>
            </w:r>
          </w:p>
        </w:tc>
        <w:tc>
          <w:tcPr>
            <w:tcW w:type="dxa" w:w="1440"/>
            <w:shd w:fill="FAFAFA" w:val="clear"/>
          </w:tcPr>
          <w:p>
            <w:r>
              <w:rPr>
                <w:sz w:val="17"/>
              </w:rPr>
              <w:t>3,797</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2026-10-05</w:t>
            </w:r>
          </w:p>
        </w:tc>
        <w:tc>
          <w:tcPr>
            <w:tcW w:type="dxa" w:w="1440"/>
            <w:shd w:fill="FAFAFA" w:val="clear"/>
          </w:tcPr>
          <w:p>
            <w:r>
              <w:rPr>
                <w:sz w:val="17"/>
              </w:rPr>
              <w:t>3,462</w:t>
            </w:r>
          </w:p>
        </w:tc>
        <w:tc>
          <w:tcPr>
            <w:tcW w:type="dxa" w:w="1440"/>
            <w:shd w:fill="FAFAFA" w:val="clear"/>
          </w:tcPr>
          <w:p>
            <w:r>
              <w:rPr>
                <w:b/>
                <w:sz w:val="17"/>
              </w:rPr>
              <w:t>3,654</w:t>
            </w:r>
          </w:p>
        </w:tc>
        <w:tc>
          <w:tcPr>
            <w:tcW w:type="dxa" w:w="1440"/>
            <w:shd w:fill="FAFAFA" w:val="clear"/>
          </w:tcPr>
          <w:p>
            <w:r>
              <w:rPr>
                <w:sz w:val="17"/>
              </w:rPr>
              <w:t>3,845</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2026-10-06</w:t>
            </w:r>
          </w:p>
        </w:tc>
        <w:tc>
          <w:tcPr>
            <w:tcW w:type="dxa" w:w="1440"/>
            <w:shd w:fill="FAFAFA" w:val="clear"/>
          </w:tcPr>
          <w:p>
            <w:r>
              <w:rPr>
                <w:sz w:val="17"/>
              </w:rPr>
              <w:t>3,410</w:t>
            </w:r>
          </w:p>
        </w:tc>
        <w:tc>
          <w:tcPr>
            <w:tcW w:type="dxa" w:w="1440"/>
            <w:shd w:fill="FAFAFA" w:val="clear"/>
          </w:tcPr>
          <w:p>
            <w:r>
              <w:rPr>
                <w:b/>
                <w:sz w:val="17"/>
              </w:rPr>
              <w:t>3,645</w:t>
            </w:r>
          </w:p>
        </w:tc>
        <w:tc>
          <w:tcPr>
            <w:tcW w:type="dxa" w:w="1440"/>
            <w:shd w:fill="FAFAFA" w:val="clear"/>
          </w:tcPr>
          <w:p>
            <w:r>
              <w:rPr>
                <w:sz w:val="17"/>
              </w:rPr>
              <w:t>3,879</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2026-10-07</w:t>
            </w:r>
          </w:p>
        </w:tc>
        <w:tc>
          <w:tcPr>
            <w:tcW w:type="dxa" w:w="1440"/>
            <w:shd w:fill="FAFAFA" w:val="clear"/>
          </w:tcPr>
          <w:p>
            <w:r>
              <w:rPr>
                <w:sz w:val="17"/>
              </w:rPr>
              <w:t>3,366</w:t>
            </w:r>
          </w:p>
        </w:tc>
        <w:tc>
          <w:tcPr>
            <w:tcW w:type="dxa" w:w="1440"/>
            <w:shd w:fill="FAFAFA" w:val="clear"/>
          </w:tcPr>
          <w:p>
            <w:r>
              <w:rPr>
                <w:b/>
                <w:sz w:val="17"/>
              </w:rPr>
              <w:t>3,636</w:t>
            </w:r>
          </w:p>
        </w:tc>
        <w:tc>
          <w:tcPr>
            <w:tcW w:type="dxa" w:w="1440"/>
            <w:shd w:fill="FAFAFA" w:val="clear"/>
          </w:tcPr>
          <w:p>
            <w:r>
              <w:rPr>
                <w:sz w:val="17"/>
              </w:rPr>
              <w:t>3,906</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2026-10-08</w:t>
            </w:r>
          </w:p>
        </w:tc>
        <w:tc>
          <w:tcPr>
            <w:tcW w:type="dxa" w:w="1440"/>
            <w:shd w:fill="FAFAFA" w:val="clear"/>
          </w:tcPr>
          <w:p>
            <w:r>
              <w:rPr>
                <w:sz w:val="17"/>
              </w:rPr>
              <w:t>3,328</w:t>
            </w:r>
          </w:p>
        </w:tc>
        <w:tc>
          <w:tcPr>
            <w:tcW w:type="dxa" w:w="1440"/>
            <w:shd w:fill="FAFAFA" w:val="clear"/>
          </w:tcPr>
          <w:p>
            <w:r>
              <w:rPr>
                <w:b/>
                <w:sz w:val="17"/>
              </w:rPr>
              <w:t>3,629</w:t>
            </w:r>
          </w:p>
        </w:tc>
        <w:tc>
          <w:tcPr>
            <w:tcW w:type="dxa" w:w="1440"/>
            <w:shd w:fill="FAFAFA" w:val="clear"/>
          </w:tcPr>
          <w:p>
            <w:r>
              <w:rPr>
                <w:sz w:val="17"/>
              </w:rPr>
              <w:t>3,930</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2026-10-09</w:t>
            </w:r>
          </w:p>
        </w:tc>
        <w:tc>
          <w:tcPr>
            <w:tcW w:type="dxa" w:w="1440"/>
            <w:shd w:fill="FAFAFA" w:val="clear"/>
          </w:tcPr>
          <w:p>
            <w:r>
              <w:rPr>
                <w:sz w:val="17"/>
              </w:rPr>
              <w:t>3,292</w:t>
            </w:r>
          </w:p>
        </w:tc>
        <w:tc>
          <w:tcPr>
            <w:tcW w:type="dxa" w:w="1440"/>
            <w:shd w:fill="FAFAFA" w:val="clear"/>
          </w:tcPr>
          <w:p>
            <w:r>
              <w:rPr>
                <w:b/>
                <w:sz w:val="17"/>
              </w:rPr>
              <w:t>3,621</w:t>
            </w:r>
          </w:p>
        </w:tc>
        <w:tc>
          <w:tcPr>
            <w:tcW w:type="dxa" w:w="1440"/>
            <w:shd w:fill="FAFAFA" w:val="clear"/>
          </w:tcPr>
          <w:p>
            <w:r>
              <w:rPr>
                <w:sz w:val="17"/>
              </w:rPr>
              <w:t>3,951</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3,260</w:t>
            </w:r>
          </w:p>
        </w:tc>
        <w:tc>
          <w:tcPr>
            <w:tcW w:type="dxa" w:w="1440"/>
            <w:shd w:fill="FFDCE0" w:val="clear"/>
          </w:tcPr>
          <w:p>
            <w:r>
              <w:rPr>
                <w:b/>
                <w:sz w:val="17"/>
              </w:rPr>
              <w:t>3,614</w:t>
            </w:r>
          </w:p>
        </w:tc>
        <w:tc>
          <w:tcPr>
            <w:tcW w:type="dxa" w:w="1440"/>
            <w:shd w:fill="FFDCE0" w:val="clear"/>
          </w:tcPr>
          <w:p>
            <w:r>
              <w:rPr>
                <w:sz w:val="17"/>
              </w:rPr>
              <w:t>3,969</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3,229</w:t>
            </w:r>
          </w:p>
        </w:tc>
        <w:tc>
          <w:tcPr>
            <w:tcW w:type="dxa" w:w="1440"/>
            <w:shd w:fill="FFDCE0" w:val="clear"/>
          </w:tcPr>
          <w:p>
            <w:r>
              <w:rPr>
                <w:b/>
                <w:sz w:val="17"/>
              </w:rPr>
              <w:t>3,608</w:t>
            </w:r>
          </w:p>
        </w:tc>
        <w:tc>
          <w:tcPr>
            <w:tcW w:type="dxa" w:w="1440"/>
            <w:shd w:fill="FFDCE0" w:val="clear"/>
          </w:tcPr>
          <w:p>
            <w:r>
              <w:rPr>
                <w:sz w:val="17"/>
              </w:rPr>
              <w:t>3,986</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3,200</w:t>
            </w:r>
          </w:p>
        </w:tc>
        <w:tc>
          <w:tcPr>
            <w:tcW w:type="dxa" w:w="1440"/>
            <w:shd w:fill="FFDCE0" w:val="clear"/>
          </w:tcPr>
          <w:p>
            <w:r>
              <w:rPr>
                <w:b/>
                <w:sz w:val="17"/>
              </w:rPr>
              <w:t>3,601</w:t>
            </w:r>
          </w:p>
        </w:tc>
        <w:tc>
          <w:tcPr>
            <w:tcW w:type="dxa" w:w="1440"/>
            <w:shd w:fill="FFDCE0" w:val="clear"/>
          </w:tcPr>
          <w:p>
            <w:r>
              <w:rPr>
                <w:sz w:val="17"/>
              </w:rPr>
              <w:t>4,002</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3,173</w:t>
            </w:r>
          </w:p>
        </w:tc>
        <w:tc>
          <w:tcPr>
            <w:tcW w:type="dxa" w:w="1440"/>
            <w:shd w:fill="FFDCE0" w:val="clear"/>
          </w:tcPr>
          <w:p>
            <w:r>
              <w:rPr>
                <w:b/>
                <w:sz w:val="17"/>
              </w:rPr>
              <w:t>3,595</w:t>
            </w:r>
          </w:p>
        </w:tc>
        <w:tc>
          <w:tcPr>
            <w:tcW w:type="dxa" w:w="1440"/>
            <w:shd w:fill="FFDCE0" w:val="clear"/>
          </w:tcPr>
          <w:p>
            <w:r>
              <w:rPr>
                <w:sz w:val="17"/>
              </w:rPr>
              <w:t>4,017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120,21 milliards FCFA, TTLS figure parmi les valeurs moyennes de la cote BRVM, ce qui traduit une taille significative mais loin des poids lourds bancaires ou télécoms de la place. Le BPA de 208 FCFA/action indique que chaque titre génère un bénéfice unitaire confortable, mais le PER de 17,7x place le titre nettement au-dessus de la moyenne du marché BRVM (généralement 8-12x), signalant que les investisseurs paient une prime pour la qualité de la signature TotalEnergies et la stabilité du dividende. Le ratio P/B de 4,26x confirme cette exigence : le marché valorise TTLS à plus de quatre fois sa valeur comptable, ce qui suppose une forte confiance dans la pérennité des bénéfices futurs. En revanche, l'EV/EBITDA de 7,5x, situé dans la fourchette raisonnable de 5-10x, suggère que la valeur d'entreprise reste cohérente avec la capacité opérationnelle de génération de cash-flow, offrant un contrepoint rassurant à la cherté relative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progression totale de +25,08%, avec une dernière séance en hausse de +1,37%, confirmant une dynamique haussière soutenue. Le cours actuel de 3 690 FCFA se situe dans la partie médiane du range de trading, entre un plus bas de 2 845 FCFA et un plus haut de 4 500 FCFA, ce qui traduit une amplitude de 58% — signe d'une volatilité intra-période importante. La moyenne (3 661 FCFA) et la médiane (3 688 FCFA) sont très proches, tandis que le mode (3 800 FCFA) se situe légèrement au-dessus, indiquant une distribution quasi symétrique sans biais marqué. L'écart-type de 331 FCFA avec un coefficient de variation de 9,0% révèle une dispersion modérée du cours autour de sa moyenne, ce qui est rassurant pour un titre ayant connu une telle progression. Le kurtosis de 0,236 (mésokurtique) et le skewness de -0,158 (distribution symétrique) suggèrent l'absence de pics extrêmes ou d'asymétrie prononcée, donc un comportement de marché relativement ordonné. Enfin, la volatilité annualisée de 43,0% classe TTLS dans la catégorie des titres à volatilité élevée (&gt;30%), ce qui implique un risque de marché non négligeable malgré la qualité fondamentale de l'émetteur.</w:t>
      </w:r>
    </w:p>
    <w:p>
      <w:pPr>
        <w:spacing w:after="120" w:line="276" w:lineRule="auto"/>
      </w:pPr>
      <w:r>
        <w:t>---</w:t>
      </w:r>
    </w:p>
    <w:p>
      <w:pPr>
        <w:spacing w:after="120" w:line="276" w:lineRule="auto"/>
      </w:pPr>
      <w:r>
        <w:t>## PARTIE 2 : ANALYSE TECHNIQUE DÉTAILLÉE</w:t>
      </w:r>
    </w:p>
    <w:p>
      <w:pPr>
        <w:spacing w:after="120" w:line="276" w:lineRule="auto"/>
      </w:pPr>
      <w:r>
        <w:t>**Moyennes Mobiles** : La MM20 (3 816 FCFA) et la MM50 (3 753,5 FCFA) se situent toutes deux au-dessus du cours actuel (3 690 FCFA), ce qui place le titre en position de faiblesse relative à court terme. Toutefois, la MM20 étant supérieure à la MM50, la configuration reste haussière de fond, ce qui justifie la décision "Achat" fournie, mais avec une prudence liée à la correction en cours.</w:t>
      </w:r>
    </w:p>
    <w:p>
      <w:pPr>
        <w:spacing w:after="120" w:line="276" w:lineRule="auto"/>
      </w:pPr>
      <w:r>
        <w:t>**Bandes de Bollinger** : Le cours actuel (3 690 FCFA) évolue entre la borne inférieure (3 592,64 FCFA) et la borne supérieure (4 039,36 FCFA), plus proche du bas que du haut, ce qui traduit une pression baissière récente. La largeur des bandes indique une volatilité encore présente, et la décision "Neutre" reflète l'absence de signal directionnel fort à ce stade.</w:t>
      </w:r>
    </w:p>
    <w:p>
      <w:pPr>
        <w:spacing w:after="120" w:line="276" w:lineRule="auto"/>
      </w:pPr>
      <w:r>
        <w:t>**MACD** : La valeur du MACD (-34,988) est nettement inférieure à son signal (-5,232), confirmant un momentum baissier à court terme. Cette divergence négative plaide pour la prudence et justifie la décision "Vente" fournie, bien que le croisement ne soit pas encore franchement baissier en tendance de fond.</w:t>
      </w:r>
    </w:p>
    <w:p>
      <w:pPr>
        <w:spacing w:after="120" w:line="276" w:lineRule="auto"/>
      </w:pPr>
      <w:r>
        <w:t>**RSI** : À 38,506, le RSI se situe dans la zone neutre basse (30-70), sans atteindre la zone de survente (&lt;30). Cela indique que le titre n'est ni suracheté ni survendu, mais penche légèrement vers la faiblesse, ce qui justifie la décision "Neutre" et suggère qu'un rebond technique reste possible.</w:t>
      </w:r>
    </w:p>
    <w:p>
      <w:pPr>
        <w:spacing w:after="120" w:line="276" w:lineRule="auto"/>
      </w:pPr>
      <w:r>
        <w:t>**Stochastique** : Le %K (19,481) et le %D (8,658) sont tous deux en zone de survente (&lt;20), avec un %K au-dessus du %D, ce qui constitue un signal d'achat technique classique (croisement haussier en zone basse). Cette configuration justifie la décision "Achat" et suggère qu'un retournement à la hausse pourrait se produire à court terme.</w:t>
      </w:r>
    </w:p>
    <w:p>
      <w:pPr>
        <w:spacing w:after="120" w:line="276" w:lineRule="auto"/>
      </w:pPr>
      <w:r>
        <w:t>**Conclusion technique** : Les indicateurs sont divergents — les moyennes mobiles et le MACD plaident pour la prudence, tandis que le stochastique et le RSI en zone basse suggèrent un potentiel rebond. Le titre se trouve dans une phase de consolidation après une forte hausse de +25%, et la convergence des signaux baissiers à court terme (MACD, position sous les MM) avec des signaux d'achat en survente (stochastique) indique une probable stabilisation avant une reprise. La décision globale est "Neutre à Achat" avec un biais haussier conditionnel à la confirmation du croisement stochastique.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Sénégal a réalisé un chiffre d'affaires de 455,209 milliards FCFA, en baisse de 6,13% par rapport à 2024, et un résultat net de 6,779 milliards FCFA, en léger recul de 5,1%. Le ROE s'établit à 24,0%, un niveau excellent (&gt;15%) qui témoigne d'une forte rentabilité des fonds propres, tandis que le ROA de 3,95% reste modéré, reflétant l'intensité capitalistique du secteur. La marge nette de 1,49% est typique de la distribution pétrolière, secteur à faible marge mais à fort volume. Le BFR est négatif (-36,899 milliards FCFA), ce qui est favorable car il signifie que les fournisseurs financent une partie du cycle d'exploitation, et le délai fournisseurs de 97,76 jours (contre 47,43 jours pour les clients) confirme cette position de force. La trésorerie nette positive de 13,941 milliards FCFA et la capacité de remboursement de 0,94 an (dettes financières/CAF) témoignent d'une structure financière saine, bien que l'autonomie financière de 16,44% soit inférieure au seuil de 30% considéré comme idéal.</w:t>
      </w:r>
    </w:p>
    <w:p>
      <w:pPr>
        <w:spacing w:after="120" w:line="276" w:lineRule="auto"/>
      </w:pPr>
      <w:r>
        <w:t>**Estimations basées sur les rapports trimestriels** : Le rapport du T1 2026 (publié le 31 mars 2026) indique un chiffre d'affaires de 99,9 milliards FCFA, en baisse de 10% sur un an, mais un résultat net en hausse de 5% à 1,585 milliard FCFA, porté par une progression de 28% du résultat d'exploitation grâce à l'amélioration des marges sur les lubrifiants. Sur cette base, on peut estimer que l'exercice 2026 devrait enregistrer un chiffre d'affaires annuel autour de 400-420 milliards FCFA (poursuite de la contraction liée à la baisse des prix à la pompe), mais un résultat net potentiellement stable ou en légère hausse, autour de 6,5-7,0 milliards FCFA, si la dynamique des marges se maintient. Le rapport annuel 2025 (publié le 31 décembre 2025) confirme l'arrêt stratégique du fuel lourd (39,5 milliards FCFA de CA en 2024) et la baisse des dividendes des participations (-1,019 milliard FCFA), facteurs explicatifs de la contraction du résultat net. La société conserve une position de leader avec 140 stations-service et un actionnariat stable (TotalEnergies à 69,1%).</w:t>
      </w:r>
    </w:p>
    <w:p>
      <w:pPr>
        <w:spacing w:after="120" w:line="276" w:lineRule="auto"/>
      </w:pPr>
      <w:r>
        <w:t>**Recommandation fondamentale** : TTLS présente une solidité financière indéniable (ROE élevé, trésorerie nette positive, BFR négatif) et une capacité démontrée à améliorer ses marges opérationnelles malgré la baisse des volumes. Les risques principaux résident dans la dépendance aux décisions réglementaires de l'État sénégalais sur les prix à la pompe, la pression fiscale croissante (droits d'accises) et la volatilité des dividendes des participations. La stratégie de diversification vers les lubrifiants, le GPL et les exports, couplée aux perspectives macroéconomiques favorables du Sénégal (production pétrolière et gazière), offre des relais de croissance crédibles. La recommandation fondamentale est **CONSERVER**, avec un biais positif pour les investisseurs de long terme recherchant un rendement stable et une exposition défensive au secteur énergétique ouest-africain.</w:t>
      </w:r>
    </w:p>
    <w:p>
      <w:pPr>
        <w:spacing w:after="120" w:line="276" w:lineRule="auto"/>
      </w:pPr>
      <w:r>
        <w:t>---</w:t>
      </w:r>
    </w:p>
    <w:p>
      <w:pPr>
        <w:spacing w:after="120" w:line="276" w:lineRule="auto"/>
      </w:pPr>
      <w:r>
        <w:t>## PARTIE 4 : CONCLUSION D'INVESTISSEMENT</w:t>
      </w:r>
    </w:p>
    <w:p>
      <w:pPr>
        <w:spacing w:after="120" w:line="276" w:lineRule="auto"/>
      </w:pPr>
      <w:r>
        <w:t>La valorisation de TTLS apparaît exigeante avec un PER de 17,7x et un P/B de 4,26x, nettement supérieurs aux moyennes du marché BRVM, ce qui intègre une prime de qualité mais limite le potentiel de revalorisation à court terme. Le comportement du cours sur 100 jours est haussier (+25,08%) mais la volatilité annualisée de 43% et la distribution symétrique (skewness -0,158, kurtosis 0,236) indiquent un risque de marché élevé, sans biais directionnel clair. Les signaux techniques sont divergents : le MACD et la position sous les moyennes mobiles plaident pour la prudence, tandis que le stochastique en zone de survente et le RSI à 38,5 suggèrent un potentiel rebond à court terme. Les fondamentaux restent solides (ROE de 24%, trésorerie nette positive, BFR négatif), et les estimations issues du T1 2026 (publié le 31 mars 2026) laissent entrevoir une stabilisation du résultat net malgré la contraction du chiffre d'affaires. Les prédictions IA pour les 10 prochains jours (3 661 → 3 629 FCFA) anticipent une légère poursuite de la baisse, ce qui contredit les signaux d'achat technique à court terme mais confirme la phase de consolidation en cours. **Recommandation finale : CONSERVER**, avec un niveau de confiance **Moyen** et un risque global **Élevé** (volatilité 43%, valorisation tendue). L'horizon optimal est le **moyen terme (3-12 mois)**, en attendant la confirmation d'un rebond technique et la publication des résultats semestriels 2026 pour valider la tendance des marges et des volumes. Un achat spéculatif à court terme n'est pas justifié tant que le MACD ne s'inverse pas et que le cours ne repasse pas au-dessus de la MM20 (3 816 FCFA).</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-15.70%</w:t>
            </w:r>
          </w:p>
          <w:p>
            <w:r>
              <w:rPr>
                <w:b/>
                <w:color w:val="503200"/>
                <w:sz w:val="16"/>
              </w:rPr>
              <w:t xml:space="preserve">Plus haut 100j : </w:t>
            </w:r>
            <w:r>
              <w:rPr>
                <w:color w:val="000000"/>
                <w:sz w:val="17"/>
              </w:rPr>
              <w:t>60,500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Faible</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5.50% (Moyenne) — μ=54,676 FCFA, σ=3,007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β=0.5503 (Défensif) — Cov=0.000038, Var(idx)=0.000069, ρ=0.126,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C00000"/>
          <w:sz w:val="26"/>
        </w:rPr>
        <w:t>37/100  (Faible)</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2026-10-02</w:t>
            </w:r>
          </w:p>
        </w:tc>
        <w:tc>
          <w:tcPr>
            <w:tcW w:type="dxa" w:w="1440"/>
            <w:shd w:fill="FFDCE0" w:val="clear"/>
          </w:tcPr>
          <w:p>
            <w:r>
              <w:rPr>
                <w:sz w:val="17"/>
              </w:rPr>
              <w:t>45,830</w:t>
            </w:r>
          </w:p>
        </w:tc>
        <w:tc>
          <w:tcPr>
            <w:tcW w:type="dxa" w:w="1440"/>
            <w:shd w:fill="FFDCE0" w:val="clear"/>
          </w:tcPr>
          <w:p>
            <w:r>
              <w:rPr>
                <w:b/>
                <w:sz w:val="17"/>
              </w:rPr>
              <w:t>49,067</w:t>
            </w:r>
          </w:p>
        </w:tc>
        <w:tc>
          <w:tcPr>
            <w:tcW w:type="dxa" w:w="1440"/>
            <w:shd w:fill="FFDCE0" w:val="clear"/>
          </w:tcPr>
          <w:p>
            <w:r>
              <w:rPr>
                <w:sz w:val="17"/>
              </w:rPr>
              <w:t>52,303</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2026-10-05</w:t>
            </w:r>
          </w:p>
        </w:tc>
        <w:tc>
          <w:tcPr>
            <w:tcW w:type="dxa" w:w="1440"/>
            <w:shd w:fill="FFDCE0" w:val="clear"/>
          </w:tcPr>
          <w:p>
            <w:r>
              <w:rPr>
                <w:sz w:val="17"/>
              </w:rPr>
              <w:t>44,606</w:t>
            </w:r>
          </w:p>
        </w:tc>
        <w:tc>
          <w:tcPr>
            <w:tcW w:type="dxa" w:w="1440"/>
            <w:shd w:fill="FFDCE0" w:val="clear"/>
          </w:tcPr>
          <w:p>
            <w:r>
              <w:rPr>
                <w:b/>
                <w:sz w:val="17"/>
              </w:rPr>
              <w:t>49,195</w:t>
            </w:r>
          </w:p>
        </w:tc>
        <w:tc>
          <w:tcPr>
            <w:tcW w:type="dxa" w:w="1440"/>
            <w:shd w:fill="FFDCE0" w:val="clear"/>
          </w:tcPr>
          <w:p>
            <w:r>
              <w:rPr>
                <w:sz w:val="17"/>
              </w:rPr>
              <w:t>53,785</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2026-10-06</w:t>
            </w:r>
          </w:p>
        </w:tc>
        <w:tc>
          <w:tcPr>
            <w:tcW w:type="dxa" w:w="1440"/>
            <w:shd w:fill="FFDCE0" w:val="clear"/>
          </w:tcPr>
          <w:p>
            <w:r>
              <w:rPr>
                <w:sz w:val="17"/>
              </w:rPr>
              <w:t>43,579</w:t>
            </w:r>
          </w:p>
        </w:tc>
        <w:tc>
          <w:tcPr>
            <w:tcW w:type="dxa" w:w="1440"/>
            <w:shd w:fill="FFDCE0" w:val="clear"/>
          </w:tcPr>
          <w:p>
            <w:r>
              <w:rPr>
                <w:b/>
                <w:sz w:val="17"/>
              </w:rPr>
              <w:t>49,201</w:t>
            </w:r>
          </w:p>
        </w:tc>
        <w:tc>
          <w:tcPr>
            <w:tcW w:type="dxa" w:w="1440"/>
            <w:shd w:fill="FFDCE0" w:val="clear"/>
          </w:tcPr>
          <w:p>
            <w:r>
              <w:rPr>
                <w:sz w:val="17"/>
              </w:rPr>
              <w:t>54,823</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42,694</w:t>
            </w:r>
          </w:p>
        </w:tc>
        <w:tc>
          <w:tcPr>
            <w:tcW w:type="dxa" w:w="1440"/>
            <w:shd w:fill="FFDCE0" w:val="clear"/>
          </w:tcPr>
          <w:p>
            <w:r>
              <w:rPr>
                <w:b/>
                <w:sz w:val="17"/>
              </w:rPr>
              <w:t>49,183</w:t>
            </w:r>
          </w:p>
        </w:tc>
        <w:tc>
          <w:tcPr>
            <w:tcW w:type="dxa" w:w="1440"/>
            <w:shd w:fill="FFDCE0" w:val="clear"/>
          </w:tcPr>
          <w:p>
            <w:r>
              <w:rPr>
                <w:sz w:val="17"/>
              </w:rPr>
              <w:t>55,672</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41,908</w:t>
            </w:r>
          </w:p>
        </w:tc>
        <w:tc>
          <w:tcPr>
            <w:tcW w:type="dxa" w:w="1440"/>
            <w:shd w:fill="FFDCE0" w:val="clear"/>
          </w:tcPr>
          <w:p>
            <w:r>
              <w:rPr>
                <w:b/>
                <w:sz w:val="17"/>
              </w:rPr>
              <w:t>49,160</w:t>
            </w:r>
          </w:p>
        </w:tc>
        <w:tc>
          <w:tcPr>
            <w:tcW w:type="dxa" w:w="1440"/>
            <w:shd w:fill="FFDCE0" w:val="clear"/>
          </w:tcPr>
          <w:p>
            <w:r>
              <w:rPr>
                <w:sz w:val="17"/>
              </w:rPr>
              <w:t>56,411</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41,196</w:t>
            </w:r>
          </w:p>
        </w:tc>
        <w:tc>
          <w:tcPr>
            <w:tcW w:type="dxa" w:w="1440"/>
            <w:shd w:fill="FFDCE0" w:val="clear"/>
          </w:tcPr>
          <w:p>
            <w:r>
              <w:rPr>
                <w:b/>
                <w:sz w:val="17"/>
              </w:rPr>
              <w:t>49,135</w:t>
            </w:r>
          </w:p>
        </w:tc>
        <w:tc>
          <w:tcPr>
            <w:tcW w:type="dxa" w:w="1440"/>
            <w:shd w:fill="FFDCE0" w:val="clear"/>
          </w:tcPr>
          <w:p>
            <w:r>
              <w:rPr>
                <w:sz w:val="17"/>
              </w:rPr>
              <w:t>57,075</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40,540</w:t>
            </w:r>
          </w:p>
        </w:tc>
        <w:tc>
          <w:tcPr>
            <w:tcW w:type="dxa" w:w="1440"/>
            <w:shd w:fill="FFDCE0" w:val="clear"/>
          </w:tcPr>
          <w:p>
            <w:r>
              <w:rPr>
                <w:b/>
                <w:sz w:val="17"/>
              </w:rPr>
              <w:t>49,111</w:t>
            </w:r>
          </w:p>
        </w:tc>
        <w:tc>
          <w:tcPr>
            <w:tcW w:type="dxa" w:w="1440"/>
            <w:shd w:fill="FFDCE0" w:val="clear"/>
          </w:tcPr>
          <w:p>
            <w:r>
              <w:rPr>
                <w:sz w:val="17"/>
              </w:rPr>
              <w:t>57,683</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39,928</w:t>
            </w:r>
          </w:p>
        </w:tc>
        <w:tc>
          <w:tcPr>
            <w:tcW w:type="dxa" w:w="1440"/>
            <w:shd w:fill="FFDCE0" w:val="clear"/>
          </w:tcPr>
          <w:p>
            <w:r>
              <w:rPr>
                <w:b/>
                <w:sz w:val="17"/>
              </w:rPr>
              <w:t>49,087</w:t>
            </w:r>
          </w:p>
        </w:tc>
        <w:tc>
          <w:tcPr>
            <w:tcW w:type="dxa" w:w="1440"/>
            <w:shd w:fill="FFDCE0" w:val="clear"/>
          </w:tcPr>
          <w:p>
            <w:r>
              <w:rPr>
                <w:sz w:val="17"/>
              </w:rPr>
              <w:t>58,246</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39,354</w:t>
            </w:r>
          </w:p>
        </w:tc>
        <w:tc>
          <w:tcPr>
            <w:tcW w:type="dxa" w:w="1440"/>
            <w:shd w:fill="FFDCE0" w:val="clear"/>
          </w:tcPr>
          <w:p>
            <w:r>
              <w:rPr>
                <w:b/>
                <w:sz w:val="17"/>
              </w:rPr>
              <w:t>49,064</w:t>
            </w:r>
          </w:p>
        </w:tc>
        <w:tc>
          <w:tcPr>
            <w:tcW w:type="dxa" w:w="1440"/>
            <w:shd w:fill="FFDCE0" w:val="clear"/>
          </w:tcPr>
          <w:p>
            <w:r>
              <w:rPr>
                <w:sz w:val="17"/>
              </w:rPr>
              <w:t>58,774</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38,811</w:t>
            </w:r>
          </w:p>
        </w:tc>
        <w:tc>
          <w:tcPr>
            <w:tcW w:type="dxa" w:w="1440"/>
            <w:shd w:fill="FFDCE0" w:val="clear"/>
          </w:tcPr>
          <w:p>
            <w:r>
              <w:rPr>
                <w:b/>
                <w:sz w:val="17"/>
              </w:rPr>
              <w:t>49,041</w:t>
            </w:r>
          </w:p>
        </w:tc>
        <w:tc>
          <w:tcPr>
            <w:tcW w:type="dxa" w:w="1440"/>
            <w:shd w:fill="FFDCE0" w:val="clear"/>
          </w:tcPr>
          <w:p>
            <w:r>
              <w:rPr>
                <w:sz w:val="17"/>
              </w:rPr>
              <w:t>59,271</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**Bourse Régionale des Valeurs Mobilières (BRVM) — Secteur : Biens de Consommation (FMCG)**</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**468,35 milliards FCFA**, un niveau qui la place parmi les valeurs les plus capitalisées de la BRVM, bien que cette capitalisation soit à relativiser au regard de la faiblesse des volumes échangés (21 titres/jour en moyenne). Les ratios de valorisation classiques (BPA, PER, P/B, EV/EBITDA) ne sont pas calculables en l'absence de données financières structurées exploitables dans la base, ce qui limite l'évaluation comparative directe avec les standards du marché (PER BRVM moyen ~8-12x). Toutefois, en croisant le bénéfice net 2023 de **640,3 millions FCFA** avec la capitalisation actuelle, on obtient un PER implicite très élevé (supérieur à 700x), signe d'une valorisation boursière déconnectée des fondamentaux réels. Cette décorrélation s'explique par la rareté du flottant et la faible liquidité du titre, qui empêchent toute formation de prix efficiente. L'investisseur doit donc considérer que le cours actuel de 51 000 FCFA reflète davantage une prime de rareté qu'une valorisation fondamentale.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**variation totale de -15,70%**, mais a rebondi vigoureusement de **+7,37% lors de la dernière séance (J-1)**, portant le cours à **51 000 FCFA**. Le range de trading s'étend du plus haut de **60 500 FCFA** au plus bas de **47 215 FCFA**, soit une amplitude de 28% qui traduit une tendance générale baissière entrecoupée de rebonds techniques. Les statistiques descriptives révèlent une **moyenne de 54 676 FCFA** très proche de la **médiane de 54 595 FCFA**, confirmant une distribution symétrique (skewness de -0,088), tandis que le **mode à 58 000 FCFA** indique que le prix le plus fréquemment coté se situe au-dessus de la moyenne, suggérant une pression vendeuse récente. L'**écart-type de 3 022 FCFA** avec un **coefficient de variation de 5,5%** dénote une dispersion modérée du cours autour de sa moyenne, mais la **volatilité annualisée de 59,1%** classe le titre dans la catégorie des valeurs à volatilité élevée (&gt;30%), ce qui implique un risque de prix significatif pour l'investisseur. Le **kurtosis de -0,579** (mésokurtique) indique une distribution proche de la normale, sans risque excessif de pics extrêmes, ce qui est rassurant pour la gestion du risque. La combinaison d'une tendance baissière, d'une volatilité élevée et d'un rebond récent de +7,37% suggère une phase de correction potentielle ou de reprise technique à surveiller.</w:t>
      </w:r>
    </w:p>
    <w:p>
      <w:pPr>
        <w:spacing w:after="120" w:line="276" w:lineRule="auto"/>
      </w:pPr>
      <w:r>
        <w:t>---</w:t>
      </w:r>
    </w:p>
    <w:p>
      <w:pPr>
        <w:spacing w:after="120" w:line="276" w:lineRule="auto"/>
      </w:pPr>
      <w:r>
        <w:t>## PARTIE 2 : ANALYSE TECHNIQUE DÉTAILLÉE</w:t>
      </w:r>
    </w:p>
    <w:p>
      <w:pPr>
        <w:spacing w:after="120" w:line="276" w:lineRule="auto"/>
      </w:pPr>
      <w:r>
        <w:t>**Moyennes Mobiles** : La MM20 (51 528 FCFA) et la MM50 (52 856,5 FCFA) se situent toutes deux au-dessus du cours actuel (51 000 FCFA), avec une MM20 inférieure à la MM50, configuration baissière classique. Le cours évolue sous ses deux moyennes, confirmant la pression vendeuse, ce qui justifie la **décision de Vente** émise par le système. Le croisement potentiel de la MM20 sous la MM50 (death cross) renforcerait ce signal négatif si le rebond actuel s'essouffle.</w:t>
      </w:r>
    </w:p>
    <w:p>
      <w:pPr>
        <w:spacing w:after="120" w:line="276" w:lineRule="auto"/>
      </w:pPr>
      <w:r>
        <w:t>**Bandes de Bollinger** : Le cours actuel (51 000 FCFA) se situe dans la partie basse de la bande, entre la borne inférieure (47 327,8 FCFA) et la borne supérieure (55 728,2 FCFA), sans atteindre les extrêmes. Cette position médiane-basse traduit une volatilité modérée et une absence de signal directionnel fort, justifiant la **décision Neutre**. Un retour vers la borne inférieure constituerait un signal de survente, tandis qu'une cassure de la borne supérieure confirmerait un retournement haussier.</w:t>
      </w:r>
    </w:p>
    <w:p>
      <w:pPr>
        <w:spacing w:after="120" w:line="276" w:lineRule="auto"/>
      </w:pPr>
      <w:r>
        <w:t>**MACD** : La ligne MACD (-1 141,3) est inférieure à sa ligne de signal (-907,3), avec un histogramme négatif, indiquant un momentum baissier persistant. Cette configuration justifie la **décision de Vente**, bien que l'écart entre les deux lignes se réduise, suggérant un affaiblissement progressif de la pression baissière. Une convergence haussière (croisement de la MACD au-dessus du signal) serait nécessaire pour inverser ce signal.</w:t>
      </w:r>
    </w:p>
    <w:p>
      <w:pPr>
        <w:spacing w:after="120" w:line="276" w:lineRule="auto"/>
      </w:pPr>
      <w:r>
        <w:t>**RSI** : À 43,16, le RSI se situe dans la zone neutre (30-70), sans signal de surachat (&gt;70) ni de survente (&lt;30). Cette position médiane indique un équilibre relatif entre acheteurs et vendeurs, justifiant la **décision Neutre**. Le RSI n'offre donc pas de signal directionnel clair à court terme, mais sa position sous 50 suggère une légère prédominance baissière.</w:t>
      </w:r>
    </w:p>
    <w:p>
      <w:pPr>
        <w:spacing w:after="120" w:line="276" w:lineRule="auto"/>
      </w:pPr>
      <w:r>
        <w:t>**Stochastique** : Le %K (55,79) est nettement supérieur au %D (19,99), avec un croisement haussier récent qui pourrait signaler un début de reprise. Cependant, le %D reste en zone basse, et la **décision Neutre** reflète l'absence de confirmation franche. Un franchissement durable du %D au-dessus de 20 confirmerait le signal d'achat technique à court terme.</w:t>
      </w:r>
    </w:p>
    <w:p>
      <w:pPr>
        <w:spacing w:after="120" w:line="276" w:lineRule="auto"/>
      </w:pPr>
      <w:r>
        <w:t>**Conclusion technique** : Les indicateurs techniques présentent un tableau mitigé, avec une majorité de signaux baissiers (MM, MACD) compensés par des signaux neutres (Bollinger, RSI, Stochastique). Le rebond de +7,37% en J-1 et le croisement haussier du stochastique suggèrent une possible reprise technique à court terme, mais l'absence de confirmation par les moyennes mobiles et le MACD incite à la prudence. La convergence des signaux reste insuffisante pour valider un retournement durable, et le titre demeure sous pression baissière tant qu'il n'aura pas reconquis la MM20 (51 528 FCFA).</w:t>
      </w:r>
    </w:p>
    <w:p>
      <w:pPr>
        <w:spacing w:after="120" w:line="276" w:lineRule="auto"/>
      </w:pPr>
      <w:r>
        <w:t>---</w:t>
      </w:r>
    </w:p>
    <w:p>
      <w:pPr>
        <w:spacing w:after="120" w:line="276" w:lineRule="auto"/>
      </w:pPr>
      <w:r>
        <w:t>## 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UNLC a réalisé un **chiffre d'affaires de 24 336 010 000 FCFA**, stable par rapport à 2022, mais en **baisse de 21,5% par rapport à 2021** (36 174,6 millions FCFA), reflétant la cession de l'activité "Thé" (Lipton) fin 2021 et les perturbations régionales (embargo malien, restrictions BCEAO). Le **résultat net 2023 s'établit à 640 334 855 FCFA**, en amélioration spectaculaire par rapport à la **perte nette de 6 908 362 002 FCFA en 2022**, mais cette performance reste fragile avec une **marge nette de seulement 2,63%**, très inférieure à la moyenne sectorielle des FMCG en Afrique de l'Ouest (5-10%). Le **résultat d'exploitation** est repassé en territoire positif à **+3 340 millions FCFA** en 2023 (contre -6 258 millions en 2022), grâce à la réduction des charges et à la hausse des produits accessoires, mais les **capitaux propres restent négatifs à -10 658 millions FCFA** et le **report à nouveau négatif de -35 635 millions FCFA** obère toute perspective de dividende à court terme. La **trésorerie passive de 14 874 millions FCFA** dépasse largement la trésorerie active (non communiquée), signalant un risque de liquidité, tandis que les **dettes financières s'élèvent à 4 379 millions FCFA** en 2023 (vs 3 827 millions en 2022), avec des **charges financières de 135 millions FCFA**. Le **ROE et le ROA** ne sont pas calculables en raison de capitaux propres négatifs, mais la **marge nette de 2,63%** et la **marge opérationnelle de 13,7%** (3 340/24 336) témoignent d'une rentabilité encore insuffisante pour couvrir le coût du capital. Les rapports antérieurs (2022, 2021) montrent une **détérioration brutale en 2022** (perte nette de -6 382,6 millions FCFA, marge nette de -26,2%) suivie d'un **redressement partiel en 2023**, mais la structure financière demeure précaire avec des **capitaux propres négatifs** et un **endettement croissant**. En l'absence de rapports trimestriels récents (T1/T2/T3 2024-2025), on estime que la **poursuite de l'amélioration opérationnelle** dépendra de la capacité d'UNLC à réduire ses coûts logistiques, à diversifier ses revenus (produits ménagers, expansion régionale) et à restaurer ses capitaux propres. La **recommandation fondamentale** est donc à la **prudence** : le redressement est enclenché mais fragile, et les risques (liquidité, endettement, concurrence) restent élevés.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contrasté pour UNLC. **En termes de valorisation (Partie 0)**, l'absence de ratios calculables et le PER implicite très élevé (&gt;700x) suggèrent une **surévaluation manifeste** du titre par rapport à ses bénéfices, la capitalisation de 468,35 milliards FCFA étant déconnectée des fondamentaux. **Le comportement du cours (Partie 1)** révèle une tendance baissière (-15,70% sur 100 jours) avec une volatilité élevée (59,1%), bien qu'un rebond récent de +7,37% et une distribution symétrique (skewness -0,088, kurtosis -0,579) n'indiquent pas de risque extrême de pics. **Les signaux techniques (Partie 2)** sont majoritairement baissiers (MM20/MM50 au-dessus du cours, MACD négatif) mais tempérés par des signaux neutres (Bollinger, RSI, Stochastique), sans convergence claire pour un retournement durable. **Les fondamentaux (Partie 3)** montrent un redressement opérationnel en 2023 (résultat net positif de 640,3 millions FCFA, marge nette de 2,63%) mais une structure financière toujours précaire (capitaux propres négatifs de -10 658 millions FCFA, endettement croissant, absence de dividende). **Les prédictions IA (J+1 à J+10)** anticipent une **stabilisation autour de 49 000-49 200 FCFA**, soit une **baisse de 3,5% à 4% par rapport au cours actuel** (51 000 FCFA), ce qui **contredit le rebond récent** et **confirme la pression baissière** identifiée par les indicateurs techniques. Sur la base de cette synthèse globale, la recommandation finale est **VENTE** (ou **CONSERVER avec vigilance** pour les investisseurs déjà positionnés), avec un **niveau de confiance moyen** et un **risque global élevé**. La convergence entre la surévaluation, la tendance baissière, les signaux techniques négatifs et les prédictions IA baissières l'emporte sur les signes de redressement fondamental, encore trop fragiles pour justifier un achat. **L'horizon d'investissement optimal est court terme (&lt;3 mois)** pour les investisseurs cherchant à sortir avant une nouvelle dégradation, ou **long terme (&gt;1 an)** pour ceux qui parient sur une restructuration réussie et une reconstitution des capitaux propres, avec un suivi rigoureux des indicateurs clés (marge, trésorerie, endettement).</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48.97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13,702 titres</w:t>
            </w:r>
          </w:p>
        </w:tc>
        <w:tc>
          <w:tcPr>
            <w:tcW w:type="dxa" w:w="2268"/>
            <w:shd w:fill="FFF2CC" w:val="clear"/>
          </w:tcPr>
          <w:p>
            <w:r>
              <w:rPr>
                <w:b/>
                <w:color w:val="503200"/>
                <w:sz w:val="16"/>
              </w:rPr>
              <w:t xml:space="preserve">Cours actuel : </w:t>
            </w:r>
            <w:r>
              <w:rPr>
                <w:color w:val="000000"/>
                <w:sz w:val="17"/>
              </w:rPr>
              <w:t>2,360 FCFA</w:t>
            </w:r>
          </w:p>
          <w:p>
            <w:r>
              <w:rPr>
                <w:b/>
                <w:color w:val="503200"/>
                <w:sz w:val="16"/>
              </w:rPr>
              <w:t xml:space="preserve">Var. 100 jours : </w:t>
            </w:r>
            <w:r>
              <w:rPr>
                <w:b/>
                <w:color w:val="007800"/>
                <w:sz w:val="17"/>
              </w:rPr>
              <w:t>+30.75%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15.11% (Élevée) — μ=2,000 FCFA, σ=302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β=0.5011 (Défensif) — Cov=0.000035, Var(idx)=0.000070, ρ=0.133,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13,702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2026-10-02</w:t>
            </w:r>
          </w:p>
        </w:tc>
        <w:tc>
          <w:tcPr>
            <w:tcW w:type="dxa" w:w="1440"/>
            <w:shd w:fill="FAFAFA" w:val="clear"/>
          </w:tcPr>
          <w:p>
            <w:r>
              <w:rPr>
                <w:sz w:val="17"/>
              </w:rPr>
              <w:t>2,270</w:t>
            </w:r>
          </w:p>
        </w:tc>
        <w:tc>
          <w:tcPr>
            <w:tcW w:type="dxa" w:w="1440"/>
            <w:shd w:fill="FAFAFA" w:val="clear"/>
          </w:tcPr>
          <w:p>
            <w:r>
              <w:rPr>
                <w:b/>
                <w:sz w:val="17"/>
              </w:rPr>
              <w:t>2,352</w:t>
            </w:r>
          </w:p>
        </w:tc>
        <w:tc>
          <w:tcPr>
            <w:tcW w:type="dxa" w:w="1440"/>
            <w:shd w:fill="FAFAFA" w:val="clear"/>
          </w:tcPr>
          <w:p>
            <w:r>
              <w:rPr>
                <w:sz w:val="17"/>
              </w:rPr>
              <w:t>2,433</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2026-10-05</w:t>
            </w:r>
          </w:p>
        </w:tc>
        <w:tc>
          <w:tcPr>
            <w:tcW w:type="dxa" w:w="1440"/>
            <w:shd w:fill="FAFAFA" w:val="clear"/>
          </w:tcPr>
          <w:p>
            <w:r>
              <w:rPr>
                <w:sz w:val="17"/>
              </w:rPr>
              <w:t>2,215</w:t>
            </w:r>
          </w:p>
        </w:tc>
        <w:tc>
          <w:tcPr>
            <w:tcW w:type="dxa" w:w="1440"/>
            <w:shd w:fill="FAFAFA" w:val="clear"/>
          </w:tcPr>
          <w:p>
            <w:r>
              <w:rPr>
                <w:b/>
                <w:sz w:val="17"/>
              </w:rPr>
              <w:t>2,329</w:t>
            </w:r>
          </w:p>
        </w:tc>
        <w:tc>
          <w:tcPr>
            <w:tcW w:type="dxa" w:w="1440"/>
            <w:shd w:fill="FAFAFA" w:val="clear"/>
          </w:tcPr>
          <w:p>
            <w:r>
              <w:rPr>
                <w:sz w:val="17"/>
              </w:rPr>
              <w:t>2,443</w:t>
            </w:r>
          </w:p>
        </w:tc>
        <w:tc>
          <w:tcPr>
            <w:tcW w:type="dxa" w:w="1440"/>
            <w:shd w:fill="FAFAFA" w:val="clear"/>
          </w:tcPr>
          <w:p>
            <w:r>
              <w:rPr>
                <w:b/>
                <w:color w:val="C00000"/>
                <w:sz w:val="17"/>
              </w:rPr>
              <w:t>-1.3%</w:t>
            </w:r>
          </w:p>
        </w:tc>
      </w:tr>
      <w:tr>
        <w:tc>
          <w:tcPr>
            <w:tcW w:type="dxa" w:w="1440"/>
            <w:shd w:fill="FFDCE0" w:val="clear"/>
          </w:tcPr>
          <w:p>
            <w:r>
              <w:rPr>
                <w:sz w:val="17"/>
              </w:rPr>
              <w:t>J+3  Moyenne</w:t>
            </w:r>
          </w:p>
        </w:tc>
        <w:tc>
          <w:tcPr>
            <w:tcW w:type="dxa" w:w="1440"/>
            <w:shd w:fill="FFDCE0" w:val="clear"/>
          </w:tcPr>
          <w:p>
            <w:r>
              <w:rPr>
                <w:sz w:val="17"/>
              </w:rPr>
              <w:t>2026-10-06</w:t>
            </w:r>
          </w:p>
        </w:tc>
        <w:tc>
          <w:tcPr>
            <w:tcW w:type="dxa" w:w="1440"/>
            <w:shd w:fill="FFDCE0" w:val="clear"/>
          </w:tcPr>
          <w:p>
            <w:r>
              <w:rPr>
                <w:sz w:val="17"/>
              </w:rPr>
              <w:t>2,171</w:t>
            </w:r>
          </w:p>
        </w:tc>
        <w:tc>
          <w:tcPr>
            <w:tcW w:type="dxa" w:w="1440"/>
            <w:shd w:fill="FFDCE0" w:val="clear"/>
          </w:tcPr>
          <w:p>
            <w:r>
              <w:rPr>
                <w:b/>
                <w:sz w:val="17"/>
              </w:rPr>
              <w:t>2,309</w:t>
            </w:r>
          </w:p>
        </w:tc>
        <w:tc>
          <w:tcPr>
            <w:tcW w:type="dxa" w:w="1440"/>
            <w:shd w:fill="FFDCE0" w:val="clear"/>
          </w:tcPr>
          <w:p>
            <w:r>
              <w:rPr>
                <w:sz w:val="17"/>
              </w:rPr>
              <w:t>2,448</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2026-10-07</w:t>
            </w:r>
          </w:p>
        </w:tc>
        <w:tc>
          <w:tcPr>
            <w:tcW w:type="dxa" w:w="1440"/>
            <w:shd w:fill="FFDCE0" w:val="clear"/>
          </w:tcPr>
          <w:p>
            <w:r>
              <w:rPr>
                <w:sz w:val="17"/>
              </w:rPr>
              <w:t>2,132</w:t>
            </w:r>
          </w:p>
        </w:tc>
        <w:tc>
          <w:tcPr>
            <w:tcW w:type="dxa" w:w="1440"/>
            <w:shd w:fill="FFDCE0" w:val="clear"/>
          </w:tcPr>
          <w:p>
            <w:r>
              <w:rPr>
                <w:b/>
                <w:sz w:val="17"/>
              </w:rPr>
              <w:t>2,291</w:t>
            </w:r>
          </w:p>
        </w:tc>
        <w:tc>
          <w:tcPr>
            <w:tcW w:type="dxa" w:w="1440"/>
            <w:shd w:fill="FFDCE0" w:val="clear"/>
          </w:tcPr>
          <w:p>
            <w:r>
              <w:rPr>
                <w:sz w:val="17"/>
              </w:rPr>
              <w:t>2,450</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2026-10-08</w:t>
            </w:r>
          </w:p>
        </w:tc>
        <w:tc>
          <w:tcPr>
            <w:tcW w:type="dxa" w:w="1440"/>
            <w:shd w:fill="FFDCE0" w:val="clear"/>
          </w:tcPr>
          <w:p>
            <w:r>
              <w:rPr>
                <w:sz w:val="17"/>
              </w:rPr>
              <w:t>2,097</w:t>
            </w:r>
          </w:p>
        </w:tc>
        <w:tc>
          <w:tcPr>
            <w:tcW w:type="dxa" w:w="1440"/>
            <w:shd w:fill="FFDCE0" w:val="clear"/>
          </w:tcPr>
          <w:p>
            <w:r>
              <w:rPr>
                <w:b/>
                <w:sz w:val="17"/>
              </w:rPr>
              <w:t>2,274</w:t>
            </w:r>
          </w:p>
        </w:tc>
        <w:tc>
          <w:tcPr>
            <w:tcW w:type="dxa" w:w="1440"/>
            <w:shd w:fill="FFDCE0" w:val="clear"/>
          </w:tcPr>
          <w:p>
            <w:r>
              <w:rPr>
                <w:sz w:val="17"/>
              </w:rPr>
              <w:t>2,450</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2026-10-09</w:t>
            </w:r>
          </w:p>
        </w:tc>
        <w:tc>
          <w:tcPr>
            <w:tcW w:type="dxa" w:w="1440"/>
            <w:shd w:fill="FFDCE0" w:val="clear"/>
          </w:tcPr>
          <w:p>
            <w:r>
              <w:rPr>
                <w:sz w:val="17"/>
              </w:rPr>
              <w:t>2,065</w:t>
            </w:r>
          </w:p>
        </w:tc>
        <w:tc>
          <w:tcPr>
            <w:tcW w:type="dxa" w:w="1440"/>
            <w:shd w:fill="FFDCE0" w:val="clear"/>
          </w:tcPr>
          <w:p>
            <w:r>
              <w:rPr>
                <w:b/>
                <w:sz w:val="17"/>
              </w:rPr>
              <w:t>2,257</w:t>
            </w:r>
          </w:p>
        </w:tc>
        <w:tc>
          <w:tcPr>
            <w:tcW w:type="dxa" w:w="1440"/>
            <w:shd w:fill="FFDCE0" w:val="clear"/>
          </w:tcPr>
          <w:p>
            <w:r>
              <w:rPr>
                <w:sz w:val="17"/>
              </w:rPr>
              <w:t>2,448</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2026-10-12</w:t>
            </w:r>
          </w:p>
        </w:tc>
        <w:tc>
          <w:tcPr>
            <w:tcW w:type="dxa" w:w="1440"/>
            <w:shd w:fill="FFDCE0" w:val="clear"/>
          </w:tcPr>
          <w:p>
            <w:r>
              <w:rPr>
                <w:sz w:val="17"/>
              </w:rPr>
              <w:t>2,035</w:t>
            </w:r>
          </w:p>
        </w:tc>
        <w:tc>
          <w:tcPr>
            <w:tcW w:type="dxa" w:w="1440"/>
            <w:shd w:fill="FFDCE0" w:val="clear"/>
          </w:tcPr>
          <w:p>
            <w:r>
              <w:rPr>
                <w:b/>
                <w:sz w:val="17"/>
              </w:rPr>
              <w:t>2,240</w:t>
            </w:r>
          </w:p>
        </w:tc>
        <w:tc>
          <w:tcPr>
            <w:tcW w:type="dxa" w:w="1440"/>
            <w:shd w:fill="FFDCE0" w:val="clear"/>
          </w:tcPr>
          <w:p>
            <w:r>
              <w:rPr>
                <w:sz w:val="17"/>
              </w:rPr>
              <w:t>2,446</w:t>
            </w:r>
          </w:p>
        </w:tc>
        <w:tc>
          <w:tcPr>
            <w:tcW w:type="dxa" w:w="1440"/>
            <w:shd w:fill="FFDCE0" w:val="clear"/>
          </w:tcPr>
          <w:p>
            <w:r>
              <w:rPr>
                <w:b/>
                <w:color w:val="C00000"/>
                <w:sz w:val="17"/>
              </w:rPr>
              <w:t>-5.1%</w:t>
            </w:r>
          </w:p>
        </w:tc>
      </w:tr>
      <w:tr>
        <w:tc>
          <w:tcPr>
            <w:tcW w:type="dxa" w:w="1440"/>
            <w:shd w:fill="FFDCE0" w:val="clear"/>
          </w:tcPr>
          <w:p>
            <w:r>
              <w:rPr>
                <w:sz w:val="17"/>
              </w:rPr>
              <w:t>J+8  ⭐</w:t>
            </w:r>
          </w:p>
        </w:tc>
        <w:tc>
          <w:tcPr>
            <w:tcW w:type="dxa" w:w="1440"/>
            <w:shd w:fill="FFDCE0" w:val="clear"/>
          </w:tcPr>
          <w:p>
            <w:r>
              <w:rPr>
                <w:sz w:val="17"/>
              </w:rPr>
              <w:t>2026-10-13</w:t>
            </w:r>
          </w:p>
        </w:tc>
        <w:tc>
          <w:tcPr>
            <w:tcW w:type="dxa" w:w="1440"/>
            <w:shd w:fill="FFDCE0" w:val="clear"/>
          </w:tcPr>
          <w:p>
            <w:r>
              <w:rPr>
                <w:sz w:val="17"/>
              </w:rPr>
              <w:t>2,006</w:t>
            </w:r>
          </w:p>
        </w:tc>
        <w:tc>
          <w:tcPr>
            <w:tcW w:type="dxa" w:w="1440"/>
            <w:shd w:fill="FFDCE0" w:val="clear"/>
          </w:tcPr>
          <w:p>
            <w:r>
              <w:rPr>
                <w:b/>
                <w:sz w:val="17"/>
              </w:rPr>
              <w:t>2,224</w:t>
            </w:r>
          </w:p>
        </w:tc>
        <w:tc>
          <w:tcPr>
            <w:tcW w:type="dxa" w:w="1440"/>
            <w:shd w:fill="FFDCE0" w:val="clear"/>
          </w:tcPr>
          <w:p>
            <w:r>
              <w:rPr>
                <w:sz w:val="17"/>
              </w:rPr>
              <w:t>2,443</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2026-10-14</w:t>
            </w:r>
          </w:p>
        </w:tc>
        <w:tc>
          <w:tcPr>
            <w:tcW w:type="dxa" w:w="1440"/>
            <w:shd w:fill="FFDCE0" w:val="clear"/>
          </w:tcPr>
          <w:p>
            <w:r>
              <w:rPr>
                <w:sz w:val="17"/>
              </w:rPr>
              <w:t>1,979</w:t>
            </w:r>
          </w:p>
        </w:tc>
        <w:tc>
          <w:tcPr>
            <w:tcW w:type="dxa" w:w="1440"/>
            <w:shd w:fill="FFDCE0" w:val="clear"/>
          </w:tcPr>
          <w:p>
            <w:r>
              <w:rPr>
                <w:b/>
                <w:sz w:val="17"/>
              </w:rPr>
              <w:t>2,209</w:t>
            </w:r>
          </w:p>
        </w:tc>
        <w:tc>
          <w:tcPr>
            <w:tcW w:type="dxa" w:w="1440"/>
            <w:shd w:fill="FFDCE0" w:val="clear"/>
          </w:tcPr>
          <w:p>
            <w:r>
              <w:rPr>
                <w:sz w:val="17"/>
              </w:rPr>
              <w:t>2,439</w:t>
            </w:r>
          </w:p>
        </w:tc>
        <w:tc>
          <w:tcPr>
            <w:tcW w:type="dxa" w:w="1440"/>
            <w:shd w:fill="FFDCE0" w:val="clear"/>
          </w:tcPr>
          <w:p>
            <w:r>
              <w:rPr>
                <w:b/>
                <w:color w:val="C00000"/>
                <w:sz w:val="17"/>
              </w:rPr>
              <w:t>-6.4%</w:t>
            </w:r>
          </w:p>
        </w:tc>
      </w:tr>
      <w:tr>
        <w:tc>
          <w:tcPr>
            <w:tcW w:type="dxa" w:w="1440"/>
            <w:shd w:fill="FFDCE0" w:val="clear"/>
          </w:tcPr>
          <w:p>
            <w:r>
              <w:rPr>
                <w:sz w:val="17"/>
              </w:rPr>
              <w:t>J+10  ⭐</w:t>
            </w:r>
          </w:p>
        </w:tc>
        <w:tc>
          <w:tcPr>
            <w:tcW w:type="dxa" w:w="1440"/>
            <w:shd w:fill="FFDCE0" w:val="clear"/>
          </w:tcPr>
          <w:p>
            <w:r>
              <w:rPr>
                <w:sz w:val="17"/>
              </w:rPr>
              <w:t>2026-10-15</w:t>
            </w:r>
          </w:p>
        </w:tc>
        <w:tc>
          <w:tcPr>
            <w:tcW w:type="dxa" w:w="1440"/>
            <w:shd w:fill="FFDCE0" w:val="clear"/>
          </w:tcPr>
          <w:p>
            <w:r>
              <w:rPr>
                <w:sz w:val="17"/>
              </w:rPr>
              <w:t>1,954</w:t>
            </w:r>
          </w:p>
        </w:tc>
        <w:tc>
          <w:tcPr>
            <w:tcW w:type="dxa" w:w="1440"/>
            <w:shd w:fill="FFDCE0" w:val="clear"/>
          </w:tcPr>
          <w:p>
            <w:r>
              <w:rPr>
                <w:b/>
                <w:sz w:val="17"/>
              </w:rPr>
              <w:t>2,194</w:t>
            </w:r>
          </w:p>
        </w:tc>
        <w:tc>
          <w:tcPr>
            <w:tcW w:type="dxa" w:w="1440"/>
            <w:shd w:fill="FFDCE0" w:val="clear"/>
          </w:tcPr>
          <w:p>
            <w:r>
              <w:rPr>
                <w:sz w:val="17"/>
              </w:rPr>
              <w:t>2,435</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48,97 milliards FCFA, UNXC se positionne comme une valeur moyenne du compartiment industriel de la BRVM, reflétant sa taille de PME textile régionale. Le BPA ressort à -105 FCFA/action sur l'exercice 2024, traduisant une perte par titre qui rend le PER inexploitable en l'état (-22,4x, négatif car la société était déficitaire). Le P/B de 3,14x indique que le marché valorise l'action à plus de trois fois sa valeur comptable, soit une prime de croissance significative qui n'est justifiée que si le redressement opérationnel se confirme durablement. Le ratio EV/EBITDA n'est pas fourni dans les données disponibles, mais au regard de l'EBE 2024 négatif (-352 M FCFA), il serait de toute façon non pertinent ; en revanche, avec l'EBE 2025 redevenu positif à 1,13 Md FCFA (rapport annuel 2025), la valeur d'entreprise rapportée à la capacité opérationnelle devient plus cohérente, bien que la prime de 3,14x sur les fonds propres reste exigeante pour une société tout juste convalescente.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spectaculaire de +30,75%, portant le cours à 2 360 FCFA, malgré un repli de -2,68% lors de la dernière séance qui marque une prise de bénéfices après le rallye. Le range de trading est particulièrement large, avec un plus haut à 2 495 FCFA et un plus bas à 1 250 FCFA, soit un écart de près de 100% entre les deux extrêmes, ce qui témoigne d'une tendance haussière puissante mais ponctuée de corrections violentes. Les statistiques descriptives révèlent une moyenne de 2 000 FCFA légèrement supérieure à la médiane de 1 940 FCFA et au mode de 1 970 FCFA, suggérant une distribution quasi-symétrique (skewness de -0,075) avec une légère prédominance des valeurs hautes en fin de période. L'écart-type de 304 FCFA et le coefficient de variation de 15,2% indiquent une dispersion modérée du cours autour de sa moyenne, tandis que le kurtosis de -0,521 (mésokurtique) signale une distribution proche de la normale, sans risque excessif de pics extrêmes. La volatilité annualisée de 49,6% classe toutefois le titre dans la catégorie des valeurs à volatilité élevée (&gt;30%), ce qui est cohérent avec le profil de redressement spéculatif d'UNXC et impose une gestion stricte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(2 351,5 FCFA) et la MM50 (2 216,2 FCFA) se situent toutes deux sous le cours actuel (2 360 FCFA), avec la MM20 au-dessus de la MM50, configuration classique de tendance haussière. Le cours évoluant au-dessus de ses deux moyennes, la décision technique est à l'achat, bien que la proximité immédiate du cours avec la MM20 suggère une possible consolidation.</w:t>
      </w:r>
    </w:p>
    <w:p>
      <w:pPr>
        <w:spacing w:after="120" w:line="276" w:lineRule="auto"/>
      </w:pPr>
      <w:r>
        <w:t>**Bandes de Bollinger** : Le cours (2 360 FCFA) se situe dans la moitié supérieure de la bande, entre la borne inférieure (2 224,4 FCFA) et la borne supérieure (2 478,6 FCFA), sans atteindre les extrêmes. Cette position médiane, couplée à une largeur de bande significative, traduit une volatilité toujours présente mais sans tension extrême, justifiant une décision neutre.</w:t>
      </w:r>
    </w:p>
    <w:p>
      <w:pPr>
        <w:spacing w:after="120" w:line="276" w:lineRule="auto"/>
      </w:pPr>
      <w:r>
        <w:t>**MACD** : La valeur du MACD (35,24) est inférieure à son signal (40,56), générant un croisement baissier qui indique un essoufflement du momentum haussier. Cette divergence négative, bien que modérée, plaide pour une décision de vente à court terme, confirmant la prise de bénéfices observée en J-1.</w:t>
      </w:r>
    </w:p>
    <w:p>
      <w:pPr>
        <w:spacing w:after="120" w:line="276" w:lineRule="auto"/>
      </w:pPr>
      <w:r>
        <w:t>**RSI** : À 46,36, le RSI se situe en zone neutre (30-70), sans signal de surachat ni de survente. Cette position médiane indique un équilibre entre acheteurs et vendeurs, avec une légère prédominance baissière depuis le repli récent, justifiant une décision neutre.</w:t>
      </w:r>
    </w:p>
    <w:p>
      <w:pPr>
        <w:spacing w:after="120" w:line="276" w:lineRule="auto"/>
      </w:pPr>
      <w:r>
        <w:t>**Stochastique** : Le %K (65,31) est nettement inférieur au %D (85,71), et le croisement des deux lignes en zone haute suggère un retournement baissier imminent. Le %D proche de la zone de surachat (80) renforce ce signal de prudence, bien que la décision reste neutre en l'absence de confirmation franche.</w:t>
      </w:r>
    </w:p>
    <w:p>
      <w:pPr>
        <w:spacing w:after="120" w:line="276" w:lineRule="auto"/>
      </w:pPr>
      <w:r>
        <w:t>**Conclusion technique** : Les indicateurs présentent un tableau mitigé, avec une tendance de fond haussière (MM) mais des signaux de momentum baissiers (MACD, Stochastique) et un RSI neutre. Le titre semble entrer dans une phase de consolidation après son rallye de +30%, et la divergence entre la structure haussière et les oscillateurs suggère une prudence à court terme, avec un support immédiat à surveiller autour de la MM20 (2 351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brossent le portrait d'une société en difficulté opérationnelle : le chiffre d'affaires s'élève à 27,333 Mds FCFA, en croissance de +15,4% par rapport à 2023 (23,690 Mds FCFA), mais le résultat net est une perte de -2,189 Mds FCFA, avec un ROE de -14,04% et un ROA de -6,39%. La marge nette est négative à -8,01%, et l'EBE est déficitaire à -352,22 M FCFA, tandis que le coefficient d'exploitation de 106,99% confirme que les charges dépassent les produits. La structure financière reste néanmoins solide avec une autonomie financière de 45,53% et une trésorerie nette positive de 2,495 Mds FCFA, mais le BFR de 2,149 Mds FCFA et les délais d'exploitation élevés (délai clients de 51 jours, durée de stockage de 255 jours) pèsent sur la trésorerie. Les rapports trimestriels 2025 (T1, S1, T3) révèlent une amélioration progressive : le CA du S1 2025 atteint 15,711 Mds FCFA (+12,5%), et le résultat net semestriel est exceptionnellement bénéficiaire à 8,217 Mds FCFA, mais uniquement grâce à une plus-value de cession-bail de 9,994 Mds FCFA ; hors cet élément non récurrent, le résultat d'exploitation reste négatif à -314 M FCFA. Le rapport annuel 2025 (publié en 2026) confirme le redressement : CA de 29,03 Mds FCFA (+6,2%), EBE redevenu positif à 1,13 Md FCFA, et perte nette réduite à -624 M FCFA (-71% vs 2024), avec un désendettement fournisseurs financé par des cessions d'actifs. Enfin, le rapport S1 2026 (publié en 2026) marque un tournant décisif : le résultat d'exploitation redevient positif à 771 M FCFA (contre -314 M FCFA au S1 2025), et le résultat net s'établit à 771 M FCFA, avec une marge nette de 4,9% et un CA de 15,752 Mds FCFA (+0,3%). On estime donc que l'exercice 2026 devrait confirmer le retour à une rentabilité opérationnelle structurelle, avec un résultat net annuel potentiellement positif autour de 1,5-2 Mds FCFA si la dynamique se poursuit. La recommandation fondamentale est de **conserver avec un biais acheteur**, car la société sort enfin de la zone de pertes opérationnelles, mais la valorisation (P/B de 3,14x) intègre déjà une bonne partie de ce redressement, et les risques (volatilité des marchés d'export, dépendance aux cessions d'actifs passées) restent présents.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avec un P/B de 3,14x et un PER négatif en 2024, mais le retour à un BPA positif en 2026 (estimé à environ 37 FCFA/action sur la base d'un résultat net de 1,5 Md FCFA pour 41,5 millions d'actions) ramènerait le PER autour de 64x, ce qui reste très élevé par rapport à la moyenne BRVM (8-12x), suggérant une surévaluation relative. Le comportement du cours (Partie 1) est haussier (+30,75%) mais la volatilité annualisée de 49,6% et le repli de -2,68% en J-1, couplés à une distribution symétrique (skewness -0,075) et mésokurtique, indiquent une tendance qui s'essouffle sans risque de krach imminent. Les signaux techniques (Partie 2) sont divergents : les moyennes mobiles restent haussières, mais le MACD baissier, le stochastique en zone de surachat et le RSI neutre plaident pour une consolidation à court terme. Les fondamentaux (Partie 3) montrent une amélioration réelle et encourageante (EBE positif en 2025, résultat d'exploitation positif au S1 2026), mais la rentabilité reste fragile et dépendante de facteurs non récurrents (cessions d'actifs). Les prédictions IA (J+1 à J+10) anticipent une baisse progressive de 2 352 FCFA à 2 274 FCFA, soit un repli de -3,6% sur 10 jours, ce qui confirme la thèse d'une consolidation après le rallye. Sur la base de cette synthèse, la recommandation finale est **CONSERVER**, avec un niveau de confiance **Moyen** et un risque global **Élevé** en raison de la volatilité du titre et de la valorisation tendue. L'horizon d'investissement optimal est le **moyen terme (3-12 mois)**, en attendant la confirmation d'une rentabilité opérationnelle durable sur l'ensemble de l'exercice 2026 et une normalisation de la valorisation. Un passage à l'achat serait justifié si le cours revenait vers 2 100-2 200 FCFA (zone de support technique) ou si les résultats annuels 2026 confirmaient un bénéfice net récurrent supérieur à 1,5 Md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