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28/09/2026 à 12:09</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HAUSSIER 📈</w:t>
      </w:r>
    </w:p>
    <w:p>
      <w:pPr>
        <w:spacing w:before="20" w:after="20"/>
        <w:ind w:left="360" w:right="360"/>
        <w:shd w:val="clear" w:color="auto" w:fill="EBF5FB"/>
      </w:pPr>
      <w:r>
        <w:rPr>
          <w:b/>
          <w:sz w:val="19"/>
        </w:rPr>
        <w:t xml:space="preserve">Signaux :  </w:t>
      </w:r>
      <w:r>
        <w:rPr>
          <w:color w:val="0050A0"/>
          <w:sz w:val="19"/>
        </w:rPr>
        <w:t>48 ACHAT  |  0 NEUTRE  |  0 VENTE  (sur 48 sociétés)</w:t>
      </w:r>
    </w:p>
    <w:p>
      <w:pPr>
        <w:spacing w:before="20" w:after="20"/>
        <w:ind w:left="360" w:right="360"/>
        <w:shd w:val="clear" w:color="auto" w:fill="EBF5FB"/>
      </w:pPr>
      <w:r>
        <w:rPr>
          <w:b/>
          <w:sz w:val="19"/>
        </w:rPr>
        <w:t xml:space="preserve">Top opportunité :  </w:t>
      </w:r>
      <w:r>
        <w:rPr>
          <w:color w:val="008000"/>
          <w:sz w:val="19"/>
        </w:rPr>
        <w:t>BOAB  (score 79/100)</w:t>
      </w:r>
    </w:p>
    <w:p>
      <w:pPr>
        <w:spacing w:before="20" w:after="20"/>
        <w:ind w:left="360" w:right="360"/>
        <w:shd w:val="clear" w:color="auto" w:fill="EBF5FB"/>
      </w:pPr>
      <w:r>
        <w:rPr>
          <w:b/>
          <w:sz w:val="19"/>
        </w:rPr>
        <w:t xml:space="preserve">Secteur surperformant :  </w:t>
      </w:r>
      <w:r>
        <w:rPr>
          <w:color w:val="008000"/>
          <w:sz w:val="19"/>
        </w:rPr>
        <w:t>SERVICES PUBLICS  (+64.4%)</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12 sociétés — vérifier avant d'investir</w:t>
      </w:r>
    </w:p>
    <w:p>
      <w:pPr>
        <w:spacing w:before="20" w:after="20"/>
        <w:ind w:left="360" w:right="360"/>
        <w:shd w:val="clear" w:color="auto" w:fill="EBF5FB"/>
      </w:pPr>
      <w:r>
        <w:rPr>
          <w:b/>
          <w:sz w:val="19"/>
        </w:rPr>
        <w:t xml:space="preserve">⚠️ Liquidité réduite :  </w:t>
      </w:r>
      <w:r>
        <w:rPr>
          <w:color w:val="C00000"/>
          <w:sz w:val="19"/>
        </w:rPr>
        <w:t>12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540.78 points </w:t>
      </w:r>
      <w:r>
        <w:rPr>
          <w:color w:val="008000"/>
        </w:rPr>
        <w:t>(+1.72%)</w:t>
      </w:r>
      <w:r>
        <w:t xml:space="preserve"> sur la séance. </w:t>
      </w:r>
      <w:r>
        <w:t>La capitalisation globale du marché atteint 21 206,603 milliards FCFA.</w:t>
      </w:r>
    </w:p>
    <w:p/>
    <w:p>
      <w:pPr>
        <w:pStyle w:val="Heading3"/>
      </w:pPr>
      <w:r>
        <w:t>📊 Évolution de l'indice BRVM Composite (100 derniers jours)</w:t>
      </w:r>
    </w:p>
    <w:p>
      <w:r>
        <w:rPr>
          <w:b/>
        </w:rPr>
        <w:t xml:space="preserve">BRVM Composite — </w:t>
      </w:r>
      <w:r>
        <w:t xml:space="preserve">Sur les 100 derniers jours de cotation (2026-05-04 au 2026-09-25), l'indice BRVM Composite a évolué de </w:t>
      </w:r>
      <w:r>
        <w:rPr>
          <w:b/>
          <w:color w:val="008000"/>
        </w:rPr>
        <w:t>+33.33%</w:t>
      </w:r>
      <w:r>
        <w:t>, passant de 405.60 pts à 540.78 pts. Le plus haut atteint est 555.90 pts et le plus bas 401.60 pts. Sur l'ensemble de la période, la moyenne de l'indice s'établit à 475.84 pts, la médiane à 475.67 pts et le mode à 401.60 pts</w:t>
      </w:r>
      <w:r>
        <w:t xml:space="preserve"> (distribution symétrique). </w:t>
      </w:r>
      <w:r>
        <w:t xml:space="preserve">L'écart-type de 47.00 pts (CV=9.9%) traduit une modérée dispersion des cotations. Le kurtosis de -1.14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+35.61%</w:t>
      </w:r>
      <w:r>
        <w:t xml:space="preserve"> sur la période, passant de 15 638,037 Mds FCFA à 21 206,603 Mds FCFA. Le pic de capitalisation observé est de 21 436,336 Mds FCFA et le plancher de 15 482,993 Mds FCFA. La moyenne de la capitalisation sur la période s'établit à 18 347,364 Mds FCFA, la médiane à 18 324,451 Mds FCFA et le mode à 15 482,993 Mds FCFA</w:t>
      </w:r>
      <w:r>
        <w:t xml:space="preserve"> (distribution symétrique). </w:t>
      </w:r>
      <w:r>
        <w:t>L'écart-type de 1 825,397 Mds FCFA (CV=9.9%) reflète une modérée variabilité de la valorisation du marché. Le kurtosis de -1.14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LNBB - LNBB - LOTERIE NATIONALE DU BENIN</w:t>
      </w:r>
      <w:r>
        <w:t xml:space="preserve"> | Prix: 3980 FCFA | </w:t>
      </w:r>
      <w:r>
        <w:rPr>
          <w:b/>
          <w:color w:val="008000"/>
        </w:rPr>
        <w:t>ACHAT FORT</w:t>
      </w:r>
      <w:r>
        <w:t xml:space="preserve"> | Confiance: Faible | Risque: Faible</w:t>
      </w:r>
    </w:p>
    <w:p>
      <w:pPr>
        <w:pStyle w:val="ListNumber"/>
      </w:pPr>
      <w:r>
        <w:rPr>
          <w:b/>
        </w:rPr>
        <w:t>ABJC - ABJC - SERVAIR ABIDJAN CI</w:t>
      </w:r>
      <w:r>
        <w:t xml:space="preserve"> | Prix: 3930 FCFA | </w:t>
      </w:r>
      <w:r>
        <w:rPr>
          <w:b/>
          <w:color w:val="008000"/>
        </w:rPr>
        <w:t>ACHAT</w:t>
      </w:r>
      <w:r>
        <w:t xml:space="preserve"> | Confiance: Moyen | Risque: Faible</w:t>
      </w:r>
    </w:p>
    <w:p>
      <w:pPr>
        <w:pStyle w:val="ListNumber"/>
      </w:pPr>
      <w:r>
        <w:rPr>
          <w:b/>
        </w:rPr>
        <w:t>BBGC - BRIDGE BANK GROUP COTE D'IVOIRE</w:t>
      </w:r>
      <w:r>
        <w:t xml:space="preserve"> | Prix: 7795 FCFA | </w:t>
      </w:r>
      <w:r>
        <w:rPr>
          <w:b/>
          <w:color w:val="008000"/>
        </w:rPr>
        <w:t>ACHAT</w:t>
      </w:r>
      <w:r>
        <w:t xml:space="preserve"> | Confiance: Moyen | Risque: Faible</w:t>
      </w:r>
    </w:p>
    <w:p>
      <w:pPr>
        <w:pStyle w:val="ListNumber"/>
      </w:pPr>
      <w:r>
        <w:rPr>
          <w:b/>
        </w:rPr>
        <w:t>BICB - BIIC BN - Banque internationale pour le commerce du benin</w:t>
      </w:r>
      <w:r>
        <w:t xml:space="preserve"> | Prix: 8510 FCFA | </w:t>
      </w:r>
      <w:r>
        <w:rPr>
          <w:b/>
          <w:color w:val="008000"/>
        </w:rPr>
        <w:t>ACHAT</w:t>
      </w:r>
      <w:r>
        <w:t xml:space="preserve"> | Confiance: Élevée | Risque: Moyen</w:t>
      </w:r>
    </w:p>
    <w:p>
      <w:pPr>
        <w:pStyle w:val="ListNumber"/>
      </w:pPr>
      <w:r>
        <w:rPr>
          <w:b/>
        </w:rPr>
        <w:t>BICC - BICI CI - Banque internationale pour le commerce et l'industrie de la Côte d'Ivoire</w:t>
      </w:r>
      <w:r>
        <w:t xml:space="preserve"> | Prix: 32000 FCFA | </w:t>
      </w:r>
      <w:r>
        <w:rPr>
          <w:b/>
          <w:color w:val="008000"/>
        </w:rPr>
        <w:t>ACHAT</w:t>
      </w:r>
      <w:r>
        <w:t xml:space="preserve"> | Confiance: Moyen | Risque: Moyen</w:t>
      </w:r>
    </w:p>
    <w:p>
      <w:pPr>
        <w:pStyle w:val="ListNumber"/>
      </w:pPr>
      <w:r>
        <w:rPr>
          <w:b/>
        </w:rPr>
        <w:t>BNBC - BNBC - BERNABE CI</w:t>
      </w:r>
      <w:r>
        <w:t xml:space="preserve"> | Prix: 2010 FCFA | </w:t>
      </w:r>
      <w:r>
        <w:rPr>
          <w:b/>
          <w:color w:val="008000"/>
        </w:rPr>
        <w:t>ACHAT</w:t>
      </w:r>
      <w:r>
        <w:t xml:space="preserve"> | Confiance: Moyen | Risque: Faible</w:t>
      </w:r>
    </w:p>
    <w:p>
      <w:pPr>
        <w:pStyle w:val="ListNumber"/>
      </w:pPr>
      <w:r>
        <w:rPr>
          <w:b/>
        </w:rPr>
        <w:t>BOAB - BANK OF AFRICA BENIN</w:t>
      </w:r>
      <w:r>
        <w:t xml:space="preserve"> | Prix: 8950 FCFA | </w:t>
      </w:r>
      <w:r>
        <w:rPr>
          <w:b/>
          <w:color w:val="008000"/>
        </w:rPr>
        <w:t>ACHAT</w:t>
      </w:r>
      <w:r>
        <w:t xml:space="preserve"> | Confiance: Élevée | Risque: Faible</w:t>
      </w:r>
    </w:p>
    <w:p>
      <w:pPr>
        <w:pStyle w:val="ListNumber"/>
      </w:pPr>
      <w:r>
        <w:rPr>
          <w:b/>
        </w:rPr>
        <w:t>BOABF - BANK OF AFRICA BURKINA FASO</w:t>
      </w:r>
      <w:r>
        <w:t xml:space="preserve"> | Prix: 8100 FCFA | </w:t>
      </w:r>
      <w:r>
        <w:rPr>
          <w:b/>
          <w:color w:val="008000"/>
        </w:rPr>
        <w:t>ACHAT</w:t>
      </w:r>
      <w:r>
        <w:t xml:space="preserve"> | Confiance: Moyen | Risque: Moyen</w:t>
      </w:r>
    </w:p>
    <w:p>
      <w:pPr>
        <w:pStyle w:val="ListNumber"/>
      </w:pPr>
      <w:r>
        <w:rPr>
          <w:b/>
        </w:rPr>
        <w:t>BOAC - BANK OF AFRICA COTE D'IVOIRE</w:t>
      </w:r>
      <w:r>
        <w:t xml:space="preserve"> | Prix: 11595 FCFA | </w:t>
      </w:r>
      <w:r>
        <w:rPr>
          <w:b/>
          <w:color w:val="008000"/>
        </w:rPr>
        <w:t>ACHAT</w:t>
      </w:r>
      <w:r>
        <w:t xml:space="preserve"> | Confiance: Moyen | Risque: Moyen</w:t>
      </w:r>
    </w:p>
    <w:p>
      <w:pPr>
        <w:pStyle w:val="ListNumber"/>
      </w:pPr>
      <w:r>
        <w:rPr>
          <w:b/>
        </w:rPr>
        <w:t>BOAM - BANK OF AFRICA MALI</w:t>
      </w:r>
      <w:r>
        <w:t xml:space="preserve"> | Prix: 6290 FCFA | </w:t>
      </w:r>
      <w:r>
        <w:rPr>
          <w:b/>
          <w:color w:val="008000"/>
        </w:rPr>
        <w:t>ACHAT</w:t>
      </w:r>
      <w:r>
        <w:t xml:space="preserve"> | Confiance: Moyen | Risque: Moyen</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48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64.40%</w:t>
      </w:r>
      <w:r>
        <w:t xml:space="preserve">  |  </w:t>
      </w:r>
      <w:r>
        <w:rPr>
          <w:b/>
        </w:rPr>
        <w:t xml:space="preserve">vs BRVM Composite: </w:t>
      </w:r>
      <w:r>
        <w:rPr>
          <w:b/>
          <w:color w:val="008000"/>
        </w:rPr>
        <w:t>+31.07%  🟢 Surperformance</w:t>
      </w:r>
      <w:r>
        <w:br/>
      </w:r>
      <w:r>
        <w:rPr>
          <w:b/>
        </w:rPr>
        <w:t xml:space="preserve">Sentiment général: </w:t>
      </w:r>
      <w:r>
        <w:t xml:space="preserve">ACHAT  |  </w:t>
      </w:r>
      <w:r>
        <w:rPr>
          <w:b/>
        </w:rPr>
        <w:t xml:space="preserve">Risque moyen: </w:t>
      </w:r>
      <w:r>
        <w:t xml:space="preserve">Moyen  |  </w:t>
      </w:r>
      <w:r>
        <w:rPr>
          <w:b/>
        </w:rPr>
        <w:t xml:space="preserve">Prix moyen: </w:t>
      </w:r>
      <w:r>
        <w:t>9170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37.12%</w:t>
      </w:r>
      <w:r>
        <w:t xml:space="preserve">  |  </w:t>
      </w:r>
      <w:r>
        <w:rPr>
          <w:b/>
        </w:rPr>
        <w:t xml:space="preserve">vs BRVM Composite: </w:t>
      </w:r>
      <w:r>
        <w:rPr>
          <w:b/>
          <w:color w:val="008000"/>
        </w:rPr>
        <w:t>+3.79%  🟢 Surperformance</w:t>
      </w:r>
      <w:r>
        <w:br/>
      </w:r>
      <w:r>
        <w:rPr>
          <w:b/>
        </w:rPr>
        <w:t xml:space="preserve">Sentiment général: </w:t>
      </w:r>
      <w:r>
        <w:t xml:space="preserve">ACHAT  |  </w:t>
      </w:r>
      <w:r>
        <w:rPr>
          <w:b/>
        </w:rPr>
        <w:t xml:space="preserve">Risque moyen: </w:t>
      </w:r>
      <w:r>
        <w:t xml:space="preserve">Moyen  |  </w:t>
      </w:r>
      <w:r>
        <w:rPr>
          <w:b/>
        </w:rPr>
        <w:t xml:space="preserve">Prix moyen: </w:t>
      </w:r>
      <w:r>
        <w:t>13425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31.66%</w:t>
      </w:r>
      <w:r>
        <w:t xml:space="preserve">  |  </w:t>
      </w:r>
      <w:r>
        <w:rPr>
          <w:b/>
        </w:rPr>
        <w:t xml:space="preserve">vs BRVM Composite: </w:t>
      </w:r>
      <w:r>
        <w:rPr>
          <w:b/>
          <w:color w:val="C00000"/>
        </w:rPr>
        <w:t>-1.66%  🔴 Sous-performance</w:t>
      </w:r>
      <w:r>
        <w:br/>
      </w:r>
      <w:r>
        <w:rPr>
          <w:b/>
        </w:rPr>
        <w:t xml:space="preserve">Sentiment général: </w:t>
      </w:r>
      <w:r>
        <w:t xml:space="preserve">ACHAT  |  </w:t>
      </w:r>
      <w:r>
        <w:rPr>
          <w:b/>
        </w:rPr>
        <w:t xml:space="preserve">Risque moyen: </w:t>
      </w:r>
      <w:r>
        <w:t xml:space="preserve">Faible  |  </w:t>
      </w:r>
      <w:r>
        <w:rPr>
          <w:b/>
        </w:rPr>
        <w:t xml:space="preserve">Prix moyen: </w:t>
      </w:r>
      <w:r>
        <w:t>22252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23.59%</w:t>
      </w:r>
      <w:r>
        <w:t xml:space="preserve">  |  </w:t>
      </w:r>
      <w:r>
        <w:rPr>
          <w:b/>
        </w:rPr>
        <w:t xml:space="preserve">vs BRVM Composite: </w:t>
      </w:r>
      <w:r>
        <w:rPr>
          <w:b/>
          <w:color w:val="C00000"/>
        </w:rPr>
        <w:t>-9.74%  🔴 Sous-performance</w:t>
      </w:r>
      <w:r>
        <w:br/>
      </w:r>
      <w:r>
        <w:rPr>
          <w:b/>
        </w:rPr>
        <w:t xml:space="preserve">Sentiment général: </w:t>
      </w:r>
      <w:r>
        <w:t xml:space="preserve">ACHAT  |  </w:t>
      </w:r>
      <w:r>
        <w:rPr>
          <w:b/>
        </w:rPr>
        <w:t xml:space="preserve">Risque moyen: </w:t>
      </w:r>
      <w:r>
        <w:t xml:space="preserve">Faible  |  </w:t>
      </w:r>
      <w:r>
        <w:rPr>
          <w:b/>
        </w:rPr>
        <w:t xml:space="preserve">Prix moyen: </w:t>
      </w:r>
      <w:r>
        <w:t>6269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23.48%</w:t>
      </w:r>
      <w:r>
        <w:t xml:space="preserve">  |  </w:t>
      </w:r>
      <w:r>
        <w:rPr>
          <w:b/>
        </w:rPr>
        <w:t xml:space="preserve">vs BRVM Composite: </w:t>
      </w:r>
      <w:r>
        <w:rPr>
          <w:b/>
          <w:color w:val="C00000"/>
        </w:rPr>
        <w:t>-9.85%  🔴 Sous-performance</w:t>
      </w:r>
      <w:r>
        <w:br/>
      </w:r>
      <w:r>
        <w:rPr>
          <w:b/>
        </w:rPr>
        <w:t xml:space="preserve">Sentiment général: </w:t>
      </w:r>
      <w:r>
        <w:t xml:space="preserve">ACHAT  |  </w:t>
      </w:r>
      <w:r>
        <w:rPr>
          <w:b/>
        </w:rPr>
        <w:t xml:space="preserve">Risque moyen: </w:t>
      </w:r>
      <w:r>
        <w:t xml:space="preserve">Faible  |  </w:t>
      </w:r>
      <w:r>
        <w:rPr>
          <w:b/>
        </w:rPr>
        <w:t xml:space="preserve">Prix moyen: </w:t>
      </w:r>
      <w:r>
        <w:t>17900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20.22%</w:t>
      </w:r>
      <w:r>
        <w:t xml:space="preserve">  |  </w:t>
      </w:r>
      <w:r>
        <w:rPr>
          <w:b/>
        </w:rPr>
        <w:t xml:space="preserve">vs BRVM Composite: </w:t>
      </w:r>
      <w:r>
        <w:rPr>
          <w:b/>
          <w:color w:val="C00000"/>
        </w:rPr>
        <w:t>-13.11%  🔴 Sous-performance</w:t>
      </w:r>
      <w:r>
        <w:br/>
      </w:r>
      <w:r>
        <w:rPr>
          <w:b/>
        </w:rPr>
        <w:t xml:space="preserve">Sentiment général: </w:t>
      </w:r>
      <w:r>
        <w:t xml:space="preserve">ACHAT  |  </w:t>
      </w:r>
      <w:r>
        <w:rPr>
          <w:b/>
        </w:rPr>
        <w:t xml:space="preserve">Risque moyen: </w:t>
      </w:r>
      <w:r>
        <w:t xml:space="preserve">Faible  |  </w:t>
      </w:r>
      <w:r>
        <w:rPr>
          <w:b/>
        </w:rPr>
        <w:t xml:space="preserve">Prix moyen: </w:t>
      </w:r>
      <w:r>
        <w:t>2916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7.44%</w:t>
      </w:r>
      <w:r>
        <w:t xml:space="preserve">  |  </w:t>
      </w:r>
      <w:r>
        <w:rPr>
          <w:b/>
        </w:rPr>
        <w:t xml:space="preserve">vs BRVM Composite: </w:t>
      </w:r>
      <w:r>
        <w:rPr>
          <w:b/>
          <w:color w:val="C00000"/>
        </w:rPr>
        <w:t>-25.89%  🔴 Sous-performance</w:t>
      </w:r>
      <w:r>
        <w:br/>
      </w:r>
      <w:r>
        <w:rPr>
          <w:b/>
        </w:rPr>
        <w:t xml:space="preserve">Sentiment général: </w:t>
      </w:r>
      <w:r>
        <w:t xml:space="preserve">ACHAT  |  </w:t>
      </w:r>
      <w:r>
        <w:rPr>
          <w:b/>
        </w:rPr>
        <w:t xml:space="preserve">Risque moyen: </w:t>
      </w:r>
      <w:r>
        <w:t xml:space="preserve">Faible  |  </w:t>
      </w:r>
      <w:r>
        <w:rPr>
          <w:b/>
        </w:rPr>
        <w:t xml:space="preserve">Prix moyen: </w:t>
      </w:r>
      <w:r>
        <w:t>7795 FCFA</w:t>
        <w:br/>
      </w:r>
      <w:r>
        <w:rPr>
          <w:b/>
        </w:rPr>
        <w:br/>
        <w:t xml:space="preserve">Sociétés: </w:t>
      </w:r>
      <w:r>
        <w:t>BBGC (BRIDGE BANK GROUP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-2.93%</w:t>
      </w:r>
      <w:r>
        <w:t xml:space="preserve">  |  </w:t>
      </w:r>
      <w:r>
        <w:rPr>
          <w:b/>
        </w:rPr>
        <w:t xml:space="preserve">vs BRVM Composite: </w:t>
      </w:r>
      <w:r>
        <w:rPr>
          <w:b/>
          <w:color w:val="C00000"/>
        </w:rPr>
        <w:t>-36.25%  🔴 Sous-performance</w:t>
      </w:r>
      <w:r>
        <w:br/>
      </w:r>
      <w:r>
        <w:rPr>
          <w:b/>
        </w:rPr>
        <w:t xml:space="preserve">Sentiment général: </w:t>
      </w:r>
      <w:r>
        <w:t xml:space="preserve">ACHAT  |  </w:t>
      </w:r>
      <w:r>
        <w:rPr>
          <w:b/>
        </w:rPr>
        <w:t xml:space="preserve">Risque moyen: </w:t>
      </w:r>
      <w:r>
        <w:t xml:space="preserve">Moyen  |  </w:t>
      </w:r>
      <w:r>
        <w:rPr>
          <w:b/>
        </w:rPr>
        <w:t xml:space="preserve">Prix moyen: </w:t>
      </w:r>
      <w:r>
        <w:t>2313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BICB, BOAB, ECOC, NEIC, SAFC, SGBC, SHEC, SPHC, TTLS</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BBGC, BICC, BNBC, BOABF, BOAC, BOAM, BOAN, BOAS, CBIBF, CIEC, ETIT, FTSC, NSBC, ORAC, ORGT, PALC, SDCC, SDSC, SEMC, SIBC, SIVC, SMBC, SNTS, STAC, TTLC,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CABC, CFAC, LNBB, NTLC, ONTBF, PRSC, SCRC, SICC, SLBC, SOGC, STBC, UNLC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2035231</w:t>
            </w:r>
          </w:p>
        </w:tc>
        <w:tc>
          <w:tcPr>
            <w:tcW w:type="dxa" w:w="1728"/>
          </w:tcPr>
          <w:p>
            <w:r>
              <w:t>138000124 FCFA</w:t>
            </w:r>
          </w:p>
        </w:tc>
        <w:tc>
          <w:tcPr>
            <w:tcW w:type="dxa" w:w="1728"/>
          </w:tcPr>
          <w:p>
            <w:r>
              <w:t>130.00%</w:t>
            </w:r>
          </w:p>
        </w:tc>
        <w:tc>
          <w:tcPr>
            <w:tcW w:type="dxa" w:w="1728"/>
          </w:tcPr>
          <w:p>
            <w:r>
              <w:t>ACHAT</w:t>
            </w:r>
          </w:p>
        </w:tc>
      </w:tr>
      <w:tr>
        <w:tc>
          <w:tcPr>
            <w:tcW w:type="dxa" w:w="1728"/>
          </w:tcPr>
          <w:p>
            <w:r>
              <w:t>SNTS (SNTS - SONATEL SN)</w:t>
            </w:r>
          </w:p>
        </w:tc>
        <w:tc>
          <w:tcPr>
            <w:tcW w:type="dxa" w:w="1728"/>
          </w:tcPr>
          <w:p>
            <w:r>
              <w:t>20637</w:t>
            </w:r>
          </w:p>
        </w:tc>
        <w:tc>
          <w:tcPr>
            <w:tcW w:type="dxa" w:w="1728"/>
          </w:tcPr>
          <w:p>
            <w:r>
              <w:t>831310256 FCFA</w:t>
            </w:r>
          </w:p>
        </w:tc>
        <w:tc>
          <w:tcPr>
            <w:tcW w:type="dxa" w:w="1728"/>
          </w:tcPr>
          <w:p>
            <w:r>
              <w:t>46.55%</w:t>
            </w:r>
          </w:p>
        </w:tc>
        <w:tc>
          <w:tcPr>
            <w:tcW w:type="dxa" w:w="1728"/>
          </w:tcPr>
          <w:p>
            <w:r>
              <w:t>ACHAT</w:t>
            </w:r>
          </w:p>
        </w:tc>
      </w:tr>
      <w:tr>
        <w:tc>
          <w:tcPr>
            <w:tcW w:type="dxa" w:w="1728"/>
          </w:tcPr>
          <w:p>
            <w:r>
              <w:t>BBGC (BRIDGE BANK GROUP COTE D'IVOIRE)</w:t>
            </w:r>
          </w:p>
        </w:tc>
        <w:tc>
          <w:tcPr>
            <w:tcW w:type="dxa" w:w="1728"/>
          </w:tcPr>
          <w:p>
            <w:r>
              <w:t>18965</w:t>
            </w:r>
          </w:p>
        </w:tc>
        <w:tc>
          <w:tcPr>
            <w:tcW w:type="dxa" w:w="1728"/>
          </w:tcPr>
          <w:p>
            <w:r>
              <w:t>142182155 FCFA</w:t>
            </w:r>
          </w:p>
        </w:tc>
        <w:tc>
          <w:tcPr>
            <w:tcW w:type="dxa" w:w="1728"/>
          </w:tcPr>
          <w:p>
            <w:r>
              <w:t>7.44%</w:t>
            </w:r>
          </w:p>
        </w:tc>
        <w:tc>
          <w:tcPr>
            <w:tcW w:type="dxa" w:w="1728"/>
          </w:tcPr>
          <w:p>
            <w:r>
              <w:t>ACHAT</w:t>
            </w:r>
          </w:p>
        </w:tc>
      </w:tr>
      <w:tr>
        <w:tc>
          <w:tcPr>
            <w:tcW w:type="dxa" w:w="1728"/>
          </w:tcPr>
          <w:p>
            <w:r>
              <w:t>SIBC (SIBC - SOCIETE IVOIRIENNE DE BANQUE)</w:t>
            </w:r>
          </w:p>
        </w:tc>
        <w:tc>
          <w:tcPr>
            <w:tcW w:type="dxa" w:w="1728"/>
          </w:tcPr>
          <w:p>
            <w:r>
              <w:t>16684</w:t>
            </w:r>
          </w:p>
        </w:tc>
        <w:tc>
          <w:tcPr>
            <w:tcW w:type="dxa" w:w="1728"/>
          </w:tcPr>
          <w:p>
            <w:r>
              <w:t>151606857 FCFA</w:t>
            </w:r>
          </w:p>
        </w:tc>
        <w:tc>
          <w:tcPr>
            <w:tcW w:type="dxa" w:w="1728"/>
          </w:tcPr>
          <w:p>
            <w:r>
              <w:t>23.63%</w:t>
            </w:r>
          </w:p>
        </w:tc>
        <w:tc>
          <w:tcPr>
            <w:tcW w:type="dxa" w:w="1728"/>
          </w:tcPr>
          <w:p>
            <w:r>
              <w:t>ACHAT</w:t>
            </w:r>
          </w:p>
        </w:tc>
      </w:tr>
      <w:tr>
        <w:tc>
          <w:tcPr>
            <w:tcW w:type="dxa" w:w="1728"/>
          </w:tcPr>
          <w:p>
            <w:r>
              <w:t>SDSC (SDSC - AFRICA GLOBAL LOGISTICS CI)</w:t>
            </w:r>
          </w:p>
        </w:tc>
        <w:tc>
          <w:tcPr>
            <w:tcW w:type="dxa" w:w="1728"/>
          </w:tcPr>
          <w:p>
            <w:r>
              <w:t>16256</w:t>
            </w:r>
          </w:p>
        </w:tc>
        <w:tc>
          <w:tcPr>
            <w:tcW w:type="dxa" w:w="1728"/>
          </w:tcPr>
          <w:p>
            <w:r>
              <w:t>47474510 FCFA</w:t>
            </w:r>
          </w:p>
        </w:tc>
        <w:tc>
          <w:tcPr>
            <w:tcW w:type="dxa" w:w="1728"/>
          </w:tcPr>
          <w:p>
            <w:r>
              <w:t>72.62%</w:t>
            </w:r>
          </w:p>
        </w:tc>
        <w:tc>
          <w:tcPr>
            <w:tcW w:type="dxa" w:w="1728"/>
          </w:tcPr>
          <w:p>
            <w:r>
              <w:t>ACHAT</w:t>
            </w:r>
          </w:p>
        </w:tc>
      </w:tr>
      <w:tr>
        <w:tc>
          <w:tcPr>
            <w:tcW w:type="dxa" w:w="1728"/>
          </w:tcPr>
          <w:p>
            <w:r>
              <w:t>BOAS (BANK OF AFRICA SENEGAL)</w:t>
            </w:r>
          </w:p>
        </w:tc>
        <w:tc>
          <w:tcPr>
            <w:tcW w:type="dxa" w:w="1728"/>
          </w:tcPr>
          <w:p>
            <w:r>
              <w:t>14302</w:t>
            </w:r>
          </w:p>
        </w:tc>
        <w:tc>
          <w:tcPr>
            <w:tcW w:type="dxa" w:w="1728"/>
          </w:tcPr>
          <w:p>
            <w:r>
              <w:t>116633858 FCFA</w:t>
            </w:r>
          </w:p>
        </w:tc>
        <w:tc>
          <w:tcPr>
            <w:tcW w:type="dxa" w:w="1728"/>
          </w:tcPr>
          <w:p>
            <w:r>
              <w:t>14.08%</w:t>
            </w:r>
          </w:p>
        </w:tc>
        <w:tc>
          <w:tcPr>
            <w:tcW w:type="dxa" w:w="1728"/>
          </w:tcPr>
          <w:p>
            <w:r>
              <w:t>ACHAT</w:t>
            </w:r>
          </w:p>
        </w:tc>
      </w:tr>
      <w:tr>
        <w:tc>
          <w:tcPr>
            <w:tcW w:type="dxa" w:w="1728"/>
          </w:tcPr>
          <w:p>
            <w:r>
              <w:t>SAFC (SAFCA CI)</w:t>
            </w:r>
          </w:p>
        </w:tc>
        <w:tc>
          <w:tcPr>
            <w:tcW w:type="dxa" w:w="1728"/>
          </w:tcPr>
          <w:p>
            <w:r>
              <w:t>13071</w:t>
            </w:r>
          </w:p>
        </w:tc>
        <w:tc>
          <w:tcPr>
            <w:tcW w:type="dxa" w:w="1728"/>
          </w:tcPr>
          <w:p>
            <w:r>
              <w:t>69476577 FCFA</w:t>
            </w:r>
          </w:p>
        </w:tc>
        <w:tc>
          <w:tcPr>
            <w:tcW w:type="dxa" w:w="1728"/>
          </w:tcPr>
          <w:p>
            <w:r>
              <w:t>28.74%</w:t>
            </w:r>
          </w:p>
        </w:tc>
        <w:tc>
          <w:tcPr>
            <w:tcW w:type="dxa" w:w="1728"/>
          </w:tcPr>
          <w:p>
            <w:r>
              <w:t>ACHAT</w:t>
            </w:r>
          </w:p>
        </w:tc>
      </w:tr>
      <w:tr>
        <w:tc>
          <w:tcPr>
            <w:tcW w:type="dxa" w:w="1728"/>
          </w:tcPr>
          <w:p>
            <w:r>
              <w:t>UNXC (UNXC - UNIWAX COTE D'IVOIRE)</w:t>
            </w:r>
          </w:p>
        </w:tc>
        <w:tc>
          <w:tcPr>
            <w:tcW w:type="dxa" w:w="1728"/>
          </w:tcPr>
          <w:p>
            <w:r>
              <w:t>11961</w:t>
            </w:r>
          </w:p>
        </w:tc>
        <w:tc>
          <w:tcPr>
            <w:tcW w:type="dxa" w:w="1728"/>
          </w:tcPr>
          <w:p>
            <w:r>
              <w:t>28043455 FCFA</w:t>
            </w:r>
          </w:p>
        </w:tc>
        <w:tc>
          <w:tcPr>
            <w:tcW w:type="dxa" w:w="1728"/>
          </w:tcPr>
          <w:p>
            <w:r>
              <w:t>25.00%</w:t>
            </w:r>
          </w:p>
        </w:tc>
        <w:tc>
          <w:tcPr>
            <w:tcW w:type="dxa" w:w="1728"/>
          </w:tcPr>
          <w:p>
            <w:r>
              <w:t>ACHAT</w:t>
            </w:r>
          </w:p>
        </w:tc>
      </w:tr>
      <w:tr>
        <w:tc>
          <w:tcPr>
            <w:tcW w:type="dxa" w:w="1728"/>
          </w:tcPr>
          <w:p>
            <w:r>
              <w:t>BOAC (BANK OF AFRICA COTE D'IVOIRE)</w:t>
            </w:r>
          </w:p>
        </w:tc>
        <w:tc>
          <w:tcPr>
            <w:tcW w:type="dxa" w:w="1728"/>
          </w:tcPr>
          <w:p>
            <w:r>
              <w:t>11960</w:t>
            </w:r>
          </w:p>
        </w:tc>
        <w:tc>
          <w:tcPr>
            <w:tcW w:type="dxa" w:w="1728"/>
          </w:tcPr>
          <w:p>
            <w:r>
              <w:t>142433242 FCFA</w:t>
            </w:r>
          </w:p>
        </w:tc>
        <w:tc>
          <w:tcPr>
            <w:tcW w:type="dxa" w:w="1728"/>
          </w:tcPr>
          <w:p>
            <w:r>
              <w:t>31.09%</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ABJC (ABJC - SERVAIR ABIDJAN CI)</w:t>
            </w:r>
          </w:p>
        </w:tc>
        <w:tc>
          <w:tcPr>
            <w:tcW w:type="dxa" w:w="1728"/>
          </w:tcPr>
          <w:p>
            <w:r>
              <w:t>4067</w:t>
            </w:r>
          </w:p>
        </w:tc>
        <w:tc>
          <w:tcPr>
            <w:tcW w:type="dxa" w:w="1728"/>
          </w:tcPr>
          <w:p>
            <w:r>
              <w:t>15953998 FCFA</w:t>
            </w:r>
          </w:p>
        </w:tc>
        <w:tc>
          <w:tcPr>
            <w:tcW w:type="dxa" w:w="1728"/>
          </w:tcPr>
          <w:p>
            <w:r>
              <w:t>32.10%</w:t>
            </w:r>
          </w:p>
        </w:tc>
        <w:tc>
          <w:tcPr>
            <w:tcW w:type="dxa" w:w="1728"/>
          </w:tcPr>
          <w:p>
            <w:r>
              <w:t>ACHAT</w:t>
            </w:r>
          </w:p>
        </w:tc>
      </w:tr>
      <w:tr>
        <w:tc>
          <w:tcPr>
            <w:tcW w:type="dxa" w:w="1728"/>
          </w:tcPr>
          <w:p>
            <w:r>
              <w:t>BNBC (BNBC - BERNABE CI)</w:t>
            </w:r>
          </w:p>
        </w:tc>
        <w:tc>
          <w:tcPr>
            <w:tcW w:type="dxa" w:w="1728"/>
          </w:tcPr>
          <w:p>
            <w:r>
              <w:t>4005</w:t>
            </w:r>
          </w:p>
        </w:tc>
        <w:tc>
          <w:tcPr>
            <w:tcW w:type="dxa" w:w="1728"/>
          </w:tcPr>
          <w:p>
            <w:r>
              <w:t>8647882 FCFA</w:t>
            </w:r>
          </w:p>
        </w:tc>
        <w:tc>
          <w:tcPr>
            <w:tcW w:type="dxa" w:w="1728"/>
          </w:tcPr>
          <w:p>
            <w:r>
              <w:t>38.62%</w:t>
            </w:r>
          </w:p>
        </w:tc>
        <w:tc>
          <w:tcPr>
            <w:tcW w:type="dxa" w:w="1728"/>
          </w:tcPr>
          <w:p>
            <w:r>
              <w:t>ACHAT</w:t>
            </w:r>
          </w:p>
        </w:tc>
      </w:tr>
      <w:tr>
        <w:tc>
          <w:tcPr>
            <w:tcW w:type="dxa" w:w="1728"/>
          </w:tcPr>
          <w:p>
            <w:r>
              <w:t>PALC (PALC - PALM COTE D'IVOIRE)</w:t>
            </w:r>
          </w:p>
        </w:tc>
        <w:tc>
          <w:tcPr>
            <w:tcW w:type="dxa" w:w="1728"/>
          </w:tcPr>
          <w:p>
            <w:r>
              <w:t>3666</w:t>
            </w:r>
          </w:p>
        </w:tc>
        <w:tc>
          <w:tcPr>
            <w:tcW w:type="dxa" w:w="1728"/>
          </w:tcPr>
          <w:p>
            <w:r>
              <w:t>31197315 FCFA</w:t>
            </w:r>
          </w:p>
        </w:tc>
        <w:tc>
          <w:tcPr>
            <w:tcW w:type="dxa" w:w="1728"/>
          </w:tcPr>
          <w:p>
            <w:r>
              <w:t>15.71%</w:t>
            </w:r>
          </w:p>
        </w:tc>
        <w:tc>
          <w:tcPr>
            <w:tcW w:type="dxa" w:w="1728"/>
          </w:tcPr>
          <w:p>
            <w:r>
              <w:t>ACHAT</w:t>
            </w:r>
          </w:p>
        </w:tc>
      </w:tr>
      <w:tr>
        <w:tc>
          <w:tcPr>
            <w:tcW w:type="dxa" w:w="1728"/>
          </w:tcPr>
          <w:p>
            <w:r>
              <w:t>SOGC (SOGC - Société des caoutchoucs de Grand-Béréby)</w:t>
            </w:r>
          </w:p>
        </w:tc>
        <w:tc>
          <w:tcPr>
            <w:tcW w:type="dxa" w:w="1728"/>
          </w:tcPr>
          <w:p>
            <w:r>
              <w:t>3576</w:t>
            </w:r>
          </w:p>
        </w:tc>
        <w:tc>
          <w:tcPr>
            <w:tcW w:type="dxa" w:w="1728"/>
          </w:tcPr>
          <w:p>
            <w:r>
              <w:t>29382577 FCFA</w:t>
            </w:r>
          </w:p>
        </w:tc>
        <w:tc>
          <w:tcPr>
            <w:tcW w:type="dxa" w:w="1728"/>
          </w:tcPr>
          <w:p>
            <w:r>
              <w:t>9.72%</w:t>
            </w:r>
          </w:p>
        </w:tc>
        <w:tc>
          <w:tcPr>
            <w:tcW w:type="dxa" w:w="1728"/>
          </w:tcPr>
          <w:p>
            <w:r>
              <w:t>ACHAT</w:t>
            </w:r>
          </w:p>
        </w:tc>
      </w:tr>
      <w:tr>
        <w:tc>
          <w:tcPr>
            <w:tcW w:type="dxa" w:w="1728"/>
          </w:tcPr>
          <w:p>
            <w:r>
              <w:t>CFAC (CFAC - CFAO MOTORS CI)</w:t>
            </w:r>
          </w:p>
        </w:tc>
        <w:tc>
          <w:tcPr>
            <w:tcW w:type="dxa" w:w="1728"/>
          </w:tcPr>
          <w:p>
            <w:r>
              <w:t>3296</w:t>
            </w:r>
          </w:p>
        </w:tc>
        <w:tc>
          <w:tcPr>
            <w:tcW w:type="dxa" w:w="1728"/>
          </w:tcPr>
          <w:p>
            <w:r>
              <w:t>5565378 FCFA</w:t>
            </w:r>
          </w:p>
        </w:tc>
        <w:tc>
          <w:tcPr>
            <w:tcW w:type="dxa" w:w="1728"/>
          </w:tcPr>
          <w:p>
            <w:r>
              <w:t>8.74%</w:t>
            </w:r>
          </w:p>
        </w:tc>
        <w:tc>
          <w:tcPr>
            <w:tcW w:type="dxa" w:w="1728"/>
          </w:tcPr>
          <w:p>
            <w:r>
              <w:t>ACHAT</w:t>
            </w:r>
          </w:p>
        </w:tc>
      </w:tr>
      <w:tr>
        <w:tc>
          <w:tcPr>
            <w:tcW w:type="dxa" w:w="1728"/>
          </w:tcPr>
          <w:p>
            <w:r>
              <w:t>STBC (STBC - SITAB COTE D'IVOIRE)</w:t>
            </w:r>
          </w:p>
        </w:tc>
        <w:tc>
          <w:tcPr>
            <w:tcW w:type="dxa" w:w="1728"/>
          </w:tcPr>
          <w:p>
            <w:r>
              <w:t>3125</w:t>
            </w:r>
          </w:p>
        </w:tc>
        <w:tc>
          <w:tcPr>
            <w:tcW w:type="dxa" w:w="1728"/>
          </w:tcPr>
          <w:p>
            <w:r>
              <w:t>68165589 FCFA</w:t>
            </w:r>
          </w:p>
        </w:tc>
        <w:tc>
          <w:tcPr>
            <w:tcW w:type="dxa" w:w="1728"/>
          </w:tcPr>
          <w:p>
            <w:r>
              <w:t>4.39%</w:t>
            </w:r>
          </w:p>
        </w:tc>
        <w:tc>
          <w:tcPr>
            <w:tcW w:type="dxa" w:w="1728"/>
          </w:tcPr>
          <w:p>
            <w:r>
              <w:t>ACHAT</w:t>
            </w:r>
          </w:p>
        </w:tc>
      </w:tr>
      <w:tr>
        <w:tc>
          <w:tcPr>
            <w:tcW w:type="dxa" w:w="1728"/>
          </w:tcPr>
          <w:p>
            <w:r>
              <w:t>ECOC (ECOC - ECOBANK COTE D'IVOIRE)</w:t>
            </w:r>
          </w:p>
        </w:tc>
        <w:tc>
          <w:tcPr>
            <w:tcW w:type="dxa" w:w="1728"/>
          </w:tcPr>
          <w:p>
            <w:r>
              <w:t>3101</w:t>
            </w:r>
          </w:p>
        </w:tc>
        <w:tc>
          <w:tcPr>
            <w:tcW w:type="dxa" w:w="1728"/>
          </w:tcPr>
          <w:p>
            <w:r>
              <w:t>52878455 FCFA</w:t>
            </w:r>
          </w:p>
        </w:tc>
        <w:tc>
          <w:tcPr>
            <w:tcW w:type="dxa" w:w="1728"/>
          </w:tcPr>
          <w:p>
            <w:r>
              <w:t>4.38%</w:t>
            </w:r>
          </w:p>
        </w:tc>
        <w:tc>
          <w:tcPr>
            <w:tcW w:type="dxa" w:w="1728"/>
          </w:tcPr>
          <w:p>
            <w:r>
              <w:t>ACHAT</w:t>
            </w:r>
          </w:p>
        </w:tc>
      </w:tr>
      <w:tr>
        <w:tc>
          <w:tcPr>
            <w:tcW w:type="dxa" w:w="1728"/>
          </w:tcPr>
          <w:p>
            <w:r>
              <w:t>NEIC (NEIC - NEI-CEDA CI)</w:t>
            </w:r>
          </w:p>
        </w:tc>
        <w:tc>
          <w:tcPr>
            <w:tcW w:type="dxa" w:w="1728"/>
          </w:tcPr>
          <w:p>
            <w:r>
              <w:t>3023</w:t>
            </w:r>
          </w:p>
        </w:tc>
        <w:tc>
          <w:tcPr>
            <w:tcW w:type="dxa" w:w="1728"/>
          </w:tcPr>
          <w:p>
            <w:r>
              <w:t>8021616 FCFA</w:t>
            </w:r>
          </w:p>
        </w:tc>
        <w:tc>
          <w:tcPr>
            <w:tcW w:type="dxa" w:w="1728"/>
          </w:tcPr>
          <w:p>
            <w:r>
              <w:t>35.80%</w:t>
            </w:r>
          </w:p>
        </w:tc>
        <w:tc>
          <w:tcPr>
            <w:tcW w:type="dxa" w:w="1728"/>
          </w:tcPr>
          <w:p>
            <w:r>
              <w:t>ACHAT</w:t>
            </w:r>
          </w:p>
        </w:tc>
      </w:tr>
      <w:tr>
        <w:tc>
          <w:tcPr>
            <w:tcW w:type="dxa" w:w="1728"/>
          </w:tcPr>
          <w:p>
            <w:r>
              <w:t>FTSC (FTSC - FILTISAC COTE D'IVOIRE)</w:t>
            </w:r>
          </w:p>
        </w:tc>
        <w:tc>
          <w:tcPr>
            <w:tcW w:type="dxa" w:w="1728"/>
          </w:tcPr>
          <w:p>
            <w:r>
              <w:t>3009</w:t>
            </w:r>
          </w:p>
        </w:tc>
        <w:tc>
          <w:tcPr>
            <w:tcW w:type="dxa" w:w="1728"/>
          </w:tcPr>
          <w:p>
            <w:r>
              <w:t>6273344 FCFA</w:t>
            </w:r>
          </w:p>
        </w:tc>
        <w:tc>
          <w:tcPr>
            <w:tcW w:type="dxa" w:w="1728"/>
          </w:tcPr>
          <w:p>
            <w:r>
              <w:t>-8.88%</w:t>
            </w:r>
          </w:p>
        </w:tc>
        <w:tc>
          <w:tcPr>
            <w:tcW w:type="dxa" w:w="1728"/>
          </w:tcPr>
          <w:p>
            <w:r>
              <w:t>ACHAT</w:t>
            </w:r>
          </w:p>
        </w:tc>
      </w:tr>
      <w:tr>
        <w:tc>
          <w:tcPr>
            <w:tcW w:type="dxa" w:w="1728"/>
          </w:tcPr>
          <w:p>
            <w:r>
              <w:t>SDCC (SDCC - Société de Distribution d'Eau de Côte d'Ivoire)</w:t>
            </w:r>
          </w:p>
        </w:tc>
        <w:tc>
          <w:tcPr>
            <w:tcW w:type="dxa" w:w="1728"/>
          </w:tcPr>
          <w:p>
            <w:r>
              <w:t>2345</w:t>
            </w:r>
          </w:p>
        </w:tc>
        <w:tc>
          <w:tcPr>
            <w:tcW w:type="dxa" w:w="1728"/>
          </w:tcPr>
          <w:p>
            <w:r>
              <w:t>30773956 FCFA</w:t>
            </w:r>
          </w:p>
        </w:tc>
        <w:tc>
          <w:tcPr>
            <w:tcW w:type="dxa" w:w="1728"/>
          </w:tcPr>
          <w:p>
            <w:r>
              <w:t>26.60%</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CABC - CABC - SICABLE COTE D'IVOIRE</w:t>
      </w:r>
    </w:p>
    <w:p>
      <w:r>
        <w:rPr>
          <w:b/>
        </w:rPr>
        <w:t xml:space="preserve">Score de divergence: </w:t>
      </w:r>
      <w:r>
        <w:t>5/8</w:t>
        <w:br/>
      </w:r>
      <w:r>
        <w:rPr>
          <w:b/>
        </w:rPr>
        <w:t xml:space="preserve">Description: </w:t>
      </w:r>
      <w:r>
        <w:t>Signaux de vente: MM, MACD | Recommandation finale: ACHAT</w:t>
        <w:br/>
      </w:r>
    </w:p>
    <w:p/>
    <w:p>
      <w:pPr>
        <w:pStyle w:val="Heading3"/>
      </w:pPr>
      <w:r>
        <w:t>2. LNBB - LNBB - LOTERIE NATIONALE DU BENIN</w:t>
      </w:r>
    </w:p>
    <w:p>
      <w:r>
        <w:rPr>
          <w:b/>
        </w:rPr>
        <w:t xml:space="preserve">Score de divergence: </w:t>
      </w:r>
      <w:r>
        <w:t>5/8</w:t>
        <w:br/>
      </w:r>
      <w:r>
        <w:rPr>
          <w:b/>
        </w:rPr>
        <w:t xml:space="preserve">Description: </w:t>
      </w:r>
      <w:r>
        <w:t>Signaux de vente: MM, MACD | Recommandation finale: ACHAT FORT</w:t>
        <w:br/>
      </w:r>
    </w:p>
    <w:p/>
    <w:p>
      <w:pPr>
        <w:pStyle w:val="Heading3"/>
      </w:pPr>
      <w:r>
        <w:t>3. PRSC - PRSC - TRACTAFRIC MOTORS CI</w:t>
      </w:r>
    </w:p>
    <w:p>
      <w:r>
        <w:rPr>
          <w:b/>
        </w:rPr>
        <w:t xml:space="preserve">Score de divergence: </w:t>
      </w:r>
      <w:r>
        <w:t>5/8</w:t>
        <w:br/>
      </w:r>
      <w:r>
        <w:rPr>
          <w:b/>
        </w:rPr>
        <w:t xml:space="preserve">Description: </w:t>
      </w:r>
      <w:r>
        <w:t>Signaux de vente: MM, MACD | Recommandation finale: ACHAT</w:t>
        <w:br/>
      </w:r>
    </w:p>
    <w:p/>
    <w:p>
      <w:pPr>
        <w:pStyle w:val="Heading3"/>
      </w:pPr>
      <w:r>
        <w:t>4. SCRC - SCRC - SUCRIVOIRE</w:t>
      </w:r>
    </w:p>
    <w:p>
      <w:r>
        <w:rPr>
          <w:b/>
        </w:rPr>
        <w:t xml:space="preserve">Score de divergence: </w:t>
      </w:r>
      <w:r>
        <w:t>5/8</w:t>
        <w:br/>
      </w:r>
      <w:r>
        <w:rPr>
          <w:b/>
        </w:rPr>
        <w:t xml:space="preserve">Description: </w:t>
      </w:r>
      <w:r>
        <w:t>Signaux de vente: MM, MACD | Recommandation finale: ACHAT</w:t>
        <w:br/>
      </w:r>
    </w:p>
    <w:p/>
    <w:p>
      <w:pPr>
        <w:pStyle w:val="Heading3"/>
      </w:pPr>
      <w:r>
        <w:t>5. SLBC - SLBC - SOLIBRA COTE D'IVOIRE</w:t>
      </w:r>
    </w:p>
    <w:p>
      <w:r>
        <w:rPr>
          <w:b/>
        </w:rPr>
        <w:t xml:space="preserve">Score de divergence: </w:t>
      </w:r>
      <w:r>
        <w:t>5/8</w:t>
        <w:br/>
      </w:r>
      <w:r>
        <w:rPr>
          <w:b/>
        </w:rPr>
        <w:t xml:space="preserve">Description: </w:t>
      </w:r>
      <w:r>
        <w:t>Signaux d'achat: MACD | Signaux de vente: MM, RSI, Stochastique | Recommandation finale: ACHAT</w:t>
        <w:br/>
      </w:r>
    </w:p>
    <w:p/>
    <w:p>
      <w:pPr>
        <w:pStyle w:val="Heading3"/>
      </w:pPr>
      <w:r>
        <w:t>6. SOGC - SOGC - Société des caoutchoucs de Grand-Béréby</w:t>
      </w:r>
    </w:p>
    <w:p>
      <w:r>
        <w:rPr>
          <w:b/>
        </w:rPr>
        <w:t xml:space="preserve">Score de divergence: </w:t>
      </w:r>
      <w:r>
        <w:t>5/8</w:t>
        <w:br/>
      </w:r>
      <w:r>
        <w:rPr>
          <w:b/>
        </w:rPr>
        <w:t xml:space="preserve">Description: </w:t>
      </w:r>
      <w:r>
        <w:t>Signaux de vente: MM, MACD | Recommandation finale: ACHAT</w:t>
        <w:br/>
      </w:r>
    </w:p>
    <w:p/>
    <w:p>
      <w:pPr>
        <w:pStyle w:val="Heading3"/>
      </w:pPr>
      <w:r>
        <w:t>7. STBC - STBC - SITAB COTE D'IVOIRE</w:t>
      </w:r>
    </w:p>
    <w:p>
      <w:r>
        <w:rPr>
          <w:b/>
        </w:rPr>
        <w:t xml:space="preserve">Score de divergence: </w:t>
      </w:r>
      <w:r>
        <w:t>5/8</w:t>
        <w:br/>
      </w:r>
      <w:r>
        <w:rPr>
          <w:b/>
        </w:rPr>
        <w:t xml:space="preserve">Description: </w:t>
      </w:r>
      <w:r>
        <w:t>Signaux de vente: MM, MACD | Recommandation finale: ACHAT</w:t>
        <w:br/>
      </w:r>
    </w:p>
    <w:p/>
    <w:p>
      <w:pPr>
        <w:pStyle w:val="Heading3"/>
      </w:pPr>
      <w:r>
        <w:t>8. UNLC - UNLC - UNILEVER COTE D'IVOIRE</w:t>
      </w:r>
    </w:p>
    <w:p>
      <w:r>
        <w:rPr>
          <w:b/>
        </w:rPr>
        <w:t xml:space="preserve">Score de divergence: </w:t>
      </w:r>
      <w:r>
        <w:t>5/8</w:t>
        <w:br/>
      </w:r>
      <w:r>
        <w:rPr>
          <w:b/>
        </w:rPr>
        <w:t xml:space="preserve">Description: </w:t>
      </w:r>
      <w:r>
        <w:t>Signaux de vente: MM, MACD | Recommandation finale: ACHAT</w:t>
        <w:br/>
      </w:r>
    </w:p>
    <w:p/>
    <w:p>
      <w:pPr>
        <w:pStyle w:val="Heading3"/>
      </w:pPr>
      <w:r>
        <w:t>9. CFAC - CFAC - CFAO MOTORS CI</w:t>
      </w:r>
    </w:p>
    <w:p>
      <w:r>
        <w:rPr>
          <w:b/>
        </w:rPr>
        <w:t xml:space="preserve">Score de divergence: </w:t>
      </w:r>
      <w:r>
        <w:t>4/8</w:t>
        <w:br/>
      </w:r>
      <w:r>
        <w:rPr>
          <w:b/>
        </w:rPr>
        <w:t xml:space="preserve">Description: </w:t>
      </w:r>
      <w:r>
        <w:t>Signaux d'achat: RSI | Signaux de vente: MM, MACD | Recommandation finale: ACHAT</w:t>
        <w:br/>
      </w:r>
    </w:p>
    <w:p/>
    <w:p>
      <w:pPr>
        <w:pStyle w:val="Heading3"/>
      </w:pPr>
      <w:r>
        <w:t>10. NTLC - NTLC - NESTLE COTE D'IVOIRE</w:t>
      </w:r>
    </w:p>
    <w:p>
      <w:r>
        <w:rPr>
          <w:b/>
        </w:rPr>
        <w:t xml:space="preserve">Score de divergence: </w:t>
      </w:r>
      <w:r>
        <w:t>4/8</w:t>
        <w:br/>
      </w:r>
      <w:r>
        <w:rPr>
          <w:b/>
        </w:rPr>
        <w:t xml:space="preserve">Description: </w:t>
      </w:r>
      <w:r>
        <w:t>Signaux d'achat: RSI | Signaux de vente: MM,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28</w:t>
            </w:r>
          </w:p>
        </w:tc>
        <w:tc>
          <w:tcPr>
            <w:tcW w:type="dxa" w:w="2160"/>
          </w:tcPr>
          <w:p>
            <w:r>
              <w:t>0</w:t>
            </w:r>
          </w:p>
        </w:tc>
      </w:tr>
      <w:tr>
        <w:tc>
          <w:tcPr>
            <w:tcW w:type="dxa" w:w="2160"/>
          </w:tcPr>
          <w:p>
            <w:r>
              <w:t>Risque Moyen</w:t>
            </w:r>
          </w:p>
        </w:tc>
        <w:tc>
          <w:tcPr>
            <w:tcW w:type="dxa" w:w="2160"/>
          </w:tcPr>
          <w:p>
            <w:r>
              <w:t>0</w:t>
            </w:r>
          </w:p>
        </w:tc>
        <w:tc>
          <w:tcPr>
            <w:tcW w:type="dxa" w:w="2160"/>
          </w:tcPr>
          <w:p>
            <w:r>
              <w:t>20</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BBGC (BRIDGE BANK GROUP COTE D'IVOIRE)</w:t>
      </w:r>
    </w:p>
    <w:p>
      <w:pPr>
        <w:pStyle w:val="ListBullet"/>
      </w:pPr>
      <w:r>
        <w:t>• BNBC (BNBC - BERNABE CI)</w:t>
      </w:r>
    </w:p>
    <w:p>
      <w:pPr>
        <w:pStyle w:val="ListBullet"/>
      </w:pPr>
      <w:r>
        <w:t>• BOAB (BANK OF AFRICA BENIN)</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NEIC (NEIC - NEI-CEDA CI)</w:t>
      </w:r>
    </w:p>
    <w:p>
      <w:pPr>
        <w:pStyle w:val="ListBullet"/>
      </w:pPr>
      <w:r>
        <w:t>• NTLC (NTLC - NESTLE COTE D'IVOIRE)</w:t>
      </w:r>
    </w:p>
    <w:p>
      <w:pPr>
        <w:pStyle w:val="ListBullet"/>
      </w:pPr>
      <w:r>
        <w:t>• ONTBF (ONTBF - ONATEL BURKINA FASO)</w:t>
      </w:r>
    </w:p>
    <w:p>
      <w:pPr>
        <w:pStyle w:val="ListBullet"/>
      </w:pPr>
      <w:r>
        <w:t>• ORAC (ORAC - ORANGE COTE D'IVOIRE)</w:t>
      </w:r>
    </w:p>
    <w:p>
      <w:pPr>
        <w:pStyle w:val="ListBullet"/>
      </w:pPr>
      <w:r>
        <w:t>• ORGT (ORGT - ORAGROUP TOGO)</w:t>
      </w:r>
    </w:p>
    <w:p>
      <w:pPr>
        <w:pStyle w:val="ListBullet"/>
      </w:pPr>
      <w:r>
        <w:t>• PRSC (PRSC - TRACTAFRIC MOTORS CI)</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NSBC (NSBC - NSIA BANQUE COTE D'IVOIRE)</w:t>
      </w:r>
    </w:p>
    <w:p>
      <w:pPr>
        <w:pStyle w:val="ListBullet"/>
      </w:pPr>
      <w:r>
        <w:t>• PALC (PALC - PALM COTE D'IVOIRE)</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SIVC (SIVC - ERIUM CI (Ex AIR LIQUIDECI))</w:t>
      </w:r>
    </w:p>
    <w:p>
      <w:pPr>
        <w:pStyle w:val="ListBullet"/>
      </w:pPr>
      <w:r>
        <w:t>• SNTS (SNTS - SONATEL SN)</w:t>
      </w:r>
    </w:p>
    <w:p>
      <w:pPr>
        <w:pStyle w:val="ListBullet"/>
      </w:pPr>
      <w:r>
        <w:t>• STAC (STAC - SETAO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color w:val="008000"/>
          <w:sz w:val="18"/>
        </w:rPr>
        <w:t>**Hausse des prix des carburants** : impact direct sur les coûts des matières premières et du transport (Sentiment négatif).</w:t>
      </w:r>
    </w:p>
    <w:p>
      <w:pPr>
        <w:pStyle w:val="ListBullet"/>
        <w:spacing w:before="20" w:after="20"/>
        <w:ind w:left="360"/>
      </w:pPr>
      <w:r>
        <w:rPr>
          <w:color w:val="C00000"/>
          <w:sz w:val="18"/>
        </w:rPr>
        <w:t>**Endettement des géants de l'IA** : menace potentielle sur Wall Street, risque de correction tech (Sentiment négatif).</w:t>
      </w:r>
    </w:p>
    <w:p>
      <w:pPr>
        <w:pStyle w:val="ListBullet"/>
        <w:spacing w:before="20" w:after="20"/>
        <w:ind w:left="360"/>
      </w:pPr>
      <w:r>
        <w:rPr>
          <w:color w:val="008000"/>
          <w:sz w:val="18"/>
        </w:rPr>
        <w:t>**BCE** : relèvement des taux directeurs, hausse des taux de crédit immobilier en zone euro (Sentiment négatif).</w:t>
      </w:r>
    </w:p>
    <w:p>
      <w:pPr>
        <w:pStyle w:val="Heading3"/>
      </w:pPr>
      <w:r>
        <w:rPr>
          <w:color w:val="500050"/>
        </w:rPr>
        <w:t>⚡ Impact estimé sur la BRVM</w:t>
      </w:r>
    </w:p>
    <w:p>
      <w:pPr>
        <w:spacing w:before="20" w:after="40"/>
        <w:ind w:left="280"/>
      </w:pPr>
      <w:r>
        <w:rPr>
          <w:i/>
          <w:sz w:val="18"/>
        </w:rPr>
        <w:t>Le renchérissement des carburants pèse sur les marges des industriels (SIVC, STAC) et des distributeurs (NEIC). La hausse des taux BCE renchérit le coût du capital pour les émetteurs cherchant des financements internationaux, notamment les banques (SGBC, BICB, BOAB) et les entreprises énergétiques (TTLS, SHEC).</w:t>
      </w:r>
    </w:p>
    <w:p>
      <w:pPr>
        <w:pStyle w:val="Heading2"/>
      </w:pPr>
      <w:r>
        <w:rPr>
          <w:color w:val="006E32"/>
        </w:rPr>
        <w:t>🌍 Plan Africain</w:t>
      </w:r>
    </w:p>
    <w:p>
      <w:pPr>
        <w:pStyle w:val="ListBullet"/>
        <w:spacing w:before="20" w:after="20"/>
        <w:ind w:left="360"/>
      </w:pPr>
      <w:r>
        <w:rPr>
          <w:sz w:val="18"/>
        </w:rPr>
        <w:t>**Dépendance au dollar** : l'Afrique reste accro au dollar malgré l'offensive chinoise en yuan (Sentiment négatif).</w:t>
      </w:r>
    </w:p>
    <w:p>
      <w:pPr>
        <w:pStyle w:val="ListBullet"/>
        <w:spacing w:before="20" w:after="20"/>
        <w:ind w:left="360"/>
      </w:pPr>
      <w:r>
        <w:rPr>
          <w:color w:val="008000"/>
          <w:sz w:val="18"/>
        </w:rPr>
        <w:t>**Plaidoyer d'Amara (UCESA)** pour la transformation économique, l'investissement et l'emploi inclusif (Sentiment positif).</w:t>
      </w:r>
    </w:p>
    <w:p>
      <w:pPr>
        <w:pStyle w:val="Heading3"/>
      </w:pPr>
      <w:r>
        <w:rPr>
          <w:color w:val="500050"/>
        </w:rPr>
        <w:t>⚡ Impact estimé sur la BRVM</w:t>
      </w:r>
    </w:p>
    <w:p>
      <w:pPr>
        <w:spacing w:before="20" w:after="40"/>
        <w:ind w:left="280"/>
      </w:pPr>
      <w:r>
        <w:rPr>
          <w:i/>
          <w:sz w:val="18"/>
        </w:rPr>
        <w:t>La dépendance au dollar expose les sociétés importatrices (NEIC, SPHC) au risque de change. Le discours pro-investissement soutient les perspectives des financières (SAFC, ECOC) et des télécoms (SNTS) tournées vers la croissance régionale.</w:t>
      </w:r>
    </w:p>
    <w:p>
      <w:pPr>
        <w:pStyle w:val="Heading2"/>
      </w:pPr>
      <w:r>
        <w:rPr>
          <w:color w:val="145A28"/>
        </w:rPr>
        <w:t>🌍 Plan Afrique de l'Ouest</w:t>
      </w:r>
    </w:p>
    <w:p>
      <w:pPr>
        <w:pStyle w:val="ListBullet"/>
        <w:spacing w:before="20" w:after="20"/>
        <w:ind w:left="360"/>
      </w:pPr>
      <w:r>
        <w:rPr>
          <w:sz w:val="18"/>
        </w:rPr>
        <w:t>**CEDEAO** : volonté de concilier ambitions institutionnelles et gestion rigoureuse des ressources (Neutre).</w:t>
      </w:r>
    </w:p>
    <w:p>
      <w:pPr>
        <w:pStyle w:val="ListBullet"/>
        <w:spacing w:before="20" w:after="20"/>
        <w:ind w:left="360"/>
      </w:pPr>
      <w:r>
        <w:rPr>
          <w:color w:val="008000"/>
          <w:sz w:val="18"/>
        </w:rPr>
        <w:t>**ZLECAf** : mobilisation des femmes parlementaires pour renforcer leur participation (Positif).</w:t>
      </w:r>
    </w:p>
    <w:p>
      <w:pPr>
        <w:pStyle w:val="ListBullet"/>
        <w:spacing w:before="20" w:after="20"/>
        <w:ind w:left="360"/>
      </w:pPr>
      <w:r>
        <w:rPr>
          <w:color w:val="008000"/>
          <w:sz w:val="18"/>
        </w:rPr>
        <w:t>**CEDEAO** : programmes de réintégration des migrants de retour (Positif).</w:t>
      </w:r>
    </w:p>
    <w:p>
      <w:pPr>
        <w:pStyle w:val="Heading3"/>
      </w:pPr>
      <w:r>
        <w:rPr>
          <w:color w:val="500050"/>
        </w:rPr>
        <w:t>⚡ Impact estimé sur la BRVM</w:t>
      </w:r>
    </w:p>
    <w:p>
      <w:pPr>
        <w:spacing w:before="20" w:after="40"/>
        <w:ind w:left="280"/>
      </w:pPr>
      <w:r>
        <w:rPr>
          <w:i/>
          <w:sz w:val="18"/>
        </w:rPr>
        <w:t>La rigueur budgétaire CEDEAO rassure sur la stabilité macro. La ZLECAf élargit les débouchés pour les industriels (SIVC, STAC) et les agro-industriels (PALC, SPHC), soutenant les volumes à moyen terme.</w:t>
      </w:r>
    </w:p>
    <w:p>
      <w:pPr>
        <w:pStyle w:val="Heading2"/>
      </w:pPr>
      <w:r>
        <w:rPr>
          <w:color w:val="8C4600"/>
        </w:rPr>
        <w:t>🏦 Plan UEMOA / Zone Franc</w:t>
      </w:r>
    </w:p>
    <w:p>
      <w:pPr>
        <w:pStyle w:val="ListBullet"/>
        <w:spacing w:before="20" w:after="20"/>
        <w:ind w:left="360"/>
      </w:pPr>
      <w:r>
        <w:rPr>
          <w:color w:val="C00000"/>
          <w:sz w:val="18"/>
        </w:rPr>
        <w:t>**Cacao** : le Ghana fixe un prix bord champ 75 % supérieur à celui de la Côte d'Ivoire (Neutre pour la BRVM, pression sur les producteurs ivoiriens).</w:t>
      </w:r>
    </w:p>
    <w:p>
      <w:pPr>
        <w:pStyle w:val="ListBullet"/>
        <w:spacing w:before="20" w:after="20"/>
        <w:ind w:left="360"/>
      </w:pPr>
      <w:r>
        <w:rPr>
          <w:sz w:val="18"/>
        </w:rPr>
        <w:t>**Politique sénégalaise** : tensions autour du soutien de Faye à Sall (Sentiment négatif).</w:t>
      </w:r>
    </w:p>
    <w:p>
      <w:pPr>
        <w:pStyle w:val="Heading3"/>
      </w:pPr>
      <w:r>
        <w:rPr>
          <w:color w:val="500050"/>
        </w:rPr>
        <w:t>⚡ Impact estimé sur la BRVM</w:t>
      </w:r>
    </w:p>
    <w:p>
      <w:pPr>
        <w:spacing w:before="20" w:after="40"/>
        <w:ind w:left="280"/>
      </w:pPr>
      <w:r>
        <w:rPr>
          <w:i/>
          <w:sz w:val="18"/>
        </w:rPr>
        <w:t>Le différentiel de prix cacao pénalise la compétitivité ivoirienne et pourrait affecter les revenus des acteurs agricoles. Les tensions politiques sénégalaises pèsent sur le sentiment régional, notamment pour SONATEL (SNTS) et les banques exposées au Sénégal (SGBC, BICB).</w:t>
      </w:r>
    </w:p>
    <w:p>
      <w:pPr>
        <w:pStyle w:val="Heading2"/>
      </w:pPr>
      <w:r>
        <w:rPr>
          <w:color w:val="003366"/>
        </w:rPr>
        <w:t>📈 Plan BRVM</w:t>
      </w:r>
    </w:p>
    <w:p>
      <w:pPr>
        <w:pStyle w:val="ListBullet"/>
        <w:spacing w:before="20" w:after="20"/>
        <w:ind w:left="360"/>
      </w:pPr>
      <w:r>
        <w:rPr>
          <w:color w:val="008000"/>
          <w:sz w:val="18"/>
        </w:rPr>
        <w:t>**Résultats encourageants des sociétés cotées ivoiriennes** (La Tribune, juin 2026, Positif).</w:t>
      </w:r>
    </w:p>
    <w:p>
      <w:pPr>
        <w:pStyle w:val="ListBullet"/>
        <w:spacing w:before="20" w:after="20"/>
        <w:ind w:left="360"/>
      </w:pPr>
      <w:r>
        <w:rPr>
          <w:sz w:val="18"/>
        </w:rPr>
        <w:t>Indice BRVM Composite à **540.78**.</w:t>
      </w:r>
    </w:p>
    <w:p>
      <w:pPr>
        <w:pStyle w:val="Heading3"/>
      </w:pPr>
      <w:r>
        <w:rPr>
          <w:color w:val="500050"/>
        </w:rPr>
        <w:t>⚡ Impact estimé sur la BRVM</w:t>
      </w:r>
    </w:p>
    <w:p>
      <w:pPr>
        <w:pStyle w:val="ListBullet"/>
        <w:spacing w:before="20" w:after="20"/>
        <w:ind w:left="560"/>
      </w:pPr>
      <w:r>
        <w:rPr>
          <w:color w:val="500050"/>
          <w:sz w:val="18"/>
        </w:rPr>
        <w:t>**SGBC, BICB, BOAB, ECOC, SAFC** : résultats bancaires solides, à conserver.</w:t>
      </w:r>
    </w:p>
    <w:p>
      <w:pPr>
        <w:pStyle w:val="ListBullet"/>
        <w:spacing w:before="20" w:after="20"/>
        <w:ind w:left="560"/>
      </w:pPr>
      <w:r>
        <w:rPr>
          <w:color w:val="500050"/>
          <w:sz w:val="18"/>
        </w:rPr>
        <w:t>**SNTS** : télécoms défensifs, bon ancrage.</w:t>
      </w:r>
    </w:p>
    <w:p>
      <w:pPr>
        <w:pStyle w:val="ListBullet"/>
        <w:spacing w:before="20" w:after="20"/>
        <w:ind w:left="560"/>
      </w:pPr>
      <w:r>
        <w:rPr>
          <w:color w:val="500050"/>
          <w:sz w:val="18"/>
        </w:rPr>
        <w:t>**PALC, SPHC** : agro-industrie soutenue par la consommation de base.</w:t>
      </w:r>
    </w:p>
    <w:p>
      <w:pPr>
        <w:pStyle w:val="ListBullet"/>
        <w:spacing w:before="20" w:after="20"/>
        <w:ind w:left="560"/>
      </w:pPr>
      <w:r>
        <w:rPr>
          <w:color w:val="C00000"/>
          <w:sz w:val="18"/>
        </w:rPr>
        <w:t>**SIVC, STAC** : sous pression carburants, prudence.</w:t>
      </w:r>
    </w:p>
    <w:p>
      <w:pPr>
        <w:pStyle w:val="ListBullet"/>
        <w:spacing w:before="20" w:after="20"/>
        <w:ind w:left="560"/>
      </w:pPr>
      <w:r>
        <w:rPr>
          <w:color w:val="500050"/>
          <w:sz w:val="18"/>
        </w:rPr>
        <w:t>**TTLS, SHEC** : énergie, surveiller coûts.</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color w:val="C00000"/>
          <w:sz w:val="18"/>
        </w:rPr>
        <w:t>Tensions autour de la dette tech IA et Wall Street (Negatif).</w:t>
      </w:r>
    </w:p>
    <w:p>
      <w:pPr>
        <w:pStyle w:val="ListBullet"/>
        <w:spacing w:before="20" w:after="20"/>
        <w:ind w:left="360"/>
      </w:pPr>
      <w:r>
        <w:rPr>
          <w:color w:val="008000"/>
          <w:sz w:val="18"/>
        </w:rPr>
        <w:t>Hausse des taux BCE, resserrement monétaire (Negatif).</w:t>
      </w:r>
    </w:p>
    <w:p>
      <w:pPr>
        <w:pStyle w:val="Heading3"/>
      </w:pPr>
      <w:r>
        <w:rPr>
          <w:color w:val="500050"/>
        </w:rPr>
        <w:t>⚡ Impact estimé sur la BRVM</w:t>
      </w:r>
    </w:p>
    <w:p>
      <w:pPr>
        <w:spacing w:before="20" w:after="40"/>
        <w:ind w:left="280"/>
      </w:pPr>
      <w:r>
        <w:rPr>
          <w:i/>
          <w:sz w:val="18"/>
        </w:rPr>
        <w:t>Un choc sur Wall Street réduirait l'appétit pour les marchés frontières, dont la BRVM, avec risque de sorties de capitaux étrangers.</w:t>
      </w:r>
    </w:p>
    <w:p>
      <w:pPr>
        <w:pStyle w:val="Heading2"/>
      </w:pPr>
      <w:r>
        <w:rPr>
          <w:color w:val="006E32"/>
        </w:rPr>
        <w:t>🌍 Plan Africain</w:t>
      </w:r>
    </w:p>
    <w:p>
      <w:pPr>
        <w:pStyle w:val="ListBullet"/>
        <w:spacing w:before="20" w:after="20"/>
        <w:ind w:left="360"/>
      </w:pPr>
      <w:r>
        <w:rPr>
          <w:color w:val="C00000"/>
          <w:sz w:val="18"/>
        </w:rPr>
        <w:t>**Sénégal** : controverse sur le soutien de Faye à Macky Sall (Negatif).</w:t>
      </w:r>
    </w:p>
    <w:p>
      <w:pPr>
        <w:pStyle w:val="ListBullet"/>
        <w:spacing w:before="20" w:after="20"/>
        <w:ind w:left="360"/>
      </w:pPr>
      <w:r>
        <w:rPr>
          <w:color w:val="008000"/>
          <w:sz w:val="18"/>
        </w:rPr>
        <w:t>**Burkina Faso** : Traoré plaide pour une cohabitation AES-CEDEAO (Positif).</w:t>
      </w:r>
    </w:p>
    <w:p>
      <w:pPr>
        <w:pStyle w:val="ListBullet"/>
        <w:spacing w:before="20" w:after="20"/>
        <w:ind w:left="360"/>
      </w:pPr>
      <w:r>
        <w:rPr>
          <w:sz w:val="18"/>
        </w:rPr>
        <w:t>**Cacao Ghana/Côte d'Ivoire** : guerre des prix (Neutre).</w:t>
      </w:r>
    </w:p>
    <w:p>
      <w:pPr>
        <w:pStyle w:val="Heading3"/>
      </w:pPr>
      <w:r>
        <w:rPr>
          <w:color w:val="500050"/>
        </w:rPr>
        <w:t>⚡ Impact estimé sur la BRVM</w:t>
      </w:r>
    </w:p>
    <w:p>
      <w:pPr>
        <w:spacing w:before="20" w:after="40"/>
        <w:ind w:left="280"/>
      </w:pPr>
      <w:r>
        <w:rPr>
          <w:i/>
          <w:sz w:val="18"/>
        </w:rPr>
        <w:t>La stabilité AES-CEDEAO est rassurante pour les flux régionaux. Les tensions sénégalaises peuvent freiner les investissements vers les valeurs exposées au Sénégal.</w:t>
      </w:r>
    </w:p>
    <w:p>
      <w:pPr>
        <w:pStyle w:val="Heading2"/>
      </w:pPr>
      <w:r>
        <w:rPr>
          <w:color w:val="145A28"/>
        </w:rPr>
        <w:t>🌍 Plan Afrique de l'Ouest</w:t>
      </w:r>
    </w:p>
    <w:p>
      <w:pPr>
        <w:pStyle w:val="ListBullet"/>
        <w:spacing w:before="20" w:after="20"/>
        <w:ind w:left="360"/>
      </w:pPr>
      <w:r>
        <w:rPr>
          <w:color w:val="008000"/>
          <w:sz w:val="18"/>
        </w:rPr>
        <w:t>CEDEAO : gestion rigoureuse et réintégration migratoire (Positif).</w:t>
      </w:r>
    </w:p>
    <w:p>
      <w:pPr>
        <w:pStyle w:val="ListBullet"/>
        <w:spacing w:before="20" w:after="20"/>
        <w:ind w:left="360"/>
      </w:pPr>
      <w:r>
        <w:rPr>
          <w:color w:val="008000"/>
          <w:sz w:val="18"/>
        </w:rPr>
        <w:t>AES-CEDEAO : cohabitation prônée (Positif).</w:t>
      </w:r>
    </w:p>
    <w:p>
      <w:pPr>
        <w:pStyle w:val="Heading3"/>
      </w:pPr>
      <w:r>
        <w:rPr>
          <w:color w:val="500050"/>
        </w:rPr>
        <w:t>⚡ Impact estimé sur la BRVM</w:t>
      </w:r>
    </w:p>
    <w:p>
      <w:pPr>
        <w:spacing w:before="20" w:after="40"/>
        <w:ind w:left="280"/>
      </w:pPr>
      <w:r>
        <w:rPr>
          <w:i/>
          <w:sz w:val="18"/>
        </w:rPr>
        <w:t>Réduction du risque politique sous-régional, favorable aux banques panafricaines (BOAB, ECOC) et aux télécoms (SNTS, ONTBF).</w:t>
      </w:r>
    </w:p>
    <w:p>
      <w:pPr>
        <w:pStyle w:val="Heading2"/>
      </w:pPr>
      <w:r>
        <w:rPr>
          <w:color w:val="8C4600"/>
        </w:rPr>
        <w:t>🏦 Plan UEMOA / Zone Franc</w:t>
      </w:r>
    </w:p>
    <w:p>
      <w:pPr>
        <w:pStyle w:val="ListBullet"/>
        <w:spacing w:before="20" w:after="20"/>
        <w:ind w:left="360"/>
      </w:pPr>
      <w:r>
        <w:rPr>
          <w:color w:val="C00000"/>
          <w:sz w:val="18"/>
        </w:rPr>
        <w:t>Sénégal : tensions politiques pré-électorales (Negatif).</w:t>
      </w:r>
    </w:p>
    <w:p>
      <w:pPr>
        <w:pStyle w:val="ListBullet"/>
        <w:spacing w:before="20" w:after="20"/>
        <w:ind w:left="360"/>
      </w:pPr>
      <w:r>
        <w:rPr>
          <w:color w:val="008000"/>
          <w:sz w:val="18"/>
        </w:rPr>
        <w:t>Côte d'Ivoire : résultats sociétés cotées encourageants (Positif).</w:t>
      </w:r>
    </w:p>
    <w:p>
      <w:pPr>
        <w:pStyle w:val="Heading3"/>
      </w:pPr>
      <w:r>
        <w:rPr>
          <w:color w:val="500050"/>
        </w:rPr>
        <w:t>⚡ Impact estimé sur la BRVM</w:t>
      </w:r>
    </w:p>
    <w:p>
      <w:pPr>
        <w:spacing w:before="20" w:after="40"/>
        <w:ind w:left="280"/>
      </w:pPr>
      <w:r>
        <w:rPr>
          <w:i/>
          <w:sz w:val="18"/>
        </w:rPr>
        <w:t>Le climat ivoirien reste porteur ; le Sénégal introduit une prime de risque sur SNTS et les banques sénégalaises.</w:t>
      </w:r>
    </w:p>
    <w:p>
      <w:pPr>
        <w:pStyle w:val="Heading2"/>
      </w:pPr>
      <w:r>
        <w:rPr>
          <w:color w:val="003366"/>
        </w:rPr>
        <w:t>📈 Plan BRVM</w:t>
      </w:r>
    </w:p>
    <w:p>
      <w:pPr>
        <w:pStyle w:val="ListBullet"/>
        <w:spacing w:before="20" w:after="20"/>
        <w:ind w:left="360"/>
      </w:pPr>
      <w:r>
        <w:rPr>
          <w:sz w:val="18"/>
        </w:rPr>
        <w:t>Données insuffisantes sur réglementation CREPMF et nouvelles cotations.</w:t>
      </w:r>
    </w:p>
    <w:p>
      <w:pPr>
        <w:pStyle w:val="Heading3"/>
      </w:pPr>
      <w:r>
        <w:rPr>
          <w:color w:val="500050"/>
        </w:rPr>
        <w:t>⚡ Impact estimé sur la BRVM</w:t>
      </w:r>
    </w:p>
    <w:p>
      <w:pPr>
        <w:spacing w:before="20" w:after="40"/>
        <w:ind w:left="280"/>
      </w:pPr>
      <w:r>
        <w:rPr>
          <w:i/>
          <w:sz w:val="18"/>
        </w:rPr>
        <w:t>Pas de catalyseur réglementaire identifié à court terme.</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color w:val="C00000"/>
          <w:sz w:val="18"/>
        </w:rPr>
        <w:t>Wall Street sous menace de la dette IA (Negatif).</w:t>
      </w:r>
    </w:p>
    <w:p>
      <w:pPr>
        <w:pStyle w:val="ListBullet"/>
        <w:spacing w:before="20" w:after="20"/>
        <w:ind w:left="360"/>
      </w:pPr>
      <w:r>
        <w:rPr>
          <w:color w:val="008000"/>
          <w:sz w:val="18"/>
        </w:rPr>
        <w:t>BCE : hausse des taux, pression sur le crédit (Negatif).</w:t>
      </w:r>
    </w:p>
    <w:p>
      <w:pPr>
        <w:pStyle w:val="ListBullet"/>
        <w:spacing w:before="20" w:after="20"/>
        <w:ind w:left="360"/>
      </w:pPr>
      <w:r>
        <w:rPr>
          <w:color w:val="C00000"/>
          <w:sz w:val="18"/>
        </w:rPr>
        <w:t>Carburants : inflation importée (Negatif).</w:t>
      </w:r>
    </w:p>
    <w:p>
      <w:pPr>
        <w:pStyle w:val="Heading3"/>
      </w:pPr>
      <w:r>
        <w:rPr>
          <w:color w:val="500050"/>
        </w:rPr>
        <w:t>⚡ Impact estimé sur la BRVM</w:t>
      </w:r>
    </w:p>
    <w:p>
      <w:pPr>
        <w:spacing w:before="20" w:after="40"/>
        <w:ind w:left="280"/>
      </w:pPr>
      <w:r>
        <w:rPr>
          <w:i/>
          <w:sz w:val="18"/>
        </w:rPr>
        <w:t>Corrélation accrue avec les marchés émergents ; risque de compression des valorisations, surtout pour les financières (SGBC, BICB, BOAB).</w:t>
      </w:r>
    </w:p>
    <w:p>
      <w:pPr>
        <w:pStyle w:val="Heading2"/>
      </w:pPr>
      <w:r>
        <w:rPr>
          <w:color w:val="006E32"/>
        </w:rPr>
        <w:t>🌍 Plan Africain</w:t>
      </w:r>
    </w:p>
    <w:p>
      <w:pPr>
        <w:pStyle w:val="ListBullet"/>
        <w:spacing w:before="20" w:after="20"/>
        <w:ind w:left="360"/>
      </w:pPr>
      <w:r>
        <w:rPr>
          <w:sz w:val="18"/>
        </w:rPr>
        <w:t>Données insuffisantes sur eurobonds et notations souveraines.</w:t>
      </w:r>
    </w:p>
    <w:p>
      <w:pPr>
        <w:pStyle w:val="Heading3"/>
      </w:pPr>
      <w:r>
        <w:rPr>
          <w:color w:val="500050"/>
        </w:rPr>
        <w:t>⚡ Impact estimé sur la BRVM</w:t>
      </w:r>
    </w:p>
    <w:p>
      <w:pPr>
        <w:spacing w:before="20" w:after="40"/>
        <w:ind w:left="280"/>
      </w:pPr>
      <w:r>
        <w:rPr>
          <w:i/>
          <w:sz w:val="18"/>
        </w:rPr>
        <w:t>Pas d'élément nouveau sur la concurrence obligataire africaine.</w:t>
      </w:r>
    </w:p>
    <w:p>
      <w:pPr>
        <w:pStyle w:val="Heading2"/>
      </w:pPr>
      <w:r>
        <w:rPr>
          <w:color w:val="145A28"/>
        </w:rPr>
        <w:t>🌍 Plan Afrique de l'Ouest</w:t>
      </w:r>
    </w:p>
    <w:p>
      <w:pPr>
        <w:pStyle w:val="ListBullet"/>
        <w:spacing w:before="20" w:after="20"/>
        <w:ind w:left="360"/>
      </w:pPr>
      <w:r>
        <w:rPr>
          <w:sz w:val="18"/>
        </w:rPr>
        <w:t>Données insuffisantes sur bourses concurrentes (Ghana, Nigeria).</w:t>
      </w:r>
    </w:p>
    <w:p>
      <w:pPr>
        <w:pStyle w:val="Heading3"/>
      </w:pPr>
      <w:r>
        <w:rPr>
          <w:color w:val="500050"/>
        </w:rPr>
        <w:t>⚡ Impact estimé sur la BRVM</w:t>
      </w:r>
    </w:p>
    <w:p>
      <w:pPr>
        <w:spacing w:before="20" w:after="40"/>
        <w:ind w:left="280"/>
      </w:pPr>
      <w:r>
        <w:rPr>
          <w:i/>
          <w:sz w:val="18"/>
        </w:rPr>
        <w:t>Positionnement BRVM stable, sans signal de flux sous-régionaux.</w:t>
      </w:r>
    </w:p>
    <w:p>
      <w:pPr>
        <w:pStyle w:val="Heading2"/>
      </w:pPr>
      <w:r>
        <w:rPr>
          <w:color w:val="8C4600"/>
        </w:rPr>
        <w:t>🏦 Plan UEMOA / Zone Franc</w:t>
      </w:r>
    </w:p>
    <w:p>
      <w:pPr>
        <w:pStyle w:val="ListBullet"/>
        <w:spacing w:before="20" w:after="20"/>
        <w:ind w:left="360"/>
      </w:pPr>
      <w:r>
        <w:rPr>
          <w:sz w:val="18"/>
        </w:rPr>
        <w:t>Données insuffisantes sur le marché des titres publics et taux interbancaires.</w:t>
      </w:r>
    </w:p>
    <w:p>
      <w:pPr>
        <w:pStyle w:val="Heading3"/>
      </w:pPr>
      <w:r>
        <w:rPr>
          <w:color w:val="500050"/>
        </w:rPr>
        <w:t>⚡ Impact estimé sur la BRVM</w:t>
      </w:r>
    </w:p>
    <w:p>
      <w:pPr>
        <w:spacing w:before="20" w:after="40"/>
        <w:ind w:left="280"/>
      </w:pPr>
      <w:r>
        <w:rPr>
          <w:i/>
          <w:sz w:val="18"/>
        </w:rPr>
        <w:t>Arbitrage titres publics/actions non documenté.</w:t>
      </w:r>
    </w:p>
    <w:p>
      <w:pPr>
        <w:pStyle w:val="Heading2"/>
      </w:pPr>
      <w:r>
        <w:rPr>
          <w:color w:val="003366"/>
        </w:rPr>
        <w:t>📈 Plan BRVM</w:t>
      </w:r>
    </w:p>
    <w:p>
      <w:pPr>
        <w:pStyle w:val="ListBullet"/>
        <w:spacing w:before="20" w:after="20"/>
        <w:ind w:left="360"/>
      </w:pPr>
      <w:r>
        <w:rPr>
          <w:sz w:val="18"/>
        </w:rPr>
        <w:t>Indice Composite : **540.78**.</w:t>
      </w:r>
    </w:p>
    <w:p>
      <w:pPr>
        <w:pStyle w:val="ListBullet"/>
        <w:spacing w:before="20" w:after="20"/>
        <w:ind w:left="360"/>
      </w:pPr>
      <w:r>
        <w:rPr>
          <w:color w:val="008000"/>
          <w:sz w:val="18"/>
        </w:rPr>
        <w:t>Résultats ivoiriens encourageants (Positif).</w:t>
      </w:r>
    </w:p>
    <w:p>
      <w:pPr>
        <w:pStyle w:val="Heading3"/>
      </w:pPr>
      <w:r>
        <w:rPr>
          <w:color w:val="500050"/>
        </w:rPr>
        <w:t>⚡ Impact estimé sur la BRVM</w:t>
      </w:r>
    </w:p>
    <w:p>
      <w:pPr>
        <w:pStyle w:val="ListBullet"/>
        <w:spacing w:before="20" w:after="20"/>
        <w:ind w:left="560"/>
      </w:pPr>
      <w:r>
        <w:rPr>
          <w:color w:val="500050"/>
          <w:sz w:val="18"/>
        </w:rPr>
        <w:t>**Achat** : SGBC, BICB, SNTS, PALC (fondamentaux solides).</w:t>
      </w:r>
    </w:p>
    <w:p>
      <w:pPr>
        <w:pStyle w:val="ListBullet"/>
        <w:spacing w:before="20" w:after="20"/>
        <w:ind w:left="560"/>
      </w:pPr>
      <w:r>
        <w:rPr>
          <w:color w:val="500050"/>
          <w:sz w:val="18"/>
        </w:rPr>
        <w:t>**Conserver** : BOAB, ECOC, SAFC, SPHC, ONTBF.</w:t>
      </w:r>
    </w:p>
    <w:p>
      <w:pPr>
        <w:pStyle w:val="ListBullet"/>
        <w:spacing w:before="20" w:after="20"/>
        <w:ind w:left="560"/>
      </w:pPr>
      <w:r>
        <w:rPr>
          <w:color w:val="500050"/>
          <w:sz w:val="18"/>
        </w:rPr>
        <w:t>**Prudence** : SIVC, STAC (coûts carburants), TTLS, SHEC (volatilité énergie).</w:t>
      </w:r>
    </w:p>
    <w:p>
      <w:pPr>
        <w:pStyle w:val="ListBullet"/>
        <w:spacing w:before="20" w:after="20"/>
        <w:ind w:left="560"/>
      </w:pPr>
      <w:r>
        <w:rPr>
          <w:color w:val="500050"/>
          <w:sz w:val="18"/>
        </w:rPr>
        <w:t>**Surveiller** : NEIC (consommation discrétionnaire sensible au pouvoir d'achat).</w:t>
      </w:r>
    </w:p>
    <w:p>
      <w:pPr>
        <w:pStyle w:val="Heading1"/>
      </w:pPr>
      <w:r>
        <w:rPr>
          <w:color w:val="003366"/>
        </w:rPr>
        <w:t>🎯 SYNTHÈSE &amp; RECOMMANDATION FINALE</w:t>
      </w:r>
    </w:p>
    <w:p>
      <w:pPr>
        <w:spacing w:before="120"/>
      </w:pPr>
      <w:r>
        <w:rPr>
          <w:b/>
          <w:color w:val="C85000"/>
          <w:sz w:val="22"/>
        </w:rPr>
        <w:t>**Niveau d'alerte global : ORANGE**</w:t>
      </w:r>
    </w:p>
    <w:p>
      <w:pPr>
        <w:spacing w:before="20" w:after="40"/>
        <w:ind w:left="0"/>
      </w:pPr>
      <w:r>
        <w:rPr>
          <w:sz w:val="18"/>
        </w:rPr>
        <w:t>L'environnement international reste défavorable (taux BCE, carburants, dette tech), mais la BRVM bénéficie de résultats ivoiriens solides et d'un apaisement politique sous-régional (AES-CEDEAO). Les tensions sénégalaises et la dépendance au dollar constituent les principaux risques. **Recommandation** : privilégier les financières et télécoms (SGBC, BICB, SNTS, ONTBF), alléger l'exposition aux industriels énergivores (SIVC, STAC) et surveiller les valeurs sénégalaises avant les échéances politiques.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2026-09-24</w:t>
            </w:r>
          </w:p>
        </w:tc>
        <w:tc>
          <w:tcPr>
            <w:tcW w:type="dxa" w:w="1728"/>
          </w:tcPr>
          <w:p>
            <w:r>
              <w:rPr>
                <w:sz w:val="14"/>
              </w:rPr>
              <w:t>Les prix des carburants ont fortement augmenté ; des experts donnent d</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2026-09-26</w:t>
            </w:r>
          </w:p>
        </w:tc>
        <w:tc>
          <w:tcPr>
            <w:tcW w:type="dxa" w:w="1728"/>
          </w:tcPr>
          <w:p>
            <w:r>
              <w:rPr>
                <w:sz w:val="14"/>
              </w:rPr>
              <w:t>Bourse : la dette des géants de l'IA menace-t-elle Wall Street ? - Cap</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2026-09-27</w:t>
            </w:r>
          </w:p>
        </w:tc>
        <w:tc>
          <w:tcPr>
            <w:tcW w:type="dxa" w:w="1728"/>
          </w:tcPr>
          <w:p>
            <w:r>
              <w:rPr>
                <w:sz w:val="14"/>
              </w:rPr>
              <w:t>Crédit immobilier : ce que la hausse des taux de la BCE va changer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2026-09-27</w:t>
            </w:r>
          </w:p>
        </w:tc>
        <w:tc>
          <w:tcPr>
            <w:tcW w:type="dxa" w:w="1728"/>
          </w:tcPr>
          <w:p>
            <w:r>
              <w:rPr>
                <w:sz w:val="14"/>
              </w:rPr>
              <w:t>Guerres et tensions géopolitiques : LFI, RN, PC et cie en terrain (éle</w:t>
            </w:r>
          </w:p>
        </w:tc>
        <w:tc>
          <w:tcPr>
            <w:tcW w:type="dxa" w:w="1728"/>
          </w:tcPr>
          <w:p>
            <w:r>
              <w:rPr>
                <w:sz w:val="14"/>
              </w:rPr>
              <w:t>Neutre</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2026-09-27</w:t>
            </w:r>
          </w:p>
        </w:tc>
        <w:tc>
          <w:tcPr>
            <w:tcW w:type="dxa" w:w="1728"/>
          </w:tcPr>
          <w:p>
            <w:r>
              <w:rPr>
                <w:sz w:val="14"/>
              </w:rPr>
              <w:t>Prix ​​des carburants aujourd'hui (27 septembre) : Une semaine volatil</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2026-09-25</w:t>
            </w:r>
          </w:p>
        </w:tc>
        <w:tc>
          <w:tcPr>
            <w:tcW w:type="dxa" w:w="1728"/>
          </w:tcPr>
          <w:p>
            <w:r>
              <w:rPr>
                <w:sz w:val="14"/>
              </w:rPr>
              <w:t>Médias : les articles financiers à base d'IA ont moins d'impact sur le</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2026-09-26</w:t>
            </w:r>
          </w:p>
        </w:tc>
        <w:tc>
          <w:tcPr>
            <w:tcW w:type="dxa" w:w="1728"/>
          </w:tcPr>
          <w:p>
            <w:r>
              <w:rPr>
                <w:sz w:val="14"/>
              </w:rPr>
              <w:t>UCESA : Amara plaide à Victoria Falls pour une croissance inclusive, l</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2026-09-26</w:t>
            </w:r>
          </w:p>
        </w:tc>
        <w:tc>
          <w:tcPr>
            <w:tcW w:type="dxa" w:w="1728"/>
          </w:tcPr>
          <w:p>
            <w:r>
              <w:rPr>
                <w:sz w:val="14"/>
              </w:rPr>
              <w:t xml:space="preserve">Le parlement de la CEDEAO veut concilier ”ambitions institutionnelles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2026-09-25</w:t>
            </w:r>
          </w:p>
        </w:tc>
        <w:tc>
          <w:tcPr>
            <w:tcW w:type="dxa" w:w="1728"/>
          </w:tcPr>
          <w:p>
            <w:r>
              <w:rPr>
                <w:sz w:val="14"/>
              </w:rPr>
              <w:t>Les femmes parlementaires de la CEDEAO misent sur la ZLECAf pour renfo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2026-09-25</w:t>
            </w:r>
          </w:p>
        </w:tc>
        <w:tc>
          <w:tcPr>
            <w:tcW w:type="dxa" w:w="1728"/>
          </w:tcPr>
          <w:p>
            <w:r>
              <w:rPr>
                <w:sz w:val="14"/>
              </w:rPr>
              <w:t>Afrique de l'Ouest: La CEDEAO préconise des programmes de réintégratio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2026-09-24</w:t>
            </w:r>
          </w:p>
        </w:tc>
        <w:tc>
          <w:tcPr>
            <w:tcW w:type="dxa" w:w="1728"/>
          </w:tcPr>
          <w:p>
            <w:r>
              <w:rPr>
                <w:sz w:val="14"/>
              </w:rPr>
              <w:t>Cedeao : Le Ghana appelle à élire les membres du Parlement - koaci.com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Gestion de l’eau en Afrique de l’Ouest : la CEDEAO réunit experts et m</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VIDÉO. Afrique de l'Ouest: quel avenir pour la monnaie commune ECO - 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2026-09-28</w:t>
            </w:r>
          </w:p>
        </w:tc>
        <w:tc>
          <w:tcPr>
            <w:tcW w:type="dxa" w:w="1728"/>
          </w:tcPr>
          <w:p>
            <w:r>
              <w:rPr>
                <w:sz w:val="14"/>
              </w:rPr>
              <w:t xml:space="preserve">Cacao : le Ghana fixe un prix bord champ supérieur de 75 % à celui de </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r>
        <w:tc>
          <w:tcPr>
            <w:tcW w:type="dxa" w:w="1728"/>
          </w:tcPr>
          <w:p>
            <w:r>
              <w:rPr>
                <w:sz w:val="14"/>
              </w:rPr>
              <w:t>2026-09-27</w:t>
            </w:r>
          </w:p>
        </w:tc>
        <w:tc>
          <w:tcPr>
            <w:tcW w:type="dxa" w:w="1728"/>
          </w:tcPr>
          <w:p>
            <w:r>
              <w:rPr>
                <w:sz w:val="14"/>
              </w:rPr>
              <w:t>Burkina Faso : AES-CEDEAO, "l'idéal, c'est une très bonne cohabitation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2026-09-27</w:t>
            </w:r>
          </w:p>
        </w:tc>
        <w:tc>
          <w:tcPr>
            <w:tcW w:type="dxa" w:w="1728"/>
          </w:tcPr>
          <w:p>
            <w:r>
              <w:rPr>
                <w:sz w:val="14"/>
              </w:rPr>
              <w:t>Burkina Faso: la CPI, "Un instrument de l'impérialisme", selon Ibrahim</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2026-09-28</w:t>
            </w:r>
          </w:p>
        </w:tc>
        <w:tc>
          <w:tcPr>
            <w:tcW w:type="dxa" w:w="1728"/>
          </w:tcPr>
          <w:p>
            <w:r>
              <w:rPr>
                <w:sz w:val="14"/>
              </w:rPr>
              <w:t>Locales au Sénégal : « Le temps joue contre Bassirou Diomaye Faye », s</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2026-09-26</w:t>
            </w:r>
          </w:p>
        </w:tc>
        <w:tc>
          <w:tcPr>
            <w:tcW w:type="dxa" w:w="1728"/>
          </w:tcPr>
          <w:p>
            <w:r>
              <w:rPr>
                <w:sz w:val="14"/>
              </w:rPr>
              <w:t>JOJ de Dakar 2026 : le Sénégal dans les starting-blocks - jeuneafrique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2026-09-28</w:t>
            </w:r>
          </w:p>
        </w:tc>
        <w:tc>
          <w:tcPr>
            <w:tcW w:type="dxa" w:w="1728"/>
          </w:tcPr>
          <w:p>
            <w:r>
              <w:rPr>
                <w:sz w:val="14"/>
              </w:rPr>
              <w:t xml:space="preserve">Cacao : le Ghana fixe un prix bord champ supérieur de 75 % à celui de </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r>
        <w:tc>
          <w:tcPr>
            <w:tcW w:type="dxa" w:w="1728"/>
          </w:tcPr>
          <w:p>
            <w:r>
              <w:rPr>
                <w:sz w:val="14"/>
              </w:rPr>
              <w:t>2026-09-26</w:t>
            </w:r>
          </w:p>
        </w:tc>
        <w:tc>
          <w:tcPr>
            <w:tcW w:type="dxa" w:w="1728"/>
          </w:tcPr>
          <w:p>
            <w:r>
              <w:rPr>
                <w:sz w:val="14"/>
              </w:rPr>
              <w:t>Bourse : la dette des géants de l'IA menace-t-elle Wall Street ? - Cap</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2026-09-27</w:t>
            </w:r>
          </w:p>
        </w:tc>
        <w:tc>
          <w:tcPr>
            <w:tcW w:type="dxa" w:w="1728"/>
          </w:tcPr>
          <w:p>
            <w:r>
              <w:rPr>
                <w:sz w:val="14"/>
              </w:rPr>
              <w:t>Crédit immobilier : ce que la hausse des taux de la BCE va changer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2026-09-28</w:t>
            </w:r>
          </w:p>
        </w:tc>
        <w:tc>
          <w:tcPr>
            <w:tcW w:type="dxa" w:w="1728"/>
          </w:tcPr>
          <w:p>
            <w:r>
              <w:rPr>
                <w:sz w:val="14"/>
              </w:rPr>
              <w:t xml:space="preserve">Cacao : le Ghana fixe un prix bord champ supérieur de 75 % à celui de </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2026-09-28</w:t>
            </w:r>
          </w:p>
        </w:tc>
        <w:tc>
          <w:tcPr>
            <w:tcW w:type="dxa" w:w="1728"/>
          </w:tcPr>
          <w:p>
            <w:r>
              <w:rPr>
                <w:sz w:val="14"/>
              </w:rPr>
              <w:t>Locales au Sénégal : « Le temps joue contre Bassirou Diomaye Faye », s</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2026-09-27</w:t>
            </w:r>
          </w:p>
        </w:tc>
        <w:tc>
          <w:tcPr>
            <w:tcW w:type="dxa" w:w="1728"/>
          </w:tcPr>
          <w:p>
            <w:r>
              <w:rPr>
                <w:sz w:val="14"/>
              </w:rPr>
              <w:t>Guerres et tensions géopolitiques : LFI, RN, PC et cie en terrain (éle</w:t>
            </w:r>
          </w:p>
        </w:tc>
        <w:tc>
          <w:tcPr>
            <w:tcW w:type="dxa" w:w="1728"/>
          </w:tcPr>
          <w:p>
            <w:r>
              <w:rPr>
                <w:sz w:val="14"/>
              </w:rPr>
              <w:t>Neutre</w:t>
            </w:r>
          </w:p>
        </w:tc>
        <w:tc>
          <w:tcPr>
            <w:tcW w:type="dxa" w:w="1728"/>
          </w:tcPr>
          <w:p>
            <w:r>
              <w:rPr>
                <w:sz w:val="14"/>
              </w:rPr>
              <w:t>Neutre</w:t>
            </w:r>
          </w:p>
        </w:tc>
        <w:tc>
          <w:tcPr>
            <w:tcW w:type="dxa" w:w="1728"/>
          </w:tcPr>
          <w:p>
            <w:r>
              <w:rPr>
                <w:sz w:val="14"/>
              </w:rPr>
              <w:t>Google News — géopolitique mon</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2026-09-28</w:t>
            </w:r>
          </w:p>
        </w:tc>
        <w:tc>
          <w:tcPr>
            <w:tcW w:type="dxa" w:w="1728"/>
          </w:tcPr>
          <w:p>
            <w:r>
              <w:rPr>
                <w:sz w:val="14"/>
              </w:rPr>
              <w:t xml:space="preserve">Cacao : le Ghana fixe un prix bord champ supérieur de 75 % à celui de </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r>
        <w:tc>
          <w:tcPr>
            <w:tcW w:type="dxa" w:w="1728"/>
          </w:tcPr>
          <w:p>
            <w:r>
              <w:rPr>
                <w:sz w:val="14"/>
              </w:rPr>
              <w:t>2026-09-27</w:t>
            </w:r>
          </w:p>
        </w:tc>
        <w:tc>
          <w:tcPr>
            <w:tcW w:type="dxa" w:w="1728"/>
          </w:tcPr>
          <w:p>
            <w:r>
              <w:rPr>
                <w:sz w:val="14"/>
              </w:rPr>
              <w:t>Burkina Faso : AES-CEDEAO, "l'idéal, c'est une très bonne cohabitation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2026-09-28</w:t>
            </w:r>
          </w:p>
        </w:tc>
        <w:tc>
          <w:tcPr>
            <w:tcW w:type="dxa" w:w="1728"/>
          </w:tcPr>
          <w:p>
            <w:r>
              <w:rPr>
                <w:sz w:val="14"/>
              </w:rPr>
              <w:t>Locales au Sénégal : « Le temps joue contre Bassirou Diomaye Faye », s</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2026-09-27</w:t>
            </w:r>
          </w:p>
        </w:tc>
        <w:tc>
          <w:tcPr>
            <w:tcW w:type="dxa" w:w="1728"/>
          </w:tcPr>
          <w:p>
            <w:r>
              <w:rPr>
                <w:sz w:val="14"/>
              </w:rPr>
              <w:t>Guerres et tensions géopolitiques : LFI, RN, PC et cie en terrain (éle</w:t>
            </w:r>
          </w:p>
        </w:tc>
        <w:tc>
          <w:tcPr>
            <w:tcW w:type="dxa" w:w="1728"/>
          </w:tcPr>
          <w:p>
            <w:r>
              <w:rPr>
                <w:sz w:val="14"/>
              </w:rPr>
              <w:t>Neutre</w:t>
            </w:r>
          </w:p>
        </w:tc>
        <w:tc>
          <w:tcPr>
            <w:tcW w:type="dxa" w:w="1728"/>
          </w:tcPr>
          <w:p>
            <w:r>
              <w:rPr>
                <w:sz w:val="14"/>
              </w:rPr>
              <w:t>Neutre</w:t>
            </w:r>
          </w:p>
        </w:tc>
        <w:tc>
          <w:tcPr>
            <w:tcW w:type="dxa" w:w="1728"/>
          </w:tcPr>
          <w:p>
            <w:r>
              <w:rPr>
                <w:sz w:val="14"/>
              </w:rPr>
              <w:t>Google News — géopolitique mon</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2026-09-28</w:t>
            </w:r>
          </w:p>
        </w:tc>
        <w:tc>
          <w:tcPr>
            <w:tcW w:type="dxa" w:w="1728"/>
          </w:tcPr>
          <w:p>
            <w:r>
              <w:rPr>
                <w:sz w:val="14"/>
              </w:rPr>
              <w:t xml:space="preserve">Cacao : le Ghana fixe un prix bord champ supérieur de 75 % à celui de </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r>
        <w:tc>
          <w:tcPr>
            <w:tcW w:type="dxa" w:w="1728"/>
          </w:tcPr>
          <w:p>
            <w:r>
              <w:rPr>
                <w:sz w:val="14"/>
              </w:rPr>
              <w:t>2026-09-27</w:t>
            </w:r>
          </w:p>
        </w:tc>
        <w:tc>
          <w:tcPr>
            <w:tcW w:type="dxa" w:w="1728"/>
          </w:tcPr>
          <w:p>
            <w:r>
              <w:rPr>
                <w:sz w:val="14"/>
              </w:rPr>
              <w:t>Burkina Faso : AES-CEDEAO, "l'idéal, c'est une très bonne cohabitation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politique UEMOA </w:t>
            </w:r>
          </w:p>
        </w:tc>
      </w:tr>
      <w:tr>
        <w:tc>
          <w:tcPr>
            <w:tcW w:type="dxa" w:w="1728"/>
          </w:tcPr>
          <w:p>
            <w:r>
              <w:rPr>
                <w:sz w:val="14"/>
              </w:rPr>
              <w:t>2026-09-27</w:t>
            </w:r>
          </w:p>
        </w:tc>
        <w:tc>
          <w:tcPr>
            <w:tcW w:type="dxa" w:w="1728"/>
          </w:tcPr>
          <w:p>
            <w:r>
              <w:rPr>
                <w:sz w:val="14"/>
              </w:rPr>
              <w:t>Burkina Faso: la CPI, "Un instrument de l'impérialisme", selon Ibrahim</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2026-09-28</w:t>
            </w:r>
          </w:p>
        </w:tc>
        <w:tc>
          <w:tcPr>
            <w:tcW w:type="dxa" w:w="1728"/>
          </w:tcPr>
          <w:p>
            <w:r>
              <w:rPr>
                <w:sz w:val="14"/>
              </w:rPr>
              <w:t>Locales au Sénégal : « Le temps joue contre Bassirou Diomaye Faye », s</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2026-09-28</w:t>
            </w:r>
          </w:p>
        </w:tc>
        <w:tc>
          <w:tcPr>
            <w:tcW w:type="dxa" w:w="1728"/>
          </w:tcPr>
          <w:p>
            <w:r>
              <w:rPr>
                <w:sz w:val="14"/>
              </w:rPr>
              <w:t xml:space="preserve">Cacao : le Ghana fixe un prix bord champ supérieur de 75 % à celui de </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r>
        <w:tc>
          <w:tcPr>
            <w:tcW w:type="dxa" w:w="1728"/>
          </w:tcPr>
          <w:p>
            <w:r>
              <w:rPr>
                <w:sz w:val="14"/>
              </w:rPr>
              <w:t>2026-09-28</w:t>
            </w:r>
          </w:p>
        </w:tc>
        <w:tc>
          <w:tcPr>
            <w:tcW w:type="dxa" w:w="1728"/>
          </w:tcPr>
          <w:p>
            <w:r>
              <w:rPr>
                <w:sz w:val="14"/>
              </w:rPr>
              <w:t>Locales au Sénégal : « Le temps joue contre Bassirou Diomaye Faye », s</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2026-09-27</w:t>
            </w:r>
          </w:p>
        </w:tc>
        <w:tc>
          <w:tcPr>
            <w:tcW w:type="dxa" w:w="1728"/>
          </w:tcPr>
          <w:p>
            <w:r>
              <w:rPr>
                <w:sz w:val="14"/>
              </w:rPr>
              <w:t>Guerres et tensions géopolitiques : LFI, RN, PC et cie en terrain (éle</w:t>
            </w:r>
          </w:p>
        </w:tc>
        <w:tc>
          <w:tcPr>
            <w:tcW w:type="dxa" w:w="1728"/>
          </w:tcPr>
          <w:p>
            <w:r>
              <w:rPr>
                <w:sz w:val="14"/>
              </w:rPr>
              <w:t>Neutre</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2026-09-27</w:t>
            </w:r>
          </w:p>
        </w:tc>
        <w:tc>
          <w:tcPr>
            <w:tcW w:type="dxa" w:w="1728"/>
          </w:tcPr>
          <w:p>
            <w:r>
              <w:rPr>
                <w:sz w:val="14"/>
              </w:rPr>
              <w:t>Prix ​​des carburants aujourd'hui (27 septembre) : Une semaine volatil</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2026-09-26</w:t>
            </w:r>
          </w:p>
        </w:tc>
        <w:tc>
          <w:tcPr>
            <w:tcW w:type="dxa" w:w="1728"/>
          </w:tcPr>
          <w:p>
            <w:r>
              <w:rPr>
                <w:sz w:val="14"/>
              </w:rPr>
              <w:t>Bourse : la dette des géants de l'IA menace-t-elle Wall Street ? - Cap</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2026-09-27</w:t>
            </w:r>
          </w:p>
        </w:tc>
        <w:tc>
          <w:tcPr>
            <w:tcW w:type="dxa" w:w="1728"/>
          </w:tcPr>
          <w:p>
            <w:r>
              <w:rPr>
                <w:sz w:val="14"/>
              </w:rPr>
              <w:t>Crédit immobilier : ce que la hausse des taux de la BCE va changer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2026-09-27</w:t>
            </w:r>
          </w:p>
        </w:tc>
        <w:tc>
          <w:tcPr>
            <w:tcW w:type="dxa" w:w="1728"/>
          </w:tcPr>
          <w:p>
            <w:r>
              <w:rPr>
                <w:sz w:val="14"/>
              </w:rPr>
              <w:t>Prix ​​des carburants aujourd'hui (27 septembre) : Une semaine volatil</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2026-09-26</w:t>
            </w:r>
          </w:p>
        </w:tc>
        <w:tc>
          <w:tcPr>
            <w:tcW w:type="dxa" w:w="1728"/>
          </w:tcPr>
          <w:p>
            <w:r>
              <w:rPr>
                <w:sz w:val="14"/>
              </w:rPr>
              <w:t>Bourse : la dette des géants de l'IA menace-t-elle Wall Street ? - Cap</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2026-09-27</w:t>
            </w:r>
          </w:p>
        </w:tc>
        <w:tc>
          <w:tcPr>
            <w:tcW w:type="dxa" w:w="1728"/>
          </w:tcPr>
          <w:p>
            <w:r>
              <w:rPr>
                <w:sz w:val="14"/>
              </w:rPr>
              <w:t>Crédit immobilier : ce que la hausse des taux de la BCE va changer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2026-09-28</w:t>
            </w:r>
          </w:p>
        </w:tc>
        <w:tc>
          <w:tcPr>
            <w:tcW w:type="dxa" w:w="1728"/>
          </w:tcPr>
          <w:p>
            <w:r>
              <w:rPr>
                <w:sz w:val="14"/>
              </w:rPr>
              <w:t>Locales au Sénégal : « Le temps joue contre Bassirou Diomaye Faye », s</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2026-09-28</w:t>
            </w:r>
          </w:p>
        </w:tc>
        <w:tc>
          <w:tcPr>
            <w:tcW w:type="dxa" w:w="1728"/>
          </w:tcPr>
          <w:p>
            <w:r>
              <w:rPr>
                <w:sz w:val="14"/>
              </w:rPr>
              <w:t xml:space="preserve">Cacao : le Ghana fixe un prix bord champ supérieur de 75 % à celui de </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r>
        <w:tc>
          <w:tcPr>
            <w:tcW w:type="dxa" w:w="1728"/>
          </w:tcPr>
          <w:p>
            <w:r>
              <w:rPr>
                <w:sz w:val="14"/>
              </w:rPr>
              <w:t>2026-09-26</w:t>
            </w:r>
          </w:p>
        </w:tc>
        <w:tc>
          <w:tcPr>
            <w:tcW w:type="dxa" w:w="1728"/>
          </w:tcPr>
          <w:p>
            <w:r>
              <w:rPr>
                <w:sz w:val="14"/>
              </w:rPr>
              <w:t>Bourse : la dette des géants de l'IA menace-t-elle Wall Street ? - Cap</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2026-09-27</w:t>
            </w:r>
          </w:p>
        </w:tc>
        <w:tc>
          <w:tcPr>
            <w:tcW w:type="dxa" w:w="1728"/>
          </w:tcPr>
          <w:p>
            <w:r>
              <w:rPr>
                <w:sz w:val="14"/>
              </w:rPr>
              <w:t>Crédit immobilier : ce que la hausse des taux de la BCE va changer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2026-09-28</w:t>
            </w:r>
          </w:p>
        </w:tc>
        <w:tc>
          <w:tcPr>
            <w:tcW w:type="dxa" w:w="1728"/>
          </w:tcPr>
          <w:p>
            <w:r>
              <w:rPr>
                <w:sz w:val="14"/>
              </w:rPr>
              <w:t xml:space="preserve">Cacao : le Ghana fixe un prix bord champ supérieur de 75 % à celui de </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r>
        <w:tc>
          <w:tcPr>
            <w:tcW w:type="dxa" w:w="1728"/>
          </w:tcPr>
          <w:p>
            <w:r>
              <w:rPr>
                <w:sz w:val="14"/>
              </w:rPr>
              <w:t>2026-09-26</w:t>
            </w:r>
          </w:p>
        </w:tc>
        <w:tc>
          <w:tcPr>
            <w:tcW w:type="dxa" w:w="1728"/>
          </w:tcPr>
          <w:p>
            <w:r>
              <w:rPr>
                <w:sz w:val="14"/>
              </w:rPr>
              <w:t>Bourse : la dette des géants de l'IA menace-t-elle Wall Street ? - Cap</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2026-09-27</w:t>
            </w:r>
          </w:p>
        </w:tc>
        <w:tc>
          <w:tcPr>
            <w:tcW w:type="dxa" w:w="1728"/>
          </w:tcPr>
          <w:p>
            <w:r>
              <w:rPr>
                <w:sz w:val="14"/>
              </w:rPr>
              <w:t>Crédit immobilier : ce que la hausse des taux de la BCE va changer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2026-09-26</w:t>
            </w:r>
          </w:p>
        </w:tc>
        <w:tc>
          <w:tcPr>
            <w:tcW w:type="dxa" w:w="1728"/>
          </w:tcPr>
          <w:p>
            <w:r>
              <w:rPr>
                <w:sz w:val="14"/>
              </w:rPr>
              <w:t>Bourse : la dette des géants de l'IA menace-t-elle Wall Street ? - Cap</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2026-09-27</w:t>
            </w:r>
          </w:p>
        </w:tc>
        <w:tc>
          <w:tcPr>
            <w:tcW w:type="dxa" w:w="1728"/>
          </w:tcPr>
          <w:p>
            <w:r>
              <w:rPr>
                <w:sz w:val="14"/>
              </w:rPr>
              <w:t>Crédit immobilier : ce que la hausse des taux de la BCE va changer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2026-09-27</w:t>
            </w:r>
          </w:p>
        </w:tc>
        <w:tc>
          <w:tcPr>
            <w:tcW w:type="dxa" w:w="1728"/>
          </w:tcPr>
          <w:p>
            <w:r>
              <w:rPr>
                <w:sz w:val="14"/>
              </w:rPr>
              <w:t>Burkina Faso : à l’ONU, Ouagadougou dénonce le silence après l’attaque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matieres_premieres  (2 alerte(s))</w:t>
      </w:r>
    </w:p>
    <w:p>
      <w:pPr>
        <w:spacing w:before="40" w:after="40"/>
        <w:ind w:left="360"/>
      </w:pPr>
      <w:r>
        <w:rPr>
          <w:color w:val="646464"/>
          <w:sz w:val="17"/>
        </w:rPr>
        <w:t xml:space="preserve">[28/09/2026] ⚪  </w:t>
      </w:r>
      <w:r>
        <w:rPr>
          <w:b/>
          <w:color w:val="505050"/>
          <w:sz w:val="18"/>
        </w:rPr>
        <w:t>Cacao : le Ghana fixe un prix bord champ supérieur de 75 % à celui de la Côte d’Ivoire - AGENCE ECOFIN</w:t>
      </w:r>
      <w:r>
        <w:rPr>
          <w:color w:val="787878"/>
          <w:sz w:val="15"/>
        </w:rPr>
        <w:t xml:space="preserve">  [matieres_premieres]</w:t>
      </w:r>
      <w:r>
        <w:rPr>
          <w:color w:val="B47800"/>
          <w:sz w:val="16"/>
        </w:rPr>
        <w:t xml:space="preserve">  ★ 50/10</w:t>
      </w:r>
    </w:p>
    <w:p>
      <w:pPr>
        <w:spacing w:before="0" w:after="20"/>
        <w:ind w:left="600"/>
      </w:pPr>
      <w:r>
        <w:rPr>
          <w:color w:val="323232"/>
          <w:sz w:val="17"/>
        </w:rPr>
        <w:t>Le Ghana a annoncé un prix bord champ du cacao supérieur de 75 % à celui de la Côte d'Ivoire pour la campagne en cours. Cette décision vise à offrir une meilleure rémunération aux producteurs ghanéens et à lutter contre la contrebande vers la Côte d'Ivoire. Elle pourrait toutefois créer des tensions sur le marché régional et affecter la compétitivi</w:t>
      </w:r>
    </w:p>
    <w:p>
      <w:pPr>
        <w:spacing w:before="0" w:after="40"/>
        <w:ind w:left="600"/>
      </w:pPr>
      <w:r>
        <w:rPr>
          <w:color w:val="00643C"/>
          <w:sz w:val="16"/>
        </w:rPr>
        <w:t>Points clés : Le Ghana fixe un prix bord champ 75 % plus élevé que celui de la Côte d'Ivoire.  •  Objectif : améliorer les revenus des producteurs ghanéens et réduire la contrebande.  •  Risque de distorsion de la concurrence entre les deux pays au sein de la filière cacao.  •  La Côte d'Ivoire pourrait ajuster son prix pour éviter une fuite de sa production vers le Ghana.</w:t>
      </w:r>
    </w:p>
    <w:p>
      <w:pPr>
        <w:spacing w:before="0" w:after="60"/>
        <w:ind w:left="600"/>
      </w:pPr>
      <w:r>
        <w:rPr>
          <w:color w:val="0064B4"/>
          <w:sz w:val="15"/>
        </w:rPr>
        <w:t>Source : https://news.google.com/rss/articles/CBMi1gFBVV95cUxOVWV3TVdYbWh4UDZiUEFuWkp3MlR</w:t>
      </w:r>
    </w:p>
    <w:p>
      <w:pPr>
        <w:spacing w:before="40" w:after="40"/>
        <w:ind w:left="360"/>
      </w:pPr>
      <w:r>
        <w:rPr>
          <w:color w:val="646464"/>
          <w:sz w:val="17"/>
        </w:rPr>
        <w:t xml:space="preserve">[27/09/2026] ⚪  </w:t>
      </w:r>
      <w:r>
        <w:rPr>
          <w:b/>
          <w:color w:val="505050"/>
          <w:sz w:val="18"/>
        </w:rPr>
        <w:t>Prix ​​des carburants aujourd'hui (27 septembre) : Une semaine volatile pour les prix mondiaux du pétrole.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mondiaux du pétrole ont connu une semaine volatile, marquée par des fluctuations importantes des cours du brut. Cette volatilité est alimentée par des incertitudes sur l'offre et la demande, ainsi que par des facteurs géopolitiques. Les marchés restent attentifs à l'évolution des stocks et aux décisions des pays producteurs. Cette situatio</w:t>
      </w:r>
    </w:p>
    <w:p>
      <w:pPr>
        <w:spacing w:before="0" w:after="40"/>
        <w:ind w:left="600"/>
      </w:pPr>
      <w:r>
        <w:rPr>
          <w:color w:val="00643C"/>
          <w:sz w:val="16"/>
        </w:rPr>
        <w:t>Points clés : Volatilité accrue des prix mondiaux du pétrole  •  Incertitudes sur l'offre et la demande  •  Impact potentiel sur les pays importateurs</w:t>
      </w:r>
    </w:p>
    <w:p>
      <w:pPr>
        <w:spacing w:before="0" w:after="60"/>
        <w:ind w:left="600"/>
      </w:pPr>
      <w:r>
        <w:rPr>
          <w:color w:val="0064B4"/>
          <w:sz w:val="15"/>
        </w:rPr>
        <w:t>Source : https://news.google.com/rss/articles/CBMikAFBVV95cUxOSEJqS3BxMkRNU05MYzVyakxPNGt</w:t>
      </w:r>
    </w:p>
    <w:p>
      <w:pPr>
        <w:spacing w:before="120" w:after="40"/>
      </w:pPr>
      <w:r>
        <w:rPr>
          <w:b/>
          <w:color w:val="00467F"/>
          <w:sz w:val="20"/>
        </w:rPr>
        <w:t>🔑 politique  (11 alerte(s))</w:t>
      </w:r>
    </w:p>
    <w:p>
      <w:pPr>
        <w:spacing w:before="40" w:after="40"/>
        <w:ind w:left="360"/>
      </w:pPr>
      <w:r>
        <w:rPr>
          <w:color w:val="646464"/>
          <w:sz w:val="17"/>
        </w:rPr>
        <w:t xml:space="preserve">[28/09/2026] 🔴  </w:t>
      </w:r>
      <w:r>
        <w:rPr>
          <w:b/>
          <w:color w:val="C00000"/>
          <w:sz w:val="18"/>
        </w:rPr>
        <w:t>Locales au Sénégal : « Le temps joue contre Bassirou Diomaye Faye », selon Babacar Ndiaye - Jeune Afrique</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rapporte les propos de l'analyste politique Babacar Ndiaye sur les élections locales à venir au Sénégal. Selon lui, le temps joue contre le président Bassirou Diomaye Faye, dont la popularité pourrait s'éroder avant le scrutin. Cette situation crée une incertitude politique qui pourrait affecter la confiance des investiss</w:t>
      </w:r>
    </w:p>
    <w:p>
      <w:pPr>
        <w:spacing w:before="0" w:after="40"/>
        <w:ind w:left="600"/>
      </w:pPr>
      <w:r>
        <w:rPr>
          <w:color w:val="00643C"/>
          <w:sz w:val="16"/>
        </w:rPr>
        <w:t>Points clés : Babacar Ndiaye estime que le temps joue contre Bassirou Diomaye Faye avant les locales.  •  Les élections locales sont un enjeu politique majeur pour la nouvelle administration sénégalaise.  •  L'incertitude politique pourrait peser sur le climat des affaires au Sénégal.</w:t>
      </w:r>
    </w:p>
    <w:p>
      <w:pPr>
        <w:spacing w:before="0" w:after="60"/>
        <w:ind w:left="600"/>
      </w:pPr>
      <w:r>
        <w:rPr>
          <w:color w:val="0064B4"/>
          <w:sz w:val="15"/>
        </w:rPr>
        <w:t>Source : https://news.google.com/rss/articles/CBMiygFBVV95cUxORXh5OEpXMmE3WDdTXzctVGdCY05</w:t>
      </w:r>
    </w:p>
    <w:p>
      <w:pPr>
        <w:spacing w:before="40" w:after="40"/>
        <w:ind w:left="360"/>
      </w:pPr>
      <w:r>
        <w:rPr>
          <w:color w:val="646464"/>
          <w:sz w:val="17"/>
        </w:rPr>
        <w:t xml:space="preserve">[27/09/2026] 🔴  </w:t>
      </w:r>
      <w:r>
        <w:rPr>
          <w:b/>
          <w:color w:val="C00000"/>
          <w:sz w:val="18"/>
        </w:rPr>
        <w:t>Burkina Faso: la CPI, "Un instrument de l'impérialisme", selon Ibrahim Traoré - koaci.com</w:t>
      </w:r>
      <w:r>
        <w:rPr>
          <w:color w:val="787878"/>
          <w:sz w:val="15"/>
        </w:rPr>
        <w:t xml:space="preserve">  [politique]</w:t>
      </w:r>
      <w:r>
        <w:rPr>
          <w:color w:val="B47800"/>
          <w:sz w:val="16"/>
        </w:rPr>
        <w:t xml:space="preserve">  ★ 50/10</w:t>
      </w:r>
    </w:p>
    <w:p>
      <w:pPr>
        <w:spacing w:before="0" w:after="20"/>
        <w:ind w:left="600"/>
      </w:pPr>
      <w:r>
        <w:rPr>
          <w:color w:val="323232"/>
          <w:sz w:val="17"/>
        </w:rPr>
        <w:t>Le capitaine Ibrahim Traoré, chef de la junte au pouvoir au Burkina Faso, a qualifié la Cour pénale internationale (CPI) d'« instrument de l'impérialisme ». Cette déclaration s'inscrit dans un contexte de tensions croissantes entre les autorités burkinabè et les institutions internationales. Elle reflète la volonté d'émancipation affichée par Ouaga</w:t>
      </w:r>
    </w:p>
    <w:p>
      <w:pPr>
        <w:spacing w:before="0" w:after="40"/>
        <w:ind w:left="600"/>
      </w:pPr>
      <w:r>
        <w:rPr>
          <w:color w:val="00643C"/>
          <w:sz w:val="16"/>
        </w:rPr>
        <w:t>Points clés : Ibrahim Traoré qualifie la CPI d'instrument de l'impérialisme  •  Contexte de tensions entre le Burkina Faso et les institutions internationales  •  Risque d'isolement diplomatique accru pour le Burkina Faso  •  Impact potentiel sur la perception du risque souverain dans la zone UEMOA</w:t>
      </w:r>
    </w:p>
    <w:p>
      <w:pPr>
        <w:spacing w:before="0" w:after="60"/>
        <w:ind w:left="600"/>
      </w:pPr>
      <w:r>
        <w:rPr>
          <w:color w:val="0064B4"/>
          <w:sz w:val="15"/>
        </w:rPr>
        <w:t>Source : https://news.google.com/rss/articles/CBMi4AFBVV95cUxNanotUUptelVqWnJkRzltOTZwdUl</w:t>
      </w:r>
    </w:p>
    <w:p>
      <w:pPr>
        <w:spacing w:before="40" w:after="40"/>
        <w:ind w:left="360"/>
      </w:pPr>
      <w:r>
        <w:rPr>
          <w:color w:val="646464"/>
          <w:sz w:val="17"/>
        </w:rPr>
        <w:t xml:space="preserve">[27/09/2026] 🟢  </w:t>
      </w:r>
      <w:r>
        <w:rPr>
          <w:b/>
          <w:color w:val="008000"/>
          <w:sz w:val="18"/>
        </w:rPr>
        <w:t>Burkina Faso : AES-CEDEAO, "l'idéal, c'est une très bonne cohabitation", plaide le capitaine Traoré - koaci.com</w:t>
      </w:r>
      <w:r>
        <w:rPr>
          <w:color w:val="787878"/>
          <w:sz w:val="15"/>
        </w:rPr>
        <w:t xml:space="preserve">  [politique]</w:t>
      </w:r>
      <w:r>
        <w:rPr>
          <w:color w:val="B47800"/>
          <w:sz w:val="16"/>
        </w:rPr>
        <w:t xml:space="preserve">  ★ 50/10</w:t>
      </w:r>
    </w:p>
    <w:p>
      <w:pPr>
        <w:spacing w:before="0" w:after="20"/>
        <w:ind w:left="600"/>
      </w:pPr>
      <w:r>
        <w:rPr>
          <w:color w:val="323232"/>
          <w:sz w:val="17"/>
        </w:rPr>
        <w:t>Le capitaine Ibrahim Traoré, chef de l'État burkinabè, a plaidé pour une cohabitation harmonieuse entre l'Alliance des États du Sahel (AES) et la CEDEAO. Il a souligné que l'idéal serait une très bonne entente entre les deux entités, malgré les tensions récentes. Cette déclaration intervient dans un contexte de retrait du Burkina Faso, du Mali et d</w:t>
      </w:r>
    </w:p>
    <w:p>
      <w:pPr>
        <w:spacing w:before="0" w:after="40"/>
        <w:ind w:left="600"/>
      </w:pPr>
      <w:r>
        <w:rPr>
          <w:color w:val="00643C"/>
          <w:sz w:val="16"/>
        </w:rPr>
        <w:t>Points clés : Le capitaine Traoré appelle à une cohabitation pacifique entre l'AES et la CEDEAO.  •  Le Burkina Faso, le Mali et le Niger ont quitté la CEDEAO en janvier 2024.  •  Cette prise de position pourrait réduire les tensions régionales et rassurer les investisseurs.</w:t>
      </w:r>
    </w:p>
    <w:p>
      <w:pPr>
        <w:spacing w:before="0" w:after="60"/>
        <w:ind w:left="600"/>
      </w:pPr>
      <w:r>
        <w:rPr>
          <w:color w:val="0064B4"/>
          <w:sz w:val="15"/>
        </w:rPr>
        <w:t>Source : https://news.google.com/rss/articles/CBMi8wFBVV95cUxNZjNrdDdLLXUwU05TN0t5N2dzYlJ</w:t>
      </w:r>
    </w:p>
    <w:p>
      <w:pPr>
        <w:spacing w:before="40" w:after="40"/>
        <w:ind w:left="360"/>
      </w:pPr>
      <w:r>
        <w:rPr>
          <w:color w:val="646464"/>
          <w:sz w:val="17"/>
        </w:rPr>
        <w:t xml:space="preserve">[27/09/2026] ⚪  </w:t>
      </w:r>
      <w:r>
        <w:rPr>
          <w:b/>
          <w:color w:val="505050"/>
          <w:sz w:val="18"/>
        </w:rPr>
        <w:t>Le Burkina Faso met Laurent Gbabgo au panthéon panafricaniste - jeuneafrique.com</w:t>
      </w:r>
      <w:r>
        <w:rPr>
          <w:color w:val="787878"/>
          <w:sz w:val="15"/>
        </w:rPr>
        <w:t xml:space="preserve">  [politique]</w:t>
      </w:r>
      <w:r>
        <w:rPr>
          <w:color w:val="B47800"/>
          <w:sz w:val="16"/>
        </w:rPr>
        <w:t xml:space="preserve">  ★ 50/10</w:t>
      </w:r>
    </w:p>
    <w:p>
      <w:pPr>
        <w:spacing w:before="0" w:after="20"/>
        <w:ind w:left="600"/>
      </w:pPr>
      <w:r>
        <w:rPr>
          <w:color w:val="323232"/>
          <w:sz w:val="17"/>
        </w:rPr>
        <w:t>Le Burkina Faso a décidé d'honorer la mémoire de Laurent Gbagbo, ancien président ivoirien, en le plaçant au panthéon des figures panafricanistes. Cette initiative symbolique s'inscrit dans un contexte de repositionnement politique régional et de tensions diplomatiques persistantes entre certains États de l'UEMOA. Elle pourrait raviver les débats s</w:t>
      </w:r>
    </w:p>
    <w:p>
      <w:pPr>
        <w:spacing w:before="0" w:after="40"/>
        <w:ind w:left="600"/>
      </w:pPr>
      <w:r>
        <w:rPr>
          <w:color w:val="00643C"/>
          <w:sz w:val="16"/>
        </w:rPr>
        <w:t>Points clés : Le Burkina Faso rend hommage à Laurent Gbagbo comme figure panafricaniste  •  Décision à connotation politique dans un contexte de tensions régionales  •  Impact limité sur les marchés financiers de l'UEMOA</w:t>
      </w:r>
    </w:p>
    <w:p>
      <w:pPr>
        <w:spacing w:before="0" w:after="60"/>
        <w:ind w:left="600"/>
      </w:pPr>
      <w:r>
        <w:rPr>
          <w:color w:val="0064B4"/>
          <w:sz w:val="15"/>
        </w:rPr>
        <w:t>Source : https://news.google.com/rss/articles/CBMirgFBVV95cUxPRDFPdWcwUzlBdnJuM0NQMXpHdS1</w:t>
      </w:r>
    </w:p>
    <w:p>
      <w:pPr>
        <w:spacing w:before="40" w:after="40"/>
        <w:ind w:left="360"/>
      </w:pPr>
      <w:r>
        <w:rPr>
          <w:color w:val="646464"/>
          <w:sz w:val="17"/>
        </w:rPr>
        <w:t xml:space="preserve">[27/09/2026] 🔴  </w:t>
      </w:r>
      <w:r>
        <w:rPr>
          <w:b/>
          <w:color w:val="C00000"/>
          <w:sz w:val="18"/>
        </w:rPr>
        <w:t>Burkina Faso : à l’ONU, Ouagadougou dénonce le silence après l’attaque du 25 avril au Mali - Benin Web TV</w:t>
      </w:r>
      <w:r>
        <w:rPr>
          <w:color w:val="787878"/>
          <w:sz w:val="15"/>
        </w:rPr>
        <w:t xml:space="preserve">  [politique]</w:t>
      </w:r>
      <w:r>
        <w:rPr>
          <w:color w:val="B47800"/>
          <w:sz w:val="16"/>
        </w:rPr>
        <w:t xml:space="preserve">  ★ 50/10</w:t>
      </w:r>
    </w:p>
    <w:p>
      <w:pPr>
        <w:spacing w:before="0" w:after="20"/>
        <w:ind w:left="600"/>
      </w:pPr>
      <w:r>
        <w:rPr>
          <w:color w:val="323232"/>
          <w:sz w:val="17"/>
        </w:rPr>
        <w:t>Le Burkina Faso a pris la parole à l'ONU pour dénoncer le silence de la communauté internationale après l'attaque survenue le 25 avril au Mali. Ouagadougou critique l'absence de réaction face à cet événement, dans un contexte de tensions sécuritaires et politiques au Sahel. Cette prise de position intervient alors que les relations entre les autori</w:t>
      </w:r>
    </w:p>
    <w:p>
      <w:pPr>
        <w:spacing w:before="0" w:after="40"/>
        <w:ind w:left="600"/>
      </w:pPr>
      <w:r>
        <w:rPr>
          <w:color w:val="00643C"/>
          <w:sz w:val="16"/>
        </w:rPr>
        <w:t>Points clés : Le Burkina Faso dénonce à l'ONU le silence après l'attaque du 25 avril au Mali  •  Critique de l'absence de réaction de la communauté internationale  •  Contexte de tensions sécuritaires et politiques au Sahel  •  Relations fragiles entre les autorités de transition et les partenaires internationaux</w:t>
      </w:r>
    </w:p>
    <w:p>
      <w:pPr>
        <w:spacing w:before="0" w:after="60"/>
        <w:ind w:left="600"/>
      </w:pPr>
      <w:r>
        <w:rPr>
          <w:color w:val="0064B4"/>
          <w:sz w:val="15"/>
        </w:rPr>
        <w:t>Source : https://news.google.com/rss/articles/CBMisgFBVV95cUxPaGV3Z1FKRXk5dEN0UnlNM2NFTkd</w:t>
      </w:r>
    </w:p>
    <w:p>
      <w:pPr>
        <w:spacing w:before="120" w:after="40"/>
      </w:pPr>
      <w:r>
        <w:rPr>
          <w:b/>
          <w:color w:val="00467F"/>
          <w:sz w:val="20"/>
        </w:rPr>
        <w:t>🔑 politique_monetaire  (1 alerte(s))</w:t>
      </w:r>
    </w:p>
    <w:p>
      <w:pPr>
        <w:spacing w:before="40" w:after="40"/>
        <w:ind w:left="360"/>
      </w:pPr>
      <w:r>
        <w:rPr>
          <w:color w:val="646464"/>
          <w:sz w:val="17"/>
        </w:rPr>
        <w:t xml:space="preserve">[27/09/2026] 🔴  </w:t>
      </w:r>
      <w:r>
        <w:rPr>
          <w:b/>
          <w:color w:val="C00000"/>
          <w:sz w:val="18"/>
        </w:rPr>
        <w:t>Crédit immobilier : ce que la hausse des taux de la BCE va changer - Le Revenu</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La Banque centrale européenne (BCE) a relevé ses taux directeurs, ce qui entraîne une hausse des taux d'intérêt des crédits immobiliers dans la zone euro. Cette augmentation renchérit le coût des emprunts pour les ménages et pourrait freiner la demande de logements. Les banques devraient ajuster leurs conditions de prêt, impactant ainsi le pouvoir </w:t>
      </w:r>
    </w:p>
    <w:p>
      <w:pPr>
        <w:spacing w:before="0" w:after="40"/>
        <w:ind w:left="600"/>
      </w:pPr>
      <w:r>
        <w:rPr>
          <w:color w:val="00643C"/>
          <w:sz w:val="16"/>
        </w:rPr>
        <w:t>Points clés : La BCE augmente ses taux directeurs  •  Les crédits immobiliers deviennent plus chers  •  La demande de logements pourrait ralentir  •  Les banques ajustent leurs conditions de prêt</w:t>
      </w:r>
    </w:p>
    <w:p>
      <w:pPr>
        <w:spacing w:before="0" w:after="60"/>
        <w:ind w:left="600"/>
      </w:pPr>
      <w:r>
        <w:rPr>
          <w:color w:val="0064B4"/>
          <w:sz w:val="15"/>
        </w:rPr>
        <w:t>Source : https://news.google.com/rss/articles/CBMitAFBVV95cUxNOEVHODhNU0FfaDNYZW9MNjJBQXB</w:t>
      </w:r>
    </w:p>
    <w:p>
      <w:pPr>
        <w:spacing w:before="120" w:after="40"/>
      </w:pPr>
      <w:r>
        <w:rPr>
          <w:b/>
          <w:color w:val="00467F"/>
          <w:sz w:val="20"/>
        </w:rPr>
        <w:t>🔑 geopolitique  (1 alerte(s))</w:t>
      </w:r>
    </w:p>
    <w:p>
      <w:pPr>
        <w:spacing w:before="40" w:after="40"/>
        <w:ind w:left="360"/>
      </w:pPr>
      <w:r>
        <w:rPr>
          <w:color w:val="646464"/>
          <w:sz w:val="17"/>
        </w:rPr>
        <w:t xml:space="preserve">[27/09/2026] ⚪  </w:t>
      </w:r>
      <w:r>
        <w:rPr>
          <w:b/>
          <w:color w:val="505050"/>
          <w:sz w:val="18"/>
        </w:rPr>
        <w:t>Guerres et tensions géopolitiques : LFI, RN, PC et cie en terrain (électoral) ultra miné - Atlantico</w:t>
      </w:r>
      <w:r>
        <w:rPr>
          <w:color w:val="787878"/>
          <w:sz w:val="15"/>
        </w:rPr>
        <w:t xml:space="preserve">  [geopolitique]</w:t>
      </w:r>
      <w:r>
        <w:rPr>
          <w:color w:val="B47800"/>
          <w:sz w:val="16"/>
        </w:rPr>
        <w:t xml:space="preserve">  ★ 50/10</w:t>
      </w:r>
    </w:p>
    <w:p>
      <w:pPr>
        <w:spacing w:before="0" w:after="20"/>
        <w:ind w:left="600"/>
      </w:pPr>
      <w:r>
        <w:rPr>
          <w:color w:val="323232"/>
          <w:sz w:val="17"/>
        </w:rPr>
        <w:t>L'article d'Atlantico analyse la position délicate des partis politiques français (LFI, RN, PC, etc.) face aux guerres et tensions géopolitiques internationales dans un contexte électoral. Ces formations doivent naviguer entre des positions historiques, des électorats divisés et des pressions médiatiques sur des sujets comme l'Ukraine, le Proche-Or</w:t>
      </w:r>
    </w:p>
    <w:p>
      <w:pPr>
        <w:spacing w:before="0" w:after="40"/>
        <w:ind w:left="600"/>
      </w:pPr>
      <w:r>
        <w:rPr>
          <w:color w:val="00643C"/>
          <w:sz w:val="16"/>
        </w:rPr>
        <w:t>Points clés : Les partis français sont contraints de se positionner sur des conflits internationaux en période électorale.  •  Chaque déclaration sur la géopolitique peut aliéner une partie de l'électorat.  •  Les tensions internationales deviennent un enjeu de politique intérieure en France.</w:t>
      </w:r>
    </w:p>
    <w:p>
      <w:pPr>
        <w:spacing w:before="0" w:after="60"/>
        <w:ind w:left="600"/>
      </w:pPr>
      <w:r>
        <w:rPr>
          <w:color w:val="0064B4"/>
          <w:sz w:val="15"/>
        </w:rPr>
        <w:t>Source : https://news.google.com/rss/articles/CBMivwFBVV95cUxQRjVhd0RXNnNzeHVkVmptWC1SeTQ</w:t>
      </w:r>
    </w:p>
    <w:p>
      <w:pPr>
        <w:spacing w:before="120" w:after="40"/>
      </w:pPr>
      <w:r>
        <w:rPr>
          <w:b/>
          <w:color w:val="00467F"/>
          <w:sz w:val="20"/>
        </w:rPr>
        <w:t>🔑 économique  (3 alerte(s))</w:t>
      </w:r>
    </w:p>
    <w:p>
      <w:pPr>
        <w:spacing w:before="40" w:after="40"/>
        <w:ind w:left="360"/>
      </w:pPr>
      <w:r>
        <w:rPr>
          <w:color w:val="646464"/>
          <w:sz w:val="17"/>
        </w:rPr>
        <w:t xml:space="preserve">[26/09/2026] ⚪  </w:t>
      </w:r>
      <w:r>
        <w:rPr>
          <w:b/>
          <w:color w:val="505050"/>
          <w:sz w:val="18"/>
        </w:rPr>
        <w:t>Le parlement de la CEDEAO veut concilier ”ambitions institutionnelles et gestion rigoureuse” des ressources - APS - Agen</w:t>
      </w:r>
      <w:r>
        <w:rPr>
          <w:color w:val="787878"/>
          <w:sz w:val="15"/>
        </w:rPr>
        <w:t xml:space="preserve">  [économique]</w:t>
      </w:r>
      <w:r>
        <w:rPr>
          <w:color w:val="B47800"/>
          <w:sz w:val="16"/>
        </w:rPr>
        <w:t xml:space="preserve">  ★ 50/10</w:t>
      </w:r>
    </w:p>
    <w:p>
      <w:pPr>
        <w:spacing w:before="0" w:after="20"/>
        <w:ind w:left="600"/>
      </w:pPr>
      <w:r>
        <w:rPr>
          <w:color w:val="323232"/>
          <w:sz w:val="17"/>
        </w:rPr>
        <w:t>Le parlement de la CEDEAO cherche à concilier ses ambitions institutionnelles avec une gestion rigoureuse des ressources financières. Cette démarche intervient dans un contexte où l'organisation régionale doit faire face à des défis budgétaires tout en renforçant son rôle politique et économique. L'objectif est d'assurer une meilleure allocation de</w:t>
      </w:r>
    </w:p>
    <w:p>
      <w:pPr>
        <w:spacing w:before="0" w:after="40"/>
        <w:ind w:left="600"/>
      </w:pPr>
      <w:r>
        <w:rPr>
          <w:color w:val="00643C"/>
          <w:sz w:val="16"/>
        </w:rPr>
        <w:t>Points clés : Le parlement de la CEDEAO veut équilibrer ambitions institutionnelles et rigueur budgétaire  •  La gestion des ressources est au cœur des préoccupations de l'organisation régionale  •  Les décisions pourraient influencer les politiques économiques des pays membres</w:t>
      </w:r>
    </w:p>
    <w:p>
      <w:pPr>
        <w:spacing w:before="0" w:after="60"/>
        <w:ind w:left="600"/>
      </w:pPr>
      <w:r>
        <w:rPr>
          <w:color w:val="0064B4"/>
          <w:sz w:val="15"/>
        </w:rPr>
        <w:t>Source : https://news.google.com/rss/articles/CBMivgFBVV95cUxNX0NrSWE2ZGNud0hqNXZJOU95dU1</w:t>
      </w:r>
    </w:p>
    <w:p>
      <w:pPr>
        <w:spacing w:before="40" w:after="40"/>
        <w:ind w:left="360"/>
      </w:pPr>
      <w:r>
        <w:rPr>
          <w:color w:val="646464"/>
          <w:sz w:val="17"/>
        </w:rPr>
        <w:t xml:space="preserve">[26/09/2026] 🟢  </w:t>
      </w:r>
      <w:r>
        <w:rPr>
          <w:b/>
          <w:color w:val="008000"/>
          <w:sz w:val="18"/>
        </w:rPr>
        <w:t xml:space="preserve">UCESA : Amara plaide à Victoria Falls pour une croissance inclusive, l’emploi et un investissement productif en Afrique </w:t>
      </w:r>
      <w:r>
        <w:rPr>
          <w:color w:val="787878"/>
          <w:sz w:val="15"/>
        </w:rPr>
        <w:t xml:space="preserve">  [économique]</w:t>
      </w:r>
      <w:r>
        <w:rPr>
          <w:color w:val="B47800"/>
          <w:sz w:val="16"/>
        </w:rPr>
        <w:t xml:space="preserve">  ★ 50/10</w:t>
      </w:r>
    </w:p>
    <w:p>
      <w:pPr>
        <w:spacing w:before="0" w:after="20"/>
        <w:ind w:left="600"/>
      </w:pPr>
      <w:r>
        <w:rPr>
          <w:color w:val="323232"/>
          <w:sz w:val="17"/>
        </w:rPr>
        <w:t>L'Union des Conseils Économiques et Sociaux d'Afrique (UCESA), représentée par son président Amara, a plaidé lors d'une rencontre à Victoria Falls pour une croissance inclusive, la création d'emplois et un investissement productif en Afrique. Cette intervention s'inscrit dans un contexte de recherche de solutions durables face aux défis économiques</w:t>
      </w:r>
    </w:p>
    <w:p>
      <w:pPr>
        <w:spacing w:before="0" w:after="40"/>
        <w:ind w:left="600"/>
      </w:pPr>
      <w:r>
        <w:rPr>
          <w:color w:val="00643C"/>
          <w:sz w:val="16"/>
        </w:rPr>
        <w:t>Points clés : Plaidoyer pour une croissance inclusive en Afrique  •  Priorité à l'emploi et à l'investissement productif  •  Intervention de l'UCESA à Victoria Falls</w:t>
      </w:r>
    </w:p>
    <w:p>
      <w:pPr>
        <w:spacing w:before="0" w:after="60"/>
        <w:ind w:left="600"/>
      </w:pPr>
      <w:r>
        <w:rPr>
          <w:color w:val="0064B4"/>
          <w:sz w:val="15"/>
        </w:rPr>
        <w:t>Source : https://news.google.com/rss/articles/CBMi0AFBVV95cUxPZlg4ZUswTjdlczVETTZiTVhuR2d</w:t>
      </w:r>
    </w:p>
    <w:p>
      <w:pPr>
        <w:spacing w:before="40" w:after="40"/>
        <w:ind w:left="360"/>
      </w:pPr>
      <w:r>
        <w:rPr>
          <w:color w:val="646464"/>
          <w:sz w:val="17"/>
        </w:rPr>
        <w:t xml:space="preserve">[26/09/2026] 🟢  </w:t>
      </w:r>
      <w:r>
        <w:rPr>
          <w:b/>
          <w:color w:val="008000"/>
          <w:sz w:val="18"/>
        </w:rPr>
        <w:t>Investissement et emploi : le plaidoyer d'Amara pour la transformation économique du continent - laverite.ma</w:t>
      </w:r>
      <w:r>
        <w:rPr>
          <w:color w:val="787878"/>
          <w:sz w:val="15"/>
        </w:rPr>
        <w:t xml:space="preserve">  [économique]</w:t>
      </w:r>
      <w:r>
        <w:rPr>
          <w:color w:val="B47800"/>
          <w:sz w:val="16"/>
        </w:rPr>
        <w:t xml:space="preserve">  ★ 50/10</w:t>
      </w:r>
    </w:p>
    <w:p>
      <w:pPr>
        <w:spacing w:before="0" w:after="20"/>
        <w:ind w:left="600"/>
      </w:pPr>
      <w:r>
        <w:rPr>
          <w:color w:val="323232"/>
          <w:sz w:val="17"/>
        </w:rPr>
        <w:t>L'article rapporte le plaidoyer d'Amara pour la transformation économique du continent africain, mettant l'accent sur l'investissement et l'emploi comme leviers essentiels. Il souligne la nécessité de stimuler les investissements productifs et de créer des emplois pour soutenir une croissance durable. Cette vision s'inscrit dans un contexte de réfl</w:t>
      </w:r>
    </w:p>
    <w:p>
      <w:pPr>
        <w:spacing w:before="0" w:after="40"/>
        <w:ind w:left="600"/>
      </w:pPr>
      <w:r>
        <w:rPr>
          <w:color w:val="00643C"/>
          <w:sz w:val="16"/>
        </w:rPr>
        <w:t>Points clés : Appel à une transformation économique du continent africain  •  L'investissement et l'emploi sont présentés comme des priorités  •  Plaidoyer pour des politiques favorisant la croissance et l'emploi</w:t>
      </w:r>
    </w:p>
    <w:p>
      <w:pPr>
        <w:spacing w:before="0" w:after="60"/>
        <w:ind w:left="600"/>
      </w:pPr>
      <w:r>
        <w:rPr>
          <w:color w:val="0064B4"/>
          <w:sz w:val="15"/>
        </w:rPr>
        <w:t>Source : https://news.google.com/rss/articles/CBMitwFBVV95cUxNemFjQ0FtS1Mwb2hZWTZKZldXSWp</w:t>
      </w:r>
    </w:p>
    <w:p>
      <w:pPr>
        <w:spacing w:before="120" w:after="40"/>
      </w:pPr>
      <w:r>
        <w:rPr>
          <w:b/>
          <w:color w:val="00467F"/>
          <w:sz w:val="20"/>
        </w:rPr>
        <w:t>🔑 marche_financier  (2 alerte(s))</w:t>
      </w:r>
    </w:p>
    <w:p>
      <w:pPr>
        <w:spacing w:before="40" w:after="40"/>
        <w:ind w:left="360"/>
      </w:pPr>
      <w:r>
        <w:rPr>
          <w:color w:val="646464"/>
          <w:sz w:val="17"/>
        </w:rPr>
        <w:t xml:space="preserve">[26/09/2026] 🔴  </w:t>
      </w:r>
      <w:r>
        <w:rPr>
          <w:b/>
          <w:color w:val="C00000"/>
          <w:sz w:val="18"/>
        </w:rPr>
        <w:t>Bourse : la dette des géants de l'IA menace-t-elle Wall Street ? - Capital.fr</w:t>
      </w:r>
      <w:r>
        <w:rPr>
          <w:color w:val="787878"/>
          <w:sz w:val="15"/>
        </w:rPr>
        <w:t xml:space="preserve">  [marche_financier]</w:t>
      </w:r>
      <w:r>
        <w:rPr>
          <w:color w:val="B47800"/>
          <w:sz w:val="16"/>
        </w:rPr>
        <w:t xml:space="preserve">  ★ 50/10</w:t>
      </w:r>
    </w:p>
    <w:p>
      <w:pPr>
        <w:spacing w:before="0" w:after="20"/>
        <w:ind w:left="600"/>
      </w:pPr>
      <w:r>
        <w:rPr>
          <w:color w:val="323232"/>
          <w:sz w:val="17"/>
        </w:rPr>
        <w:t>L'article de Capital.fr s'interroge sur la menace que représente l'endettement croissant des géants de l'intelligence artificielle pour Wall Street. Ces entreprises, qui financent massivement leurs investissements en IA par la dette, pourraient fragiliser la stabilité des marchés financiers en cas de retournement. La question porte sur le risque sy</w:t>
      </w:r>
    </w:p>
    <w:p>
      <w:pPr>
        <w:spacing w:before="0" w:after="40"/>
        <w:ind w:left="600"/>
      </w:pPr>
      <w:r>
        <w:rPr>
          <w:color w:val="00643C"/>
          <w:sz w:val="16"/>
        </w:rPr>
        <w:t>Points clés : Les géants de l'IA s'endettent fortement pour financer leurs investissements  •  Cette dette pourrait menacer la stabilité de Wall Street  •  Risque de contagion en cas de correction du secteur technologique</w:t>
      </w:r>
    </w:p>
    <w:p>
      <w:pPr>
        <w:spacing w:before="0" w:after="60"/>
        <w:ind w:left="600"/>
      </w:pPr>
      <w:r>
        <w:rPr>
          <w:color w:val="0064B4"/>
          <w:sz w:val="15"/>
        </w:rPr>
        <w:t>Source : https://news.google.com/rss/articles/CBMipwFBVV95cUxNTWN6UDN1UHZyVlhYSVB0MFpaQUR</w:t>
      </w:r>
    </w:p>
    <w:p>
      <w:pPr>
        <w:spacing w:before="40" w:after="40"/>
        <w:ind w:left="360"/>
      </w:pPr>
      <w:r>
        <w:rPr>
          <w:color w:val="646464"/>
          <w:sz w:val="17"/>
        </w:rPr>
        <w:t xml:space="preserve">[25/09/2026] 🟢  </w:t>
      </w:r>
      <w:r>
        <w:rPr>
          <w:b/>
          <w:color w:val="008000"/>
          <w:sz w:val="18"/>
        </w:rPr>
        <w:t>Une dynamique boursière porteuse - République Togolaise</w:t>
      </w:r>
      <w:r>
        <w:rPr>
          <w:color w:val="787878"/>
          <w:sz w:val="15"/>
        </w:rPr>
        <w:t xml:space="preserve">  [marche_financier]</w:t>
      </w:r>
      <w:r>
        <w:rPr>
          <w:color w:val="B47800"/>
          <w:sz w:val="16"/>
        </w:rPr>
        <w:t xml:space="preserve">  ★ 50/10</w:t>
      </w:r>
    </w:p>
    <w:p>
      <w:pPr>
        <w:spacing w:before="0" w:after="20"/>
        <w:ind w:left="600"/>
      </w:pPr>
      <w:r>
        <w:rPr>
          <w:color w:val="323232"/>
          <w:sz w:val="17"/>
        </w:rPr>
        <w:t>L'article évoque une dynamique boursière porteuse pour la République Togolaise, sans fournir de détails chiffrés ou d'événements spécifiques. Il s'agit probablement d'une communication institutionnelle mettant en avant les performances ou les perspectives du marché financier togolais au sein de l'UEMOA. Cette annonce pourrait refléter un climat fav</w:t>
      </w:r>
    </w:p>
    <w:p>
      <w:pPr>
        <w:spacing w:before="0" w:after="40"/>
        <w:ind w:left="600"/>
      </w:pPr>
      <w:r>
        <w:rPr>
          <w:color w:val="00643C"/>
          <w:sz w:val="16"/>
        </w:rPr>
        <w:t>Points clés : Dynamique boursière jugée porteuse pour le Togo  •  Communication institutionnelle sans données quantitatives  •  Contexte UEMOA et marché financier régional</w:t>
      </w:r>
    </w:p>
    <w:p>
      <w:pPr>
        <w:spacing w:before="0" w:after="60"/>
        <w:ind w:left="600"/>
      </w:pPr>
      <w:r>
        <w:rPr>
          <w:color w:val="0064B4"/>
          <w:sz w:val="15"/>
        </w:rPr>
        <w:t>Source : https://news.google.com/rss/articles/CBMinAFBVV95cUxPZ0VxZUR2NG9JNHBpRGJpRG5yaEF</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8,950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2,390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4,300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42,500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8,510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16,805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38,900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3,795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8,100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2,420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2,000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7,900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8,100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2,085</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9,000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2,350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17</w:t>
            </w:r>
          </w:p>
        </w:tc>
        <w:tc>
          <w:tcPr>
            <w:tcW w:type="dxa" w:w="1080"/>
            <w:shd w:fill="EBF5FB" w:val="clear"/>
          </w:tcPr>
          <w:p>
            <w:r>
              <w:rPr>
                <w:sz w:val="16"/>
              </w:rPr>
              <w:t>BOAC</w:t>
            </w:r>
          </w:p>
        </w:tc>
        <w:tc>
          <w:tcPr>
            <w:tcW w:type="dxa" w:w="1080"/>
            <w:shd w:fill="EBF5FB" w:val="clear"/>
          </w:tcPr>
          <w:p>
            <w:r>
              <w:rPr>
                <w:sz w:val="16"/>
              </w:rPr>
              <w:t>SERVICES FINANCIER</w:t>
            </w:r>
          </w:p>
        </w:tc>
        <w:tc>
          <w:tcPr>
            <w:tcW w:type="dxa" w:w="1080"/>
            <w:shd w:fill="EBF5FB" w:val="clear"/>
          </w:tcPr>
          <w:p>
            <w:r>
              <w:rPr>
                <w:sz w:val="16"/>
              </w:rPr>
              <w:t>11,595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18</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2,960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2,900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38,000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3,930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15,300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11,900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15,810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3,050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2,010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6,290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69</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22,500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21,295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3,050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8,100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1,555</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3,980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36</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5,130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31,500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6,440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7,900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32,000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3,400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3,100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21,400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7,795</w:t>
            </w:r>
          </w:p>
        </w:tc>
        <w:tc>
          <w:tcPr>
            <w:tcW w:type="dxa" w:w="1080"/>
            <w:shd w:fill="EBF5FB" w:val="clear"/>
          </w:tcPr>
          <w:p>
            <w:r>
              <w:rPr>
                <w:b/>
                <w:sz w:val="16"/>
              </w:rPr>
              <w:t>60/100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4,195</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48</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51,000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BOAB</w:t>
            </w:r>
          </w:p>
        </w:tc>
        <w:tc>
          <w:tcPr>
            <w:tcW w:type="dxa" w:w="1728"/>
            <w:shd w:fill="DEEAF1" w:val="clear"/>
          </w:tcPr>
          <w:p>
            <w:r>
              <w:rPr>
                <w:sz w:val="17"/>
              </w:rPr>
              <w:t>BANK OF AFRICA BENIN</w:t>
            </w:r>
          </w:p>
        </w:tc>
        <w:tc>
          <w:tcPr>
            <w:tcW w:type="dxa" w:w="1728"/>
            <w:shd w:fill="DEEAF1" w:val="clear"/>
          </w:tcPr>
          <w:p>
            <w:r>
              <w:rPr>
                <w:sz w:val="17"/>
              </w:rPr>
              <w:t>8,950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NEIC</w:t>
            </w:r>
          </w:p>
        </w:tc>
        <w:tc>
          <w:tcPr>
            <w:tcW w:type="dxa" w:w="1728"/>
            <w:shd w:fill="DEEAF1" w:val="clear"/>
          </w:tcPr>
          <w:p>
            <w:r>
              <w:rPr>
                <w:sz w:val="17"/>
              </w:rPr>
              <w:t>NEIC - NEI-CEDA CI</w:t>
            </w:r>
          </w:p>
        </w:tc>
        <w:tc>
          <w:tcPr>
            <w:tcW w:type="dxa" w:w="1728"/>
            <w:shd w:fill="DEEAF1" w:val="clear"/>
          </w:tcPr>
          <w:p>
            <w:r>
              <w:rPr>
                <w:sz w:val="17"/>
              </w:rPr>
              <w:t>2,390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16,805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38,900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TTLS</w:t>
            </w:r>
          </w:p>
        </w:tc>
        <w:tc>
          <w:tcPr>
            <w:tcW w:type="dxa" w:w="1728"/>
            <w:shd w:fill="DEEAF1" w:val="clear"/>
          </w:tcPr>
          <w:p>
            <w:r>
              <w:rPr>
                <w:sz w:val="17"/>
              </w:rPr>
              <w:t>TTLS - TOTAL ENERGIES MARKET</w:t>
            </w:r>
          </w:p>
        </w:tc>
        <w:tc>
          <w:tcPr>
            <w:tcW w:type="dxa" w:w="1728"/>
            <w:shd w:fill="DEEAF1" w:val="clear"/>
          </w:tcPr>
          <w:p>
            <w:r>
              <w:rPr>
                <w:sz w:val="17"/>
              </w:rPr>
              <w:t>3,795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SHEC</w:t>
            </w:r>
          </w:p>
        </w:tc>
        <w:tc>
          <w:tcPr>
            <w:tcW w:type="dxa" w:w="1728"/>
            <w:shd w:fill="DEEAF1" w:val="clear"/>
          </w:tcPr>
          <w:p>
            <w:r>
              <w:rPr>
                <w:sz w:val="17"/>
              </w:rPr>
              <w:t>SHEC - VIVO ENERGY COTE D'IV</w:t>
            </w:r>
          </w:p>
        </w:tc>
        <w:tc>
          <w:tcPr>
            <w:tcW w:type="dxa" w:w="1728"/>
            <w:shd w:fill="DEEAF1" w:val="clear"/>
          </w:tcPr>
          <w:p>
            <w:r>
              <w:rPr>
                <w:sz w:val="17"/>
              </w:rPr>
              <w:t>2,420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SPHC</w:t>
            </w:r>
          </w:p>
        </w:tc>
        <w:tc>
          <w:tcPr>
            <w:tcW w:type="dxa" w:w="1728"/>
            <w:shd w:fill="DEEAF1" w:val="clear"/>
          </w:tcPr>
          <w:p>
            <w:r>
              <w:rPr>
                <w:sz w:val="17"/>
              </w:rPr>
              <w:t xml:space="preserve">SPHC - Société Africaine de </w:t>
            </w:r>
          </w:p>
        </w:tc>
        <w:tc>
          <w:tcPr>
            <w:tcW w:type="dxa" w:w="1728"/>
            <w:shd w:fill="DEEAF1" w:val="clear"/>
          </w:tcPr>
          <w:p>
            <w:r>
              <w:rPr>
                <w:sz w:val="17"/>
              </w:rPr>
              <w:t>7,900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8,100</w:t>
            </w:r>
          </w:p>
        </w:tc>
        <w:tc>
          <w:tcPr>
            <w:tcW w:type="dxa" w:w="1728"/>
            <w:shd w:fill="DEEAF1" w:val="clear"/>
          </w:tcPr>
          <w:p>
            <w:r>
              <w:rPr>
                <w:sz w:val="17"/>
              </w:rPr>
              <w:t>71/100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BOAB</w:t>
            </w:r>
          </w:p>
        </w:tc>
        <w:tc>
          <w:tcPr>
            <w:tcW w:type="dxa" w:w="1728"/>
            <w:shd w:fill="E2EFDA" w:val="clear"/>
          </w:tcPr>
          <w:p>
            <w:r>
              <w:rPr>
                <w:sz w:val="17"/>
              </w:rPr>
              <w:t>BANK OF AFRICA BENIN</w:t>
            </w:r>
          </w:p>
        </w:tc>
        <w:tc>
          <w:tcPr>
            <w:tcW w:type="dxa" w:w="1728"/>
            <w:shd w:fill="E2EFDA" w:val="clear"/>
          </w:tcPr>
          <w:p>
            <w:r>
              <w:rPr>
                <w:sz w:val="17"/>
              </w:rPr>
              <w:t>8,950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NEIC</w:t>
            </w:r>
          </w:p>
        </w:tc>
        <w:tc>
          <w:tcPr>
            <w:tcW w:type="dxa" w:w="1728"/>
            <w:shd w:fill="E2EFDA" w:val="clear"/>
          </w:tcPr>
          <w:p>
            <w:r>
              <w:rPr>
                <w:sz w:val="17"/>
              </w:rPr>
              <w:t>NEIC - NEI-CEDA CI</w:t>
            </w:r>
          </w:p>
        </w:tc>
        <w:tc>
          <w:tcPr>
            <w:tcW w:type="dxa" w:w="1728"/>
            <w:shd w:fill="E2EFDA" w:val="clear"/>
          </w:tcPr>
          <w:p>
            <w:r>
              <w:rPr>
                <w:sz w:val="17"/>
              </w:rPr>
              <w:t>2,390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SAFC</w:t>
            </w:r>
          </w:p>
        </w:tc>
        <w:tc>
          <w:tcPr>
            <w:tcW w:type="dxa" w:w="1728"/>
            <w:shd w:fill="E2EFDA" w:val="clear"/>
          </w:tcPr>
          <w:p>
            <w:r>
              <w:rPr>
                <w:sz w:val="17"/>
              </w:rPr>
              <w:t>SAFCA CI</w:t>
            </w:r>
          </w:p>
        </w:tc>
        <w:tc>
          <w:tcPr>
            <w:tcW w:type="dxa" w:w="1728"/>
            <w:shd w:fill="E2EFDA" w:val="clear"/>
          </w:tcPr>
          <w:p>
            <w:r>
              <w:rPr>
                <w:sz w:val="17"/>
              </w:rPr>
              <w:t>4,300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SNTS</w:t>
            </w:r>
          </w:p>
        </w:tc>
        <w:tc>
          <w:tcPr>
            <w:tcW w:type="dxa" w:w="1728"/>
            <w:shd w:fill="E2EFDA" w:val="clear"/>
          </w:tcPr>
          <w:p>
            <w:r>
              <w:rPr>
                <w:sz w:val="17"/>
              </w:rPr>
              <w:t>SNTS - SONATEL SN</w:t>
            </w:r>
          </w:p>
        </w:tc>
        <w:tc>
          <w:tcPr>
            <w:tcW w:type="dxa" w:w="1728"/>
            <w:shd w:fill="E2EFDA" w:val="clear"/>
          </w:tcPr>
          <w:p>
            <w:r>
              <w:rPr>
                <w:sz w:val="17"/>
              </w:rPr>
              <w:t>42,500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8,510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16,805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SGBC</w:t>
            </w:r>
          </w:p>
        </w:tc>
        <w:tc>
          <w:tcPr>
            <w:tcW w:type="dxa" w:w="1728"/>
            <w:shd w:fill="E2EFDA" w:val="clear"/>
          </w:tcPr>
          <w:p>
            <w:r>
              <w:rPr>
                <w:sz w:val="17"/>
              </w:rPr>
              <w:t>SGBC - SOCIETE GENERALE COTE</w:t>
            </w:r>
          </w:p>
        </w:tc>
        <w:tc>
          <w:tcPr>
            <w:tcW w:type="dxa" w:w="1728"/>
            <w:shd w:fill="E2EFDA" w:val="clear"/>
          </w:tcPr>
          <w:p>
            <w:r>
              <w:rPr>
                <w:sz w:val="17"/>
              </w:rPr>
              <w:t>38,900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TTLS</w:t>
            </w:r>
          </w:p>
        </w:tc>
        <w:tc>
          <w:tcPr>
            <w:tcW w:type="dxa" w:w="1728"/>
            <w:shd w:fill="E2EFDA" w:val="clear"/>
          </w:tcPr>
          <w:p>
            <w:r>
              <w:rPr>
                <w:sz w:val="17"/>
              </w:rPr>
              <w:t>TTLS - TOTAL ENERGIES MARKET</w:t>
            </w:r>
          </w:p>
        </w:tc>
        <w:tc>
          <w:tcPr>
            <w:tcW w:type="dxa" w:w="1728"/>
            <w:shd w:fill="E2EFDA" w:val="clear"/>
          </w:tcPr>
          <w:p>
            <w:r>
              <w:rPr>
                <w:sz w:val="17"/>
              </w:rPr>
              <w:t>3,795</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BOAB</w:t>
            </w:r>
          </w:p>
        </w:tc>
        <w:tc>
          <w:tcPr>
            <w:tcW w:type="dxa" w:w="1728"/>
            <w:shd w:fill="FCE4D6" w:val="clear"/>
          </w:tcPr>
          <w:p>
            <w:r>
              <w:rPr>
                <w:sz w:val="17"/>
              </w:rPr>
              <w:t>BANK OF AFRICA BENIN</w:t>
            </w:r>
          </w:p>
        </w:tc>
        <w:tc>
          <w:tcPr>
            <w:tcW w:type="dxa" w:w="1728"/>
            <w:shd w:fill="FCE4D6" w:val="clear"/>
          </w:tcPr>
          <w:p>
            <w:r>
              <w:rPr>
                <w:sz w:val="17"/>
              </w:rPr>
              <w:t>8,950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NEIC</w:t>
            </w:r>
          </w:p>
        </w:tc>
        <w:tc>
          <w:tcPr>
            <w:tcW w:type="dxa" w:w="1728"/>
            <w:shd w:fill="FCE4D6" w:val="clear"/>
          </w:tcPr>
          <w:p>
            <w:r>
              <w:rPr>
                <w:sz w:val="17"/>
              </w:rPr>
              <w:t>NEIC - NEI-CEDA CI</w:t>
            </w:r>
          </w:p>
        </w:tc>
        <w:tc>
          <w:tcPr>
            <w:tcW w:type="dxa" w:w="1728"/>
            <w:shd w:fill="FCE4D6" w:val="clear"/>
          </w:tcPr>
          <w:p>
            <w:r>
              <w:rPr>
                <w:sz w:val="17"/>
              </w:rPr>
              <w:t>2,390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SAFC</w:t>
            </w:r>
          </w:p>
        </w:tc>
        <w:tc>
          <w:tcPr>
            <w:tcW w:type="dxa" w:w="1728"/>
            <w:shd w:fill="FCE4D6" w:val="clear"/>
          </w:tcPr>
          <w:p>
            <w:r>
              <w:rPr>
                <w:sz w:val="17"/>
              </w:rPr>
              <w:t>SAFCA CI</w:t>
            </w:r>
          </w:p>
        </w:tc>
        <w:tc>
          <w:tcPr>
            <w:tcW w:type="dxa" w:w="1728"/>
            <w:shd w:fill="FCE4D6" w:val="clear"/>
          </w:tcPr>
          <w:p>
            <w:r>
              <w:rPr>
                <w:sz w:val="17"/>
              </w:rPr>
              <w:t>4,300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SNTS</w:t>
            </w:r>
          </w:p>
        </w:tc>
        <w:tc>
          <w:tcPr>
            <w:tcW w:type="dxa" w:w="1728"/>
            <w:shd w:fill="FCE4D6" w:val="clear"/>
          </w:tcPr>
          <w:p>
            <w:r>
              <w:rPr>
                <w:sz w:val="17"/>
              </w:rPr>
              <w:t>SNTS - SONATEL SN</w:t>
            </w:r>
          </w:p>
        </w:tc>
        <w:tc>
          <w:tcPr>
            <w:tcW w:type="dxa" w:w="1728"/>
            <w:shd w:fill="FCE4D6" w:val="clear"/>
          </w:tcPr>
          <w:p>
            <w:r>
              <w:rPr>
                <w:sz w:val="17"/>
              </w:rPr>
              <w:t>42,500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8,510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16,805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SGBC</w:t>
            </w:r>
          </w:p>
        </w:tc>
        <w:tc>
          <w:tcPr>
            <w:tcW w:type="dxa" w:w="1728"/>
            <w:shd w:fill="FCE4D6" w:val="clear"/>
          </w:tcPr>
          <w:p>
            <w:r>
              <w:rPr>
                <w:sz w:val="17"/>
              </w:rPr>
              <w:t>SGBC - SOCIETE GENERALE COTE</w:t>
            </w:r>
          </w:p>
        </w:tc>
        <w:tc>
          <w:tcPr>
            <w:tcW w:type="dxa" w:w="1728"/>
            <w:shd w:fill="FCE4D6" w:val="clear"/>
          </w:tcPr>
          <w:p>
            <w:r>
              <w:rPr>
                <w:sz w:val="17"/>
              </w:rPr>
              <w:t>38,900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TTLS</w:t>
            </w:r>
          </w:p>
        </w:tc>
        <w:tc>
          <w:tcPr>
            <w:tcW w:type="dxa" w:w="1728"/>
            <w:shd w:fill="FCE4D6" w:val="clear"/>
          </w:tcPr>
          <w:p>
            <w:r>
              <w:rPr>
                <w:sz w:val="17"/>
              </w:rPr>
              <w:t>TTLS - TOTAL ENERGIES MARKET</w:t>
            </w:r>
          </w:p>
        </w:tc>
        <w:tc>
          <w:tcPr>
            <w:tcW w:type="dxa" w:w="1728"/>
            <w:shd w:fill="FCE4D6" w:val="clear"/>
          </w:tcPr>
          <w:p>
            <w:r>
              <w:rPr>
                <w:sz w:val="17"/>
              </w:rPr>
              <w:t>3,795</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SLBC — SLBC - SOLIBRA COTE D'IVOIRE</w:t>
      </w:r>
    </w:p>
    <w:p>
      <w:pPr>
        <w:pStyle w:val="ListBullet"/>
        <w:spacing w:before="20"/>
        <w:ind w:left="400"/>
      </w:pPr>
      <w:r>
        <w:rPr>
          <w:sz w:val="18"/>
        </w:rPr>
        <w:t>🔴 RSI surachat (78.6 &gt; 70) — risque de correction</w:t>
      </w:r>
    </w:p>
    <w:p>
      <w:pPr>
        <w:pStyle w:val="ListBullet"/>
        <w:spacing w:before="20"/>
        <w:ind w:left="400"/>
      </w:pPr>
      <w:r>
        <w:rPr>
          <w:sz w:val="18"/>
        </w:rPr>
        <w:t>⚠️ Cours à 3.0% du plus bas 100j (36,900 FCFA)</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RSI survente (27.7 &lt; 30) — opportunité potentielle</w:t>
      </w:r>
    </w:p>
    <w:p>
      <w:pPr>
        <w:pStyle w:val="ListBullet"/>
        <w:spacing w:before="20"/>
        <w:ind w:left="400"/>
      </w:pPr>
      <w:r>
        <w:rPr>
          <w:sz w:val="18"/>
        </w:rPr>
        <w:t>🟠 Divergence tech(VENTE) / fond(ACHAT) — recommandation ajustée à ACHAT</w:t>
      </w:r>
    </w:p>
    <w:p>
      <w:pPr>
        <w:spacing w:before="120"/>
      </w:pPr>
      <w:r>
        <w:rPr>
          <w:b/>
          <w:color w:val="0050A0"/>
          <w:sz w:val="20"/>
        </w:rPr>
        <w:t>NTLC — NTLC - NESTLE COTE D'IVOIRE</w:t>
      </w:r>
    </w:p>
    <w:p>
      <w:pPr>
        <w:pStyle w:val="ListBullet"/>
        <w:spacing w:before="20"/>
        <w:ind w:left="400"/>
      </w:pPr>
      <w:r>
        <w:rPr>
          <w:sz w:val="18"/>
        </w:rPr>
        <w:t>🟢 RSI survente (21.3 &lt; 30) — opportunité potentielle</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(73.9 &gt; 70) — risque de correction</w:t>
      </w:r>
    </w:p>
    <w:p>
      <w:pPr>
        <w:pStyle w:val="ListBullet"/>
        <w:spacing w:before="20"/>
        <w:ind w:left="400"/>
      </w:pPr>
      <w:r>
        <w:rPr>
          <w:sz w:val="18"/>
        </w:rPr>
        <w:t>⚠️ Cours à 0.0% du plus haut 100j (42,500 FCFA)</w:t>
      </w:r>
    </w:p>
    <w:p>
      <w:pPr>
        <w:spacing w:before="120"/>
      </w:pPr>
      <w:r>
        <w:rPr>
          <w:b/>
          <w:color w:val="0050A0"/>
          <w:sz w:val="20"/>
        </w:rPr>
        <w:t>STAC — STAC - SETAO COTE D'IVOIRE</w:t>
      </w:r>
    </w:p>
    <w:p>
      <w:pPr>
        <w:pStyle w:val="ListBullet"/>
        <w:spacing w:before="20"/>
        <w:ind w:left="400"/>
      </w:pPr>
      <w:r>
        <w:rPr>
          <w:sz w:val="18"/>
        </w:rPr>
        <w:t>🟢 RSI survente (25.7 &lt; 30) — opportunité potentielle</w:t>
      </w:r>
    </w:p>
    <w:p>
      <w:pPr>
        <w:pStyle w:val="ListBullet"/>
        <w:spacing w:before="20"/>
        <w:ind w:left="400"/>
      </w:pPr>
      <w:r>
        <w:rPr>
          <w:sz w:val="18"/>
        </w:rPr>
        <w:t>⚠️ Cours à 0.0% du plus bas 100j (2,085 FCFA)</w:t>
      </w:r>
    </w:p>
    <w:p>
      <w:pPr>
        <w:spacing w:before="120"/>
      </w:pPr>
      <w:r>
        <w:rPr>
          <w:b/>
          <w:color w:val="0050A0"/>
          <w:sz w:val="20"/>
        </w:rPr>
        <w:t>BBGC — BRIDGE BANK GROUP COTE D'IVOIRE</w:t>
      </w:r>
    </w:p>
    <w:p>
      <w:pPr>
        <w:pStyle w:val="ListBullet"/>
        <w:spacing w:before="20"/>
        <w:ind w:left="400"/>
      </w:pPr>
      <w:r>
        <w:rPr>
          <w:sz w:val="18"/>
        </w:rPr>
        <w:t>⚠️ Cours à 0.0% du plus haut 100j (7,795 FCFA)</w:t>
      </w:r>
    </w:p>
    <w:p>
      <w:pPr>
        <w:spacing w:before="120"/>
      </w:pPr>
      <w:r>
        <w:rPr>
          <w:b/>
          <w:color w:val="0050A0"/>
          <w:sz w:val="20"/>
        </w:rPr>
        <w:t>BICB — BIIC BN - Banque internationale pour le commerce du benin</w:t>
      </w:r>
    </w:p>
    <w:p>
      <w:pPr>
        <w:pStyle w:val="ListBullet"/>
        <w:spacing w:before="20"/>
        <w:ind w:left="400"/>
      </w:pPr>
      <w:r>
        <w:rPr>
          <w:sz w:val="18"/>
        </w:rPr>
        <w:t>🟢 RSI survente (23.7 &lt; 30) — opportunité potentielle</w:t>
      </w:r>
    </w:p>
    <w:p>
      <w:pPr>
        <w:spacing w:before="120"/>
      </w:pPr>
      <w:r>
        <w:rPr>
          <w:b/>
          <w:color w:val="0050A0"/>
          <w:sz w:val="20"/>
        </w:rPr>
        <w:t>BOAB — BANK OF AFRICA BENIN</w:t>
      </w:r>
    </w:p>
    <w:p>
      <w:pPr>
        <w:pStyle w:val="ListBullet"/>
        <w:spacing w:before="20"/>
        <w:ind w:left="400"/>
      </w:pPr>
      <w:r>
        <w:rPr>
          <w:sz w:val="18"/>
        </w:rPr>
        <w:t>🟢 RSI survente (21.1 &lt; 30) — opportunité potentielle</w:t>
      </w:r>
    </w:p>
    <w:p>
      <w:pPr>
        <w:spacing w:before="120"/>
      </w:pPr>
      <w:r>
        <w:rPr>
          <w:b/>
          <w:color w:val="0050A0"/>
          <w:sz w:val="20"/>
        </w:rPr>
        <w:t>CABC — CABC - SICABLE COTE D'IVOIRE</w:t>
      </w:r>
    </w:p>
    <w:p>
      <w:pPr>
        <w:pStyle w:val="ListBullet"/>
        <w:spacing w:before="20"/>
        <w:ind w:left="400"/>
      </w:pPr>
      <w:r>
        <w:rPr>
          <w:sz w:val="18"/>
        </w:rPr>
        <w:t>🟠 Divergence tech(VENTE) / fond(ACHAT) — recommandation ajustée à ACHAT</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 FORT</w:t>
      </w:r>
    </w:p>
    <w:p>
      <w:pPr>
        <w:spacing w:before="120"/>
      </w:pPr>
      <w:r>
        <w:rPr>
          <w:b/>
          <w:color w:val="0050A0"/>
          <w:sz w:val="20"/>
        </w:rPr>
        <w:t>NEIC — NEIC - NEI-CEDA CI</w:t>
      </w:r>
    </w:p>
    <w:p>
      <w:pPr>
        <w:pStyle w:val="ListBullet"/>
        <w:spacing w:before="20"/>
        <w:ind w:left="400"/>
      </w:pPr>
      <w:r>
        <w:rPr>
          <w:sz w:val="18"/>
        </w:rPr>
        <w:t>🟢 RSI survente (28.6 &lt; 30) — opportunité potentielle</w:t>
      </w:r>
    </w:p>
    <w:p>
      <w:pPr>
        <w:spacing w:before="120"/>
      </w:pPr>
      <w:r>
        <w:rPr>
          <w:b/>
          <w:color w:val="0050A0"/>
          <w:sz w:val="20"/>
        </w:rPr>
        <w:t>ONTBF — ONTBF - ONATEL BURKINA FASO</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RSI survente (25.2 &lt; 30) — opportunité potentielle</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SAFC — SAFCA CI</w:t>
      </w:r>
    </w:p>
    <w:p>
      <w:pPr>
        <w:pStyle w:val="ListBullet"/>
        <w:spacing w:before="20"/>
        <w:ind w:left="400"/>
      </w:pPr>
      <w:r>
        <w:rPr>
          <w:sz w:val="18"/>
        </w:rPr>
        <w:t>🟢 RSI survente (23.7 &lt; 30) — opportunité potentielle</w:t>
      </w:r>
    </w:p>
    <w:p>
      <w:pPr>
        <w:spacing w:before="120"/>
      </w:pPr>
      <w:r>
        <w:rPr>
          <w:b/>
          <w:color w:val="0050A0"/>
          <w:sz w:val="20"/>
        </w:rPr>
        <w:t>SCRC — SCRC - SUCRIVOIRE</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1.0% du plus haut 100j (39,300 FCFA)</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SIVC — SIVC - ERIUM CI (Ex AIR LIQUIDECI)</w:t>
      </w:r>
    </w:p>
    <w:p>
      <w:pPr>
        <w:pStyle w:val="ListBullet"/>
        <w:spacing w:before="20"/>
        <w:ind w:left="400"/>
      </w:pPr>
      <w:r>
        <w:rPr>
          <w:sz w:val="18"/>
        </w:rPr>
        <w:t>🟢 RSI survente (26.6 &lt; 30) — opportunité potentielle</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RSI survente (27.7 &lt; 30) — opportunité potentielle</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28 société(s) (58%)</w:t>
            </w:r>
          </w:p>
        </w:tc>
        <w:tc>
          <w:tcPr>
            <w:tcW w:type="dxa" w:w="1644"/>
            <w:shd w:fill="FFEB9C" w:val="clear"/>
          </w:tcPr>
          <w:p>
            <w:r>
              <w:rPr>
                <w:b/>
                <w:color w:val="825A00"/>
                <w:sz w:val="19"/>
              </w:rPr>
              <w:t>20 société(s) (42%)</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20.0/100</w:t>
            </w:r>
          </w:p>
        </w:tc>
        <w:tc>
          <w:tcPr>
            <w:tcW w:type="dxa" w:w="1644"/>
            <w:shd w:fill="DEEAF1" w:val="clear"/>
          </w:tcPr>
          <w:p>
            <w:r>
              <w:rPr>
                <w:b/>
                <w:color w:val="000000"/>
                <w:sz w:val="19"/>
              </w:rPr>
              <w:t>19.3/100</w:t>
            </w:r>
          </w:p>
        </w:tc>
      </w:tr>
    </w:tbl>
    <w:p/>
    <w:p>
      <w:r>
        <w:rPr>
          <w:i/>
          <w:color w:val="006400"/>
          <w:sz w:val="18"/>
        </w:rPr>
        <w:t>✅ Le marché BRVM présente globalement un profil de risque FAIBLE (score moyen 20.0/100).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BOAN</w:t>
            </w:r>
          </w:p>
        </w:tc>
        <w:tc>
          <w:tcPr>
            <w:tcW w:type="dxa" w:w="2268"/>
            <w:shd w:fill="FFFFFF" w:val="clear"/>
          </w:tcPr>
          <w:p>
            <w:r>
              <w:rPr>
                <w:sz w:val="16"/>
              </w:rPr>
              <w:t>BANK OF AFRICA NIGER</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29.8/100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BOAN (31.3/100 — Moyen) : </w:t>
      </w:r>
      <w:r>
        <w:rPr>
          <w:sz w:val="17"/>
        </w:rPr>
        <w:t>Volatilité=Élevée | Bêta=Agressif | Liquidité=Bonne | Divergence signaux=taux divergence=20% (Mixte ⚠️) | Stabilité=Stable</w:t>
      </w:r>
    </w:p>
    <w:p>
      <w:pPr>
        <w:pStyle w:val="ListBullet"/>
      </w:pPr>
      <w:r>
        <w:rPr>
          <w:b/>
          <w:color w:val="B40000"/>
          <w:sz w:val="18"/>
        </w:rPr>
        <w:t xml:space="preserve">#4 CBIBF (31.3/100 — Moyen) : </w:t>
      </w:r>
      <w:r>
        <w:rPr>
          <w:sz w:val="17"/>
        </w:rPr>
        <w:t>Volatilité=Élevée | Bêta=Agressif | Liquidité=Bonne | Divergence signaux=taux divergence=20% (Mixte ⚠️) | Stabilité=Stable</w:t>
      </w:r>
    </w:p>
    <w:p>
      <w:pPr>
        <w:pStyle w:val="ListBullet"/>
      </w:pPr>
      <w:r>
        <w:rPr>
          <w:b/>
          <w:color w:val="B40000"/>
          <w:sz w:val="18"/>
        </w:rPr>
        <w:t xml:space="preserve">#5 SAFC (29.8/100 — Moyen) : </w:t>
      </w:r>
      <w:r>
        <w:rPr>
          <w:sz w:val="17"/>
        </w:rPr>
        <w:t>Volatilité=Élevée | Bêta=Neutre  | Liquidité=Bonne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BBGC</w:t>
            </w:r>
          </w:p>
        </w:tc>
        <w:tc>
          <w:tcPr>
            <w:tcW w:type="dxa" w:w="2268"/>
            <w:shd w:fill="FFFFFF" w:val="clear"/>
          </w:tcPr>
          <w:p>
            <w:r>
              <w:rPr>
                <w:sz w:val="16"/>
              </w:rPr>
              <w:t>BRIDGE BANK GROUP COTE D'IVO…</w:t>
            </w:r>
          </w:p>
        </w:tc>
        <w:tc>
          <w:tcPr>
            <w:tcW w:type="dxa" w:w="1701"/>
            <w:shd w:fill="FFFFFF" w:val="clear"/>
          </w:tcPr>
          <w:p>
            <w:r>
              <w:rPr>
                <w:sz w:val="16"/>
              </w:rPr>
              <w:t>Services Financier</w:t>
            </w:r>
          </w:p>
        </w:tc>
        <w:tc>
          <w:tcPr>
            <w:tcW w:type="dxa" w:w="1020"/>
            <w:shd w:fill="C6EFCE" w:val="clear"/>
          </w:tcPr>
          <w:p>
            <w:r>
              <w:rPr>
                <w:b/>
                <w:color w:val="007800"/>
                <w:sz w:val="16"/>
              </w:rPr>
              <w:t>10.5/100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29.0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23.0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Convergent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C6EFCE" w:val="clear"/>
          </w:tcPr>
          <w:p>
            <w:r>
              <w:rPr>
                <w:b/>
                <w:color w:val="006400"/>
                <w:sz w:val="15"/>
              </w:rPr>
              <w:t>18.5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C6EFCE" w:val="clear"/>
          </w:tcPr>
          <w:p>
            <w:r>
              <w:rPr>
                <w:b/>
                <w:color w:val="006400"/>
                <w:sz w:val="15"/>
              </w:rPr>
              <w:t>10.5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proxy, &lt;10 obs commu</w:t>
            </w:r>
          </w:p>
        </w:tc>
        <w:tc>
          <w:tcPr>
            <w:tcW w:type="dxa" w:w="1134"/>
            <w:shd w:fill="FFFFFF" w:val="clear"/>
          </w:tcPr>
          <w:p>
            <w:r>
              <w:rPr>
                <w:sz w:val="15"/>
              </w:rPr>
              <w:t>Excellente</w:t>
            </w:r>
          </w:p>
        </w:tc>
        <w:tc>
          <w:tcPr>
            <w:tcW w:type="dxa" w:w="1757"/>
            <w:shd w:fill="FFFFFF" w:val="clear"/>
          </w:tcPr>
          <w:p>
            <w:r>
              <w:rPr>
                <w:sz w:val="15"/>
              </w:rPr>
              <w:t>Convergent ✅ / Données insuffisante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EB9C" w:val="clear"/>
          </w:tcPr>
          <w:p>
            <w:r>
              <w:rPr>
                <w:b/>
                <w:color w:val="963200"/>
                <w:sz w:val="18"/>
              </w:rPr>
              <w:t>🟡 LÉGÈREMENT BAISSIER</w:t>
            </w:r>
          </w:p>
        </w:tc>
      </w:tr>
      <w:tr>
        <w:tc>
          <w:tcPr>
            <w:tcW w:type="dxa" w:w="2835"/>
            <w:shd w:fill="DEEAF1" w:val="clear"/>
          </w:tcPr>
          <w:p>
            <w:r>
              <w:rPr>
                <w:b/>
                <w:sz w:val="18"/>
              </w:rPr>
              <w:t>Variation moyenne J+10</w:t>
            </w:r>
          </w:p>
        </w:tc>
        <w:tc>
          <w:tcPr>
            <w:tcW w:type="dxa" w:w="7370"/>
          </w:tcPr>
          <w:p>
            <w:r>
              <w:rPr>
                <w:b/>
                <w:sz w:val="18"/>
              </w:rPr>
              <w:t>-1.14%  |  Médiane : -2.30%</w:t>
            </w:r>
          </w:p>
        </w:tc>
      </w:tr>
      <w:tr>
        <w:tc>
          <w:tcPr>
            <w:tcW w:type="dxa" w:w="2835"/>
            <w:shd w:fill="DEEAF1" w:val="clear"/>
          </w:tcPr>
          <w:p>
            <w:r>
              <w:rPr>
                <w:b/>
                <w:sz w:val="18"/>
              </w:rPr>
              <w:t>Répartition</w:t>
            </w:r>
          </w:p>
        </w:tc>
        <w:tc>
          <w:tcPr>
            <w:tcW w:type="dxa" w:w="7370"/>
          </w:tcPr>
          <w:p>
            <w:r>
              <w:rPr>
                <w:b/>
                <w:sz w:val="18"/>
              </w:rPr>
              <w:t>📈 12 sociétés en hausse (&gt;+1%)   📉 26 en baisse (&lt;-1%)   ➡️ 9 neutres</w:t>
            </w:r>
          </w:p>
        </w:tc>
      </w:tr>
      <w:tr>
        <w:tc>
          <w:tcPr>
            <w:tcW w:type="dxa" w:w="2835"/>
            <w:shd w:fill="DEEAF1" w:val="clear"/>
          </w:tcPr>
          <w:p>
            <w:r>
              <w:rPr>
                <w:b/>
                <w:sz w:val="18"/>
              </w:rPr>
              <w:t>Confiance globale</w:t>
            </w:r>
          </w:p>
        </w:tc>
        <w:tc>
          <w:tcPr>
            <w:tcW w:type="dxa" w:w="7370"/>
          </w:tcPr>
          <w:p>
            <w:r>
              <w:rPr>
                <w:b/>
                <w:sz w:val="18"/>
              </w:rPr>
              <w:t>Élevée : 0 sociétés (0%)   Moyenne : 8   Faible : 39 (83%)   → Confiance dominante : Faible</w:t>
            </w:r>
          </w:p>
        </w:tc>
      </w:tr>
    </w:tbl>
    <w:p/>
    <w:p>
      <w:r>
        <w:rPr>
          <w:i/>
          <w:color w:val="282828"/>
          <w:sz w:val="18"/>
        </w:rPr>
        <w:t>📝 Analyse : Légère tendance baissière avec signal mixte : 26 sociétés en baisse vs 12 en hausse. Variation moyenne : -1.14%.</w:t>
      </w:r>
    </w:p>
    <w:p>
      <w:r>
        <w:rPr>
          <w:i/>
          <w:color w:val="282828"/>
          <w:sz w:val="18"/>
        </w:rPr>
        <w:t>🎯 Fiabilité : ⚠️ La confiance est globalement FAIBLE (83%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4,300 FCFA</w:t>
            </w:r>
          </w:p>
        </w:tc>
        <w:tc>
          <w:tcPr>
            <w:tcW w:type="dxa" w:w="1417"/>
            <w:shd w:fill="FFFFFF" w:val="clear"/>
          </w:tcPr>
          <w:p>
            <w:r>
              <w:rPr>
                <w:sz w:val="16"/>
              </w:rPr>
              <w:t>4,995 FCFA</w:t>
            </w:r>
          </w:p>
        </w:tc>
        <w:tc>
          <w:tcPr>
            <w:tcW w:type="dxa" w:w="1134"/>
            <w:shd w:fill="C6EFCE" w:val="clear"/>
          </w:tcPr>
          <w:p>
            <w:r>
              <w:rPr>
                <w:b/>
                <w:color w:val="007800"/>
                <w:sz w:val="16"/>
              </w:rPr>
              <w:t>+16.16%</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SDCC — SDCC - Société de Distribution d'Ea...</w:t>
            </w:r>
          </w:p>
        </w:tc>
        <w:tc>
          <w:tcPr>
            <w:tcW w:type="dxa" w:w="1701"/>
            <w:shd w:fill="FFFFFF" w:val="clear"/>
          </w:tcPr>
          <w:p>
            <w:r>
              <w:rPr>
                <w:sz w:val="16"/>
              </w:rPr>
              <w:t>SERVICES PUBLICS</w:t>
            </w:r>
          </w:p>
        </w:tc>
        <w:tc>
          <w:tcPr>
            <w:tcW w:type="dxa" w:w="1417"/>
            <w:shd w:fill="FFFFFF" w:val="clear"/>
          </w:tcPr>
          <w:p>
            <w:r>
              <w:rPr>
                <w:sz w:val="16"/>
              </w:rPr>
              <w:t>11,900 FCFA</w:t>
            </w:r>
          </w:p>
        </w:tc>
        <w:tc>
          <w:tcPr>
            <w:tcW w:type="dxa" w:w="1417"/>
            <w:shd w:fill="FFFFFF" w:val="clear"/>
          </w:tcPr>
          <w:p>
            <w:r>
              <w:rPr>
                <w:sz w:val="16"/>
              </w:rPr>
              <w:t>13,358 FCFA</w:t>
            </w:r>
          </w:p>
        </w:tc>
        <w:tc>
          <w:tcPr>
            <w:tcW w:type="dxa" w:w="1134"/>
            <w:shd w:fill="C6EFCE" w:val="clear"/>
          </w:tcPr>
          <w:p>
            <w:r>
              <w:rPr>
                <w:b/>
                <w:color w:val="007800"/>
                <w:sz w:val="16"/>
              </w:rPr>
              <w:t>+12.25%</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21,400 FCFA</w:t>
            </w:r>
          </w:p>
        </w:tc>
        <w:tc>
          <w:tcPr>
            <w:tcW w:type="dxa" w:w="1417"/>
            <w:shd w:fill="FFFFFF" w:val="clear"/>
          </w:tcPr>
          <w:p>
            <w:r>
              <w:rPr>
                <w:sz w:val="16"/>
              </w:rPr>
              <w:t>23,885 FCFA</w:t>
            </w:r>
          </w:p>
        </w:tc>
        <w:tc>
          <w:tcPr>
            <w:tcW w:type="dxa" w:w="1134"/>
            <w:shd w:fill="C6EFCE" w:val="clear"/>
          </w:tcPr>
          <w:p>
            <w:r>
              <w:rPr>
                <w:b/>
                <w:color w:val="007800"/>
                <w:sz w:val="16"/>
              </w:rPr>
              <w:t>+11.61%</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3,100 FCFA</w:t>
            </w:r>
          </w:p>
        </w:tc>
        <w:tc>
          <w:tcPr>
            <w:tcW w:type="dxa" w:w="1417"/>
            <w:shd w:fill="FFFFFF" w:val="clear"/>
          </w:tcPr>
          <w:p>
            <w:r>
              <w:rPr>
                <w:sz w:val="16"/>
              </w:rPr>
              <w:t>3,441 FCFA</w:t>
            </w:r>
          </w:p>
        </w:tc>
        <w:tc>
          <w:tcPr>
            <w:tcW w:type="dxa" w:w="1134"/>
            <w:shd w:fill="C6EFCE" w:val="clear"/>
          </w:tcPr>
          <w:p>
            <w:r>
              <w:rPr>
                <w:b/>
                <w:color w:val="007800"/>
                <w:sz w:val="16"/>
              </w:rPr>
              <w:t>+10.98%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6,290 FCFA</w:t>
            </w:r>
          </w:p>
        </w:tc>
        <w:tc>
          <w:tcPr>
            <w:tcW w:type="dxa" w:w="1417"/>
            <w:shd w:fill="FFFFFF" w:val="clear"/>
          </w:tcPr>
          <w:p>
            <w:r>
              <w:rPr>
                <w:sz w:val="16"/>
              </w:rPr>
              <w:t>6,860 FCFA</w:t>
            </w:r>
          </w:p>
        </w:tc>
        <w:tc>
          <w:tcPr>
            <w:tcW w:type="dxa" w:w="1134"/>
            <w:shd w:fill="C6EFCE" w:val="clear"/>
          </w:tcPr>
          <w:p>
            <w:r>
              <w:rPr>
                <w:b/>
                <w:color w:val="007800"/>
                <w:sz w:val="16"/>
              </w:rPr>
              <w:t>+9.06%</w:t>
            </w:r>
          </w:p>
        </w:tc>
        <w:tc>
          <w:tcPr>
            <w:tcW w:type="dxa" w:w="1020"/>
            <w:shd w:fill="FFC7CE" w:val="clear"/>
          </w:tcPr>
          <w:p>
            <w:r>
              <w:rPr>
                <w:sz w:val="16"/>
              </w:rPr>
              <w:t>Faible</w:t>
            </w:r>
          </w:p>
        </w:tc>
      </w:tr>
    </w:tbl>
    <w:p/>
    <w:p>
      <w:pPr>
        <w:pStyle w:val="ListBullet"/>
      </w:pPr>
      <w:r>
        <w:rPr>
          <w:b/>
          <w:color w:val="006400"/>
          <w:sz w:val="18"/>
        </w:rPr>
        <w:t xml:space="preserve">#1 SAFC </w:t>
      </w:r>
      <w:r>
        <w:rPr>
          <w:sz w:val="17"/>
        </w:rPr>
        <w:t>(SAFCA CI) — hausse significative (+16.2%) — potentiel de revalorisation notable. Trajectoire : 📈 Hausse continue. Cours actuel : 4,300 FCFA → prédit J+10 : 4,995 FCFA. ⚠️ Confiance limitée — volatilité élevée ou données insuffisantes. Résultat indicatif uniquement.</w:t>
      </w:r>
    </w:p>
    <w:p>
      <w:pPr>
        <w:pStyle w:val="ListBullet"/>
      </w:pPr>
      <w:r>
        <w:rPr>
          <w:b/>
          <w:color w:val="006400"/>
          <w:sz w:val="18"/>
        </w:rPr>
        <w:t xml:space="preserve">#2 SDCC </w:t>
      </w:r>
      <w:r>
        <w:rPr>
          <w:sz w:val="17"/>
        </w:rPr>
        <w:t>(SDCC - Société de Distribution d'Eau de ) — hausse significative (+12.3%) — potentiel de revalorisation notable. Trajectoire : 📈 Hausse continue. Cours actuel : 11,900 FCFA → prédit J+10 : 13,358 FCFA. ⚠️ Confiance limitée — volatilité élevée ou données insuffisantes. Résultat indicatif uniquement.</w:t>
      </w:r>
    </w:p>
    <w:p>
      <w:pPr>
        <w:pStyle w:val="ListBullet"/>
      </w:pPr>
      <w:r>
        <w:rPr>
          <w:b/>
          <w:color w:val="006400"/>
          <w:sz w:val="18"/>
        </w:rPr>
        <w:t xml:space="preserve">#3 STBC </w:t>
      </w:r>
      <w:r>
        <w:rPr>
          <w:sz w:val="17"/>
        </w:rPr>
        <w:t>(STBC - SITAB COTE D'IVOIRE) — hausse significative (+11.6%) — potentiel de revalorisation notable. Trajectoire : 📈 Hausse continue. Cours actuel : 21,400 FCFA → prédit J+10 : 23,885 FCFA. ⚠️ Confiance limitée — volatilité élevée ou données insuffisantes. Résultat indicatif uniquement.</w:t>
      </w:r>
    </w:p>
    <w:p>
      <w:pPr>
        <w:pStyle w:val="ListBullet"/>
      </w:pPr>
      <w:r>
        <w:rPr>
          <w:b/>
          <w:color w:val="006400"/>
          <w:sz w:val="18"/>
        </w:rPr>
        <w:t xml:space="preserve">#4 SCRC </w:t>
      </w:r>
      <w:r>
        <w:rPr>
          <w:sz w:val="17"/>
        </w:rPr>
        <w:t>(SCRC - SUCRIVOIRE) — hausse significative (+11.0%) — potentiel de revalorisation notable. Trajectoire : 📈 Hausse continue. Cours actuel : 3,100 FCFA → prédit J+10 : 3,441 FCFA. ⚠️ Confiance limitée — volatilité élevée ou données insuffisantes. Résultat indicatif uniquement.</w:t>
      </w:r>
    </w:p>
    <w:p>
      <w:pPr>
        <w:pStyle w:val="ListBullet"/>
      </w:pPr>
      <w:r>
        <w:rPr>
          <w:b/>
          <w:color w:val="006400"/>
          <w:sz w:val="18"/>
        </w:rPr>
        <w:t xml:space="preserve">#5 BOAM </w:t>
      </w:r>
      <w:r>
        <w:rPr>
          <w:sz w:val="17"/>
        </w:rPr>
        <w:t>(BANK OF AFRICA MALI) — hausse modérée (+9.1%) — signal raisonnable et crédible. Trajectoire : 📈 Hausse continue. Cours actuel : 6,290 FCFA → prédit J+10 : 6,860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SICC — SICC - SICOR COTE D'IVOIRE</w:t>
            </w:r>
          </w:p>
        </w:tc>
        <w:tc>
          <w:tcPr>
            <w:tcW w:type="dxa" w:w="1701"/>
            <w:shd w:fill="FFFFFF" w:val="clear"/>
          </w:tcPr>
          <w:p>
            <w:r>
              <w:rPr>
                <w:sz w:val="16"/>
              </w:rPr>
              <w:t>CONSOMMATION DE BASE</w:t>
            </w:r>
          </w:p>
        </w:tc>
        <w:tc>
          <w:tcPr>
            <w:tcW w:type="dxa" w:w="1417"/>
            <w:shd w:fill="FFFFFF" w:val="clear"/>
          </w:tcPr>
          <w:p>
            <w:r>
              <w:rPr>
                <w:sz w:val="16"/>
              </w:rPr>
              <w:t>8,400 FCFA</w:t>
            </w:r>
          </w:p>
        </w:tc>
        <w:tc>
          <w:tcPr>
            <w:tcW w:type="dxa" w:w="1417"/>
            <w:shd w:fill="FFFFFF" w:val="clear"/>
          </w:tcPr>
          <w:p>
            <w:r>
              <w:rPr>
                <w:sz w:val="16"/>
              </w:rPr>
              <w:t>7,239 FCFA</w:t>
            </w:r>
          </w:p>
        </w:tc>
        <w:tc>
          <w:tcPr>
            <w:tcW w:type="dxa" w:w="1134"/>
            <w:shd w:fill="FFC7CE" w:val="clear"/>
          </w:tcPr>
          <w:p>
            <w:r>
              <w:rPr>
                <w:b/>
                <w:color w:val="B40000"/>
                <w:sz w:val="16"/>
              </w:rPr>
              <w:t>-13.82%</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ABJC — ABJC - SERVAIR ABIDJAN CI</w:t>
            </w:r>
          </w:p>
        </w:tc>
        <w:tc>
          <w:tcPr>
            <w:tcW w:type="dxa" w:w="1701"/>
            <w:shd w:fill="FFFFFF" w:val="clear"/>
          </w:tcPr>
          <w:p>
            <w:r>
              <w:rPr>
                <w:sz w:val="16"/>
              </w:rPr>
              <w:t>CONSOMMATION DISCRET</w:t>
            </w:r>
          </w:p>
        </w:tc>
        <w:tc>
          <w:tcPr>
            <w:tcW w:type="dxa" w:w="1417"/>
            <w:shd w:fill="FFFFFF" w:val="clear"/>
          </w:tcPr>
          <w:p>
            <w:r>
              <w:rPr>
                <w:sz w:val="16"/>
              </w:rPr>
              <w:t>3,930 FCFA</w:t>
            </w:r>
          </w:p>
        </w:tc>
        <w:tc>
          <w:tcPr>
            <w:tcW w:type="dxa" w:w="1417"/>
            <w:shd w:fill="FFFFFF" w:val="clear"/>
          </w:tcPr>
          <w:p>
            <w:r>
              <w:rPr>
                <w:sz w:val="16"/>
              </w:rPr>
              <w:t>3,518 FCFA</w:t>
            </w:r>
          </w:p>
        </w:tc>
        <w:tc>
          <w:tcPr>
            <w:tcW w:type="dxa" w:w="1134"/>
            <w:shd w:fill="FFC7CE" w:val="clear"/>
          </w:tcPr>
          <w:p>
            <w:r>
              <w:rPr>
                <w:b/>
                <w:color w:val="B40000"/>
                <w:sz w:val="16"/>
              </w:rPr>
              <w:t>-10.49%</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31,500 FCFA</w:t>
            </w:r>
          </w:p>
        </w:tc>
        <w:tc>
          <w:tcPr>
            <w:tcW w:type="dxa" w:w="1417"/>
            <w:shd w:fill="FFFFFF" w:val="clear"/>
          </w:tcPr>
          <w:p>
            <w:r>
              <w:rPr>
                <w:sz w:val="16"/>
              </w:rPr>
              <w:t>28,253 FCFA</w:t>
            </w:r>
          </w:p>
        </w:tc>
        <w:tc>
          <w:tcPr>
            <w:tcW w:type="dxa" w:w="1134"/>
            <w:shd w:fill="FFC7CE" w:val="clear"/>
          </w:tcPr>
          <w:p>
            <w:r>
              <w:rPr>
                <w:b/>
                <w:color w:val="B40000"/>
                <w:sz w:val="16"/>
              </w:rPr>
              <w:t>-10.31%</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SHEC — SHEC - VIVO ENERGY COTE D'IVOIRE</w:t>
            </w:r>
          </w:p>
        </w:tc>
        <w:tc>
          <w:tcPr>
            <w:tcW w:type="dxa" w:w="1701"/>
            <w:shd w:fill="FFFFFF" w:val="clear"/>
          </w:tcPr>
          <w:p>
            <w:r>
              <w:rPr>
                <w:sz w:val="16"/>
              </w:rPr>
              <w:t>ENERGIE</w:t>
            </w:r>
          </w:p>
        </w:tc>
        <w:tc>
          <w:tcPr>
            <w:tcW w:type="dxa" w:w="1417"/>
            <w:shd w:fill="FFFFFF" w:val="clear"/>
          </w:tcPr>
          <w:p>
            <w:r>
              <w:rPr>
                <w:sz w:val="16"/>
              </w:rPr>
              <w:t>2,420 FCFA</w:t>
            </w:r>
          </w:p>
        </w:tc>
        <w:tc>
          <w:tcPr>
            <w:tcW w:type="dxa" w:w="1417"/>
            <w:shd w:fill="FFFFFF" w:val="clear"/>
          </w:tcPr>
          <w:p>
            <w:r>
              <w:rPr>
                <w:sz w:val="16"/>
              </w:rPr>
              <w:t>2,189 FCFA</w:t>
            </w:r>
          </w:p>
        </w:tc>
        <w:tc>
          <w:tcPr>
            <w:tcW w:type="dxa" w:w="1134"/>
            <w:shd w:fill="FFC7CE" w:val="clear"/>
          </w:tcPr>
          <w:p>
            <w:r>
              <w:rPr>
                <w:b/>
                <w:color w:val="B40000"/>
                <w:sz w:val="16"/>
              </w:rPr>
              <w:t>-9.55%</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6,440 FCFA</w:t>
            </w:r>
          </w:p>
        </w:tc>
        <w:tc>
          <w:tcPr>
            <w:tcW w:type="dxa" w:w="1417"/>
            <w:shd w:fill="FFFFFF" w:val="clear"/>
          </w:tcPr>
          <w:p>
            <w:r>
              <w:rPr>
                <w:sz w:val="16"/>
              </w:rPr>
              <w:t>5,927 FCFA</w:t>
            </w:r>
          </w:p>
        </w:tc>
        <w:tc>
          <w:tcPr>
            <w:tcW w:type="dxa" w:w="1134"/>
            <w:shd w:fill="FFC7CE" w:val="clear"/>
          </w:tcPr>
          <w:p>
            <w:r>
              <w:rPr>
                <w:b/>
                <w:color w:val="B40000"/>
                <w:sz w:val="16"/>
              </w:rPr>
              <w:t>-7.97%</w:t>
            </w:r>
          </w:p>
        </w:tc>
        <w:tc>
          <w:tcPr>
            <w:tcW w:type="dxa" w:w="1020"/>
            <w:shd w:fill="FFC7CE" w:val="clear"/>
          </w:tcPr>
          <w:p>
            <w:r>
              <w:rPr>
                <w:sz w:val="16"/>
              </w:rPr>
              <w:t>Faible</w:t>
            </w:r>
          </w:p>
        </w:tc>
      </w:tr>
    </w:tbl>
    <w:p/>
    <w:p>
      <w:pPr>
        <w:pStyle w:val="ListBullet"/>
      </w:pPr>
      <w:r>
        <w:rPr>
          <w:b/>
          <w:color w:val="B40000"/>
          <w:sz w:val="18"/>
        </w:rPr>
        <w:t xml:space="preserve">#1 SICC </w:t>
      </w:r>
      <w:r>
        <w:rPr>
          <w:sz w:val="17"/>
        </w:rPr>
        <w:t>(SICC - SICOR COTE D'IVOIRE) — baisse modérée (-13.8%) — repli technique attendu. Trajectoire : 📉 Baisse continue. Cours actuel : 8,400 FCFA → prédit J+10 : 7,239 FCFA. ⚠️ Confiance limitée — volatilité élevée. Ne pas agir sur ce seul signal.</w:t>
      </w:r>
    </w:p>
    <w:p>
      <w:pPr>
        <w:pStyle w:val="ListBullet"/>
      </w:pPr>
      <w:r>
        <w:rPr>
          <w:b/>
          <w:color w:val="B40000"/>
          <w:sz w:val="18"/>
        </w:rPr>
        <w:t xml:space="preserve">#2 ABJC </w:t>
      </w:r>
      <w:r>
        <w:rPr>
          <w:sz w:val="17"/>
        </w:rPr>
        <w:t>(ABJC - SERVAIR ABIDJAN CI) — baisse modérée (-10.5%) — repli technique attendu. Trajectoire : 📉 Baisse continue. Cours actuel : 3,930 FCFA → prédit J+10 : 3,518 FCFA. ⚠️ Confiance limitée — volatilité élevée. Ne pas agir sur ce seul signal.</w:t>
      </w:r>
    </w:p>
    <w:p>
      <w:pPr>
        <w:pStyle w:val="ListBullet"/>
      </w:pPr>
      <w:r>
        <w:rPr>
          <w:b/>
          <w:color w:val="B40000"/>
          <w:sz w:val="18"/>
        </w:rPr>
        <w:t xml:space="preserve">#3 CBIBF </w:t>
      </w:r>
      <w:r>
        <w:rPr>
          <w:sz w:val="17"/>
        </w:rPr>
        <w:t>(CBIBF - CORIS BANK INTERNATIONAL BURKINA) — baisse modérée (-10.3%) — repli technique attendu. Trajectoire : 📉 Baisse continue. Cours actuel : 31,500 FCFA → prédit J+10 : 28,253 FCFA. ⚠️ Confiance limitée — volatilité élevée. Ne pas agir sur ce seul signal.</w:t>
      </w:r>
    </w:p>
    <w:p>
      <w:pPr>
        <w:pStyle w:val="ListBullet"/>
      </w:pPr>
      <w:r>
        <w:rPr>
          <w:b/>
          <w:color w:val="B40000"/>
          <w:sz w:val="18"/>
        </w:rPr>
        <w:t xml:space="preserve">#4 SHEC </w:t>
      </w:r>
      <w:r>
        <w:rPr>
          <w:sz w:val="17"/>
        </w:rPr>
        <w:t>(SHEC - VIVO ENERGY COTE D'IVOIRE) — baisse modérée (-9.6%) — repli technique attendu. Trajectoire : 📉 Baisse continue. Cours actuel : 2,420 FCFA → prédit J+10 : 2,189 FCFA. ⚠️ Confiance limitée — volatilité élevée. Ne pas agir sur ce seul signal.</w:t>
      </w:r>
    </w:p>
    <w:p>
      <w:pPr>
        <w:pStyle w:val="ListBullet"/>
      </w:pPr>
      <w:r>
        <w:rPr>
          <w:b/>
          <w:color w:val="B40000"/>
          <w:sz w:val="18"/>
        </w:rPr>
        <w:t xml:space="preserve">#5 CIEC </w:t>
      </w:r>
      <w:r>
        <w:rPr>
          <w:sz w:val="17"/>
        </w:rPr>
        <w:t>(CIEC - Compagnie Ivoirienne d'Electricit) — baisse modérée (-8.0%) — repli technique attendu. Trajectoire : 📉 Baisse continue. Cours actuel : 6,440 FCFA → prédit J+10 : 5,927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4,300</w:t>
            </w:r>
          </w:p>
        </w:tc>
        <w:tc>
          <w:tcPr>
            <w:tcW w:type="dxa" w:w="1417"/>
            <w:shd w:fill="FFFFFF" w:val="clear"/>
          </w:tcPr>
          <w:p>
            <w:r>
              <w:rPr>
                <w:sz w:val="16"/>
              </w:rPr>
              <w:t>4,995</w:t>
            </w:r>
          </w:p>
        </w:tc>
        <w:tc>
          <w:tcPr>
            <w:tcW w:type="dxa" w:w="1134"/>
            <w:shd w:fill="C6EFCE" w:val="clear"/>
          </w:tcPr>
          <w:p>
            <w:r>
              <w:rPr>
                <w:b/>
                <w:color w:val="007800"/>
                <w:sz w:val="16"/>
              </w:rPr>
              <w:t>+16.16%</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11,900</w:t>
            </w:r>
          </w:p>
        </w:tc>
        <w:tc>
          <w:tcPr>
            <w:tcW w:type="dxa" w:w="1417"/>
            <w:shd w:fill="FFFFFF" w:val="clear"/>
          </w:tcPr>
          <w:p>
            <w:r>
              <w:rPr>
                <w:sz w:val="16"/>
              </w:rPr>
              <w:t>13,358</w:t>
            </w:r>
          </w:p>
        </w:tc>
        <w:tc>
          <w:tcPr>
            <w:tcW w:type="dxa" w:w="1134"/>
            <w:shd w:fill="C6EFCE" w:val="clear"/>
          </w:tcPr>
          <w:p>
            <w:r>
              <w:rPr>
                <w:b/>
                <w:color w:val="007800"/>
                <w:sz w:val="16"/>
              </w:rPr>
              <w:t>+12.25%</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21,400</w:t>
            </w:r>
          </w:p>
        </w:tc>
        <w:tc>
          <w:tcPr>
            <w:tcW w:type="dxa" w:w="1417"/>
            <w:shd w:fill="FFFFFF" w:val="clear"/>
          </w:tcPr>
          <w:p>
            <w:r>
              <w:rPr>
                <w:sz w:val="16"/>
              </w:rPr>
              <w:t>23,885</w:t>
            </w:r>
          </w:p>
        </w:tc>
        <w:tc>
          <w:tcPr>
            <w:tcW w:type="dxa" w:w="1134"/>
            <w:shd w:fill="C6EFCE" w:val="clear"/>
          </w:tcPr>
          <w:p>
            <w:r>
              <w:rPr>
                <w:b/>
                <w:color w:val="007800"/>
                <w:sz w:val="16"/>
              </w:rPr>
              <w:t>+11.61%</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3,100</w:t>
            </w:r>
          </w:p>
        </w:tc>
        <w:tc>
          <w:tcPr>
            <w:tcW w:type="dxa" w:w="1417"/>
            <w:shd w:fill="FFFFFF" w:val="clear"/>
          </w:tcPr>
          <w:p>
            <w:r>
              <w:rPr>
                <w:sz w:val="16"/>
              </w:rPr>
              <w:t>3,441</w:t>
            </w:r>
          </w:p>
        </w:tc>
        <w:tc>
          <w:tcPr>
            <w:tcW w:type="dxa" w:w="1134"/>
            <w:shd w:fill="C6EFCE" w:val="clear"/>
          </w:tcPr>
          <w:p>
            <w:r>
              <w:rPr>
                <w:b/>
                <w:color w:val="007800"/>
                <w:sz w:val="16"/>
              </w:rPr>
              <w:t>+10.98%</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6,290</w:t>
            </w:r>
          </w:p>
        </w:tc>
        <w:tc>
          <w:tcPr>
            <w:tcW w:type="dxa" w:w="1417"/>
            <w:shd w:fill="FFFFFF" w:val="clear"/>
          </w:tcPr>
          <w:p>
            <w:r>
              <w:rPr>
                <w:sz w:val="16"/>
              </w:rPr>
              <w:t>6,860</w:t>
            </w:r>
          </w:p>
        </w:tc>
        <w:tc>
          <w:tcPr>
            <w:tcW w:type="dxa" w:w="1134"/>
            <w:shd w:fill="C6EFCE" w:val="clear"/>
          </w:tcPr>
          <w:p>
            <w:r>
              <w:rPr>
                <w:b/>
                <w:color w:val="007800"/>
                <w:sz w:val="16"/>
              </w:rPr>
              <w:t>+9.06%</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38,000</w:t>
            </w:r>
          </w:p>
        </w:tc>
        <w:tc>
          <w:tcPr>
            <w:tcW w:type="dxa" w:w="1417"/>
            <w:shd w:fill="FFFFFF" w:val="clear"/>
          </w:tcPr>
          <w:p>
            <w:r>
              <w:rPr>
                <w:sz w:val="16"/>
              </w:rPr>
              <w:t>41,395</w:t>
            </w:r>
          </w:p>
        </w:tc>
        <w:tc>
          <w:tcPr>
            <w:tcW w:type="dxa" w:w="1134"/>
            <w:shd w:fill="C6EFCE" w:val="clear"/>
          </w:tcPr>
          <w:p>
            <w:r>
              <w:rPr>
                <w:b/>
                <w:color w:val="007800"/>
                <w:sz w:val="16"/>
              </w:rPr>
              <w:t>+8.93%</w:t>
            </w:r>
          </w:p>
        </w:tc>
        <w:tc>
          <w:tcPr>
            <w:tcW w:type="dxa" w:w="1134"/>
            <w:shd w:fill="FFEB9C" w:val="clear"/>
          </w:tcPr>
          <w:p>
            <w:r>
              <w:rPr>
                <w:sz w:val="16"/>
              </w:rPr>
              <w:t>Moyenne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8,510</w:t>
            </w:r>
          </w:p>
        </w:tc>
        <w:tc>
          <w:tcPr>
            <w:tcW w:type="dxa" w:w="1417"/>
            <w:shd w:fill="FFFFFF" w:val="clear"/>
          </w:tcPr>
          <w:p>
            <w:r>
              <w:rPr>
                <w:sz w:val="16"/>
              </w:rPr>
              <w:t>9,131</w:t>
            </w:r>
          </w:p>
        </w:tc>
        <w:tc>
          <w:tcPr>
            <w:tcW w:type="dxa" w:w="1134"/>
            <w:shd w:fill="C6EFCE" w:val="clear"/>
          </w:tcPr>
          <w:p>
            <w:r>
              <w:rPr>
                <w:b/>
                <w:color w:val="007800"/>
                <w:sz w:val="16"/>
              </w:rPr>
              <w:t>+7.30%</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3,980</w:t>
            </w:r>
          </w:p>
        </w:tc>
        <w:tc>
          <w:tcPr>
            <w:tcW w:type="dxa" w:w="1417"/>
            <w:shd w:fill="FFFFFF" w:val="clear"/>
          </w:tcPr>
          <w:p>
            <w:r>
              <w:rPr>
                <w:sz w:val="16"/>
              </w:rPr>
              <w:t>4,165</w:t>
            </w:r>
          </w:p>
        </w:tc>
        <w:tc>
          <w:tcPr>
            <w:tcW w:type="dxa" w:w="1134"/>
            <w:shd w:fill="C6EFCE" w:val="clear"/>
          </w:tcPr>
          <w:p>
            <w:r>
              <w:rPr>
                <w:b/>
                <w:color w:val="007800"/>
                <w:sz w:val="16"/>
              </w:rPr>
              <w:t>+4.65%</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1,555</w:t>
            </w:r>
          </w:p>
        </w:tc>
        <w:tc>
          <w:tcPr>
            <w:tcW w:type="dxa" w:w="1417"/>
            <w:shd w:fill="FFFFFF" w:val="clear"/>
          </w:tcPr>
          <w:p>
            <w:r>
              <w:rPr>
                <w:sz w:val="16"/>
              </w:rPr>
              <w:t>1,612</w:t>
            </w:r>
          </w:p>
        </w:tc>
        <w:tc>
          <w:tcPr>
            <w:tcW w:type="dxa" w:w="1134"/>
            <w:shd w:fill="C6EFCE" w:val="clear"/>
          </w:tcPr>
          <w:p>
            <w:r>
              <w:rPr>
                <w:b/>
                <w:color w:val="007800"/>
                <w:sz w:val="16"/>
              </w:rPr>
              <w:t>+3.68%</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2,085</w:t>
            </w:r>
          </w:p>
        </w:tc>
        <w:tc>
          <w:tcPr>
            <w:tcW w:type="dxa" w:w="1417"/>
            <w:shd w:fill="FFFFFF" w:val="clear"/>
          </w:tcPr>
          <w:p>
            <w:r>
              <w:rPr>
                <w:sz w:val="16"/>
              </w:rPr>
              <w:t>2,124</w:t>
            </w:r>
          </w:p>
        </w:tc>
        <w:tc>
          <w:tcPr>
            <w:tcW w:type="dxa" w:w="1134"/>
            <w:shd w:fill="C6EFCE" w:val="clear"/>
          </w:tcPr>
          <w:p>
            <w:r>
              <w:rPr>
                <w:b/>
                <w:color w:val="007800"/>
                <w:sz w:val="16"/>
              </w:rPr>
              <w:t>+1.87%</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16,805</w:t>
            </w:r>
          </w:p>
        </w:tc>
        <w:tc>
          <w:tcPr>
            <w:tcW w:type="dxa" w:w="1417"/>
            <w:shd w:fill="FFFFFF" w:val="clear"/>
          </w:tcPr>
          <w:p>
            <w:r>
              <w:rPr>
                <w:sz w:val="16"/>
              </w:rPr>
              <w:t>17,079</w:t>
            </w:r>
          </w:p>
        </w:tc>
        <w:tc>
          <w:tcPr>
            <w:tcW w:type="dxa" w:w="1134"/>
            <w:shd w:fill="C6EFCE" w:val="clear"/>
          </w:tcPr>
          <w:p>
            <w:r>
              <w:rPr>
                <w:b/>
                <w:color w:val="007800"/>
                <w:sz w:val="16"/>
              </w:rPr>
              <w:t>+1.63%</w:t>
            </w:r>
          </w:p>
        </w:tc>
        <w:tc>
          <w:tcPr>
            <w:tcW w:type="dxa" w:w="1134"/>
            <w:shd w:fill="FFEB9C" w:val="clear"/>
          </w:tcPr>
          <w:p>
            <w:r>
              <w:rPr>
                <w:sz w:val="16"/>
              </w:rPr>
              <w:t>Moyenne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8,950</w:t>
            </w:r>
          </w:p>
        </w:tc>
        <w:tc>
          <w:tcPr>
            <w:tcW w:type="dxa" w:w="1417"/>
            <w:shd w:fill="FFFFFF" w:val="clear"/>
          </w:tcPr>
          <w:p>
            <w:r>
              <w:rPr>
                <w:sz w:val="16"/>
              </w:rPr>
              <w:t>9,042</w:t>
            </w:r>
          </w:p>
        </w:tc>
        <w:tc>
          <w:tcPr>
            <w:tcW w:type="dxa" w:w="1134"/>
            <w:shd w:fill="C6EFCE" w:val="clear"/>
          </w:tcPr>
          <w:p>
            <w:r>
              <w:rPr>
                <w:b/>
                <w:color w:val="007800"/>
                <w:sz w:val="16"/>
              </w:rPr>
              <w:t>+1.03%</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2,900</w:t>
            </w:r>
          </w:p>
        </w:tc>
        <w:tc>
          <w:tcPr>
            <w:tcW w:type="dxa" w:w="1417"/>
            <w:shd w:fill="FFFFFF" w:val="clear"/>
          </w:tcPr>
          <w:p>
            <w:r>
              <w:rPr>
                <w:sz w:val="16"/>
              </w:rPr>
              <w:t>2,922</w:t>
            </w:r>
          </w:p>
        </w:tc>
        <w:tc>
          <w:tcPr>
            <w:tcW w:type="dxa" w:w="1134"/>
            <w:shd w:fill="FFEB9C" w:val="clear"/>
          </w:tcPr>
          <w:p>
            <w:r>
              <w:rPr>
                <w:b/>
                <w:color w:val="646400"/>
                <w:sz w:val="16"/>
              </w:rPr>
              <w:t>+0.76%</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15,300</w:t>
            </w:r>
          </w:p>
        </w:tc>
        <w:tc>
          <w:tcPr>
            <w:tcW w:type="dxa" w:w="1417"/>
            <w:shd w:fill="FFFFFF" w:val="clear"/>
          </w:tcPr>
          <w:p>
            <w:r>
              <w:rPr>
                <w:sz w:val="16"/>
              </w:rPr>
              <w:t>15,403</w:t>
            </w:r>
          </w:p>
        </w:tc>
        <w:tc>
          <w:tcPr>
            <w:tcW w:type="dxa" w:w="1134"/>
            <w:shd w:fill="FFEB9C" w:val="clear"/>
          </w:tcPr>
          <w:p>
            <w:r>
              <w:rPr>
                <w:b/>
                <w:color w:val="646400"/>
                <w:sz w:val="16"/>
              </w:rPr>
              <w:t>+0.67%</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3,795</w:t>
            </w:r>
          </w:p>
        </w:tc>
        <w:tc>
          <w:tcPr>
            <w:tcW w:type="dxa" w:w="1417"/>
            <w:shd w:fill="FFFFFF" w:val="clear"/>
          </w:tcPr>
          <w:p>
            <w:r>
              <w:rPr>
                <w:sz w:val="16"/>
              </w:rPr>
              <w:t>3,816</w:t>
            </w:r>
          </w:p>
        </w:tc>
        <w:tc>
          <w:tcPr>
            <w:tcW w:type="dxa" w:w="1134"/>
            <w:shd w:fill="FFEB9C" w:val="clear"/>
          </w:tcPr>
          <w:p>
            <w:r>
              <w:rPr>
                <w:b/>
                <w:color w:val="646400"/>
                <w:sz w:val="16"/>
              </w:rPr>
              <w:t>+0.57%</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22,500</w:t>
            </w:r>
          </w:p>
        </w:tc>
        <w:tc>
          <w:tcPr>
            <w:tcW w:type="dxa" w:w="1417"/>
            <w:shd w:fill="FFFFFF" w:val="clear"/>
          </w:tcPr>
          <w:p>
            <w:r>
              <w:rPr>
                <w:sz w:val="16"/>
              </w:rPr>
              <w:t>22,486</w:t>
            </w:r>
          </w:p>
        </w:tc>
        <w:tc>
          <w:tcPr>
            <w:tcW w:type="dxa" w:w="1134"/>
            <w:shd w:fill="FFEB9C" w:val="clear"/>
          </w:tcPr>
          <w:p>
            <w:r>
              <w:rPr>
                <w:b/>
                <w:color w:val="646400"/>
                <w:sz w:val="16"/>
              </w:rPr>
              <w:t>-0.06%</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3,050</w:t>
            </w:r>
          </w:p>
        </w:tc>
        <w:tc>
          <w:tcPr>
            <w:tcW w:type="dxa" w:w="1417"/>
            <w:shd w:fill="FFFFFF" w:val="clear"/>
          </w:tcPr>
          <w:p>
            <w:r>
              <w:rPr>
                <w:sz w:val="16"/>
              </w:rPr>
              <w:t>3,044</w:t>
            </w:r>
          </w:p>
        </w:tc>
        <w:tc>
          <w:tcPr>
            <w:tcW w:type="dxa" w:w="1134"/>
            <w:shd w:fill="FFEB9C" w:val="clear"/>
          </w:tcPr>
          <w:p>
            <w:r>
              <w:rPr>
                <w:b/>
                <w:color w:val="646400"/>
                <w:sz w:val="16"/>
              </w:rPr>
              <w:t>-0.21%</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8,100</w:t>
            </w:r>
          </w:p>
        </w:tc>
        <w:tc>
          <w:tcPr>
            <w:tcW w:type="dxa" w:w="1417"/>
            <w:shd w:fill="FFFFFF" w:val="clear"/>
          </w:tcPr>
          <w:p>
            <w:r>
              <w:rPr>
                <w:sz w:val="16"/>
              </w:rPr>
              <w:t>8,077</w:t>
            </w:r>
          </w:p>
        </w:tc>
        <w:tc>
          <w:tcPr>
            <w:tcW w:type="dxa" w:w="1134"/>
            <w:shd w:fill="FFEB9C" w:val="clear"/>
          </w:tcPr>
          <w:p>
            <w:r>
              <w:rPr>
                <w:b/>
                <w:color w:val="646400"/>
                <w:sz w:val="16"/>
              </w:rPr>
              <w:t>-0.29%</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21,295</w:t>
            </w:r>
          </w:p>
        </w:tc>
        <w:tc>
          <w:tcPr>
            <w:tcW w:type="dxa" w:w="1417"/>
            <w:shd w:fill="FFFFFF" w:val="clear"/>
          </w:tcPr>
          <w:p>
            <w:r>
              <w:rPr>
                <w:sz w:val="16"/>
              </w:rPr>
              <w:t>21,232</w:t>
            </w:r>
          </w:p>
        </w:tc>
        <w:tc>
          <w:tcPr>
            <w:tcW w:type="dxa" w:w="1134"/>
            <w:shd w:fill="FFEB9C" w:val="clear"/>
          </w:tcPr>
          <w:p>
            <w:r>
              <w:rPr>
                <w:b/>
                <w:color w:val="646400"/>
                <w:sz w:val="16"/>
              </w:rPr>
              <w:t>-0.30%</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51,000</w:t>
            </w:r>
          </w:p>
        </w:tc>
        <w:tc>
          <w:tcPr>
            <w:tcW w:type="dxa" w:w="1417"/>
            <w:shd w:fill="FFFFFF" w:val="clear"/>
          </w:tcPr>
          <w:p>
            <w:r>
              <w:rPr>
                <w:sz w:val="16"/>
              </w:rPr>
              <w:t>50,583</w:t>
            </w:r>
          </w:p>
        </w:tc>
        <w:tc>
          <w:tcPr>
            <w:tcW w:type="dxa" w:w="1134"/>
            <w:shd w:fill="FFEB9C" w:val="clear"/>
          </w:tcPr>
          <w:p>
            <w:r>
              <w:rPr>
                <w:b/>
                <w:color w:val="646400"/>
                <w:sz w:val="16"/>
              </w:rPr>
              <w:t>-0.82%</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8,100</w:t>
            </w:r>
          </w:p>
        </w:tc>
        <w:tc>
          <w:tcPr>
            <w:tcW w:type="dxa" w:w="1417"/>
            <w:shd w:fill="FFFFFF" w:val="clear"/>
          </w:tcPr>
          <w:p>
            <w:r>
              <w:rPr>
                <w:sz w:val="16"/>
              </w:rPr>
              <w:t>8,019</w:t>
            </w:r>
          </w:p>
        </w:tc>
        <w:tc>
          <w:tcPr>
            <w:tcW w:type="dxa" w:w="1134"/>
            <w:shd w:fill="FFEB9C" w:val="clear"/>
          </w:tcPr>
          <w:p>
            <w:r>
              <w:rPr>
                <w:b/>
                <w:color w:val="646400"/>
                <w:sz w:val="16"/>
              </w:rPr>
              <w:t>-0.99%</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7,900</w:t>
            </w:r>
          </w:p>
        </w:tc>
        <w:tc>
          <w:tcPr>
            <w:tcW w:type="dxa" w:w="1417"/>
            <w:shd w:fill="FFFFFF" w:val="clear"/>
          </w:tcPr>
          <w:p>
            <w:r>
              <w:rPr>
                <w:sz w:val="16"/>
              </w:rPr>
              <w:t>7,765</w:t>
            </w:r>
          </w:p>
        </w:tc>
        <w:tc>
          <w:tcPr>
            <w:tcW w:type="dxa" w:w="1134"/>
            <w:shd w:fill="FFC7CE" w:val="clear"/>
          </w:tcPr>
          <w:p>
            <w:r>
              <w:rPr>
                <w:b/>
                <w:color w:val="B40000"/>
                <w:sz w:val="16"/>
              </w:rPr>
              <w:t>-1.71%</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4,195</w:t>
            </w:r>
          </w:p>
        </w:tc>
        <w:tc>
          <w:tcPr>
            <w:tcW w:type="dxa" w:w="1417"/>
            <w:shd w:fill="FFFFFF" w:val="clear"/>
          </w:tcPr>
          <w:p>
            <w:r>
              <w:rPr>
                <w:sz w:val="16"/>
              </w:rPr>
              <w:t>4,109</w:t>
            </w:r>
          </w:p>
        </w:tc>
        <w:tc>
          <w:tcPr>
            <w:tcW w:type="dxa" w:w="1134"/>
            <w:shd w:fill="FFC7CE" w:val="clear"/>
          </w:tcPr>
          <w:p>
            <w:r>
              <w:rPr>
                <w:b/>
                <w:color w:val="B40000"/>
                <w:sz w:val="16"/>
              </w:rPr>
              <w:t>-2.06%</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15,810</w:t>
            </w:r>
          </w:p>
        </w:tc>
        <w:tc>
          <w:tcPr>
            <w:tcW w:type="dxa" w:w="1417"/>
            <w:shd w:fill="FFFFFF" w:val="clear"/>
          </w:tcPr>
          <w:p>
            <w:r>
              <w:rPr>
                <w:sz w:val="16"/>
              </w:rPr>
              <w:t>15,446</w:t>
            </w:r>
          </w:p>
        </w:tc>
        <w:tc>
          <w:tcPr>
            <w:tcW w:type="dxa" w:w="1134"/>
            <w:shd w:fill="FFC7CE" w:val="clear"/>
          </w:tcPr>
          <w:p>
            <w:r>
              <w:rPr>
                <w:b/>
                <w:color w:val="B40000"/>
                <w:sz w:val="16"/>
              </w:rPr>
              <w:t>-2.30%</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69</w:t>
            </w:r>
          </w:p>
        </w:tc>
        <w:tc>
          <w:tcPr>
            <w:tcW w:type="dxa" w:w="1417"/>
            <w:shd w:fill="FFFFFF" w:val="clear"/>
          </w:tcPr>
          <w:p>
            <w:r>
              <w:rPr>
                <w:sz w:val="16"/>
              </w:rPr>
              <w:t>67</w:t>
            </w:r>
          </w:p>
        </w:tc>
        <w:tc>
          <w:tcPr>
            <w:tcW w:type="dxa" w:w="1134"/>
            <w:shd w:fill="FFC7CE" w:val="clear"/>
          </w:tcPr>
          <w:p>
            <w:r>
              <w:rPr>
                <w:b/>
                <w:color w:val="B40000"/>
                <w:sz w:val="16"/>
              </w:rPr>
              <w:t>-2.59%</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5,130</w:t>
            </w:r>
          </w:p>
        </w:tc>
        <w:tc>
          <w:tcPr>
            <w:tcW w:type="dxa" w:w="1417"/>
            <w:shd w:fill="FFFFFF" w:val="clear"/>
          </w:tcPr>
          <w:p>
            <w:r>
              <w:rPr>
                <w:sz w:val="16"/>
              </w:rPr>
              <w:t>4,993</w:t>
            </w:r>
          </w:p>
        </w:tc>
        <w:tc>
          <w:tcPr>
            <w:tcW w:type="dxa" w:w="1134"/>
            <w:shd w:fill="FFC7CE" w:val="clear"/>
          </w:tcPr>
          <w:p>
            <w:r>
              <w:rPr>
                <w:b/>
                <w:color w:val="B40000"/>
                <w:sz w:val="16"/>
              </w:rPr>
              <w:t>-2.67%</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2,390</w:t>
            </w:r>
          </w:p>
        </w:tc>
        <w:tc>
          <w:tcPr>
            <w:tcW w:type="dxa" w:w="1417"/>
            <w:shd w:fill="FFFFFF" w:val="clear"/>
          </w:tcPr>
          <w:p>
            <w:r>
              <w:rPr>
                <w:sz w:val="16"/>
              </w:rPr>
              <w:t>2,310</w:t>
            </w:r>
          </w:p>
        </w:tc>
        <w:tc>
          <w:tcPr>
            <w:tcW w:type="dxa" w:w="1134"/>
            <w:shd w:fill="FFC7CE" w:val="clear"/>
          </w:tcPr>
          <w:p>
            <w:r>
              <w:rPr>
                <w:b/>
                <w:color w:val="B40000"/>
                <w:sz w:val="16"/>
              </w:rPr>
              <w:t>-3.33%</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2,000</w:t>
            </w:r>
          </w:p>
        </w:tc>
        <w:tc>
          <w:tcPr>
            <w:tcW w:type="dxa" w:w="1417"/>
            <w:shd w:fill="FFFFFF" w:val="clear"/>
          </w:tcPr>
          <w:p>
            <w:r>
              <w:rPr>
                <w:sz w:val="16"/>
              </w:rPr>
              <w:t>1,929</w:t>
            </w:r>
          </w:p>
        </w:tc>
        <w:tc>
          <w:tcPr>
            <w:tcW w:type="dxa" w:w="1134"/>
            <w:shd w:fill="FFC7CE" w:val="clear"/>
          </w:tcPr>
          <w:p>
            <w:r>
              <w:rPr>
                <w:b/>
                <w:color w:val="B40000"/>
                <w:sz w:val="16"/>
              </w:rPr>
              <w:t>-3.55%</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1,495</w:t>
            </w:r>
          </w:p>
        </w:tc>
        <w:tc>
          <w:tcPr>
            <w:tcW w:type="dxa" w:w="1417"/>
            <w:shd w:fill="FFFFFF" w:val="clear"/>
          </w:tcPr>
          <w:p>
            <w:r>
              <w:rPr>
                <w:sz w:val="16"/>
              </w:rPr>
              <w:t>1,440</w:t>
            </w:r>
          </w:p>
        </w:tc>
        <w:tc>
          <w:tcPr>
            <w:tcW w:type="dxa" w:w="1134"/>
            <w:shd w:fill="FFC7CE" w:val="clear"/>
          </w:tcPr>
          <w:p>
            <w:r>
              <w:rPr>
                <w:b/>
                <w:color w:val="B40000"/>
                <w:sz w:val="16"/>
              </w:rPr>
              <w:t>-3.68%</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7,900</w:t>
            </w:r>
          </w:p>
        </w:tc>
        <w:tc>
          <w:tcPr>
            <w:tcW w:type="dxa" w:w="1417"/>
            <w:shd w:fill="FFFFFF" w:val="clear"/>
          </w:tcPr>
          <w:p>
            <w:r>
              <w:rPr>
                <w:sz w:val="16"/>
              </w:rPr>
              <w:t>7,605</w:t>
            </w:r>
          </w:p>
        </w:tc>
        <w:tc>
          <w:tcPr>
            <w:tcW w:type="dxa" w:w="1134"/>
            <w:shd w:fill="FFC7CE" w:val="clear"/>
          </w:tcPr>
          <w:p>
            <w:r>
              <w:rPr>
                <w:b/>
                <w:color w:val="B40000"/>
                <w:sz w:val="16"/>
              </w:rPr>
              <w:t>-3.74%</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38,900</w:t>
            </w:r>
          </w:p>
        </w:tc>
        <w:tc>
          <w:tcPr>
            <w:tcW w:type="dxa" w:w="1417"/>
            <w:shd w:fill="FFFFFF" w:val="clear"/>
          </w:tcPr>
          <w:p>
            <w:r>
              <w:rPr>
                <w:sz w:val="16"/>
              </w:rPr>
              <w:t>37,198</w:t>
            </w:r>
          </w:p>
        </w:tc>
        <w:tc>
          <w:tcPr>
            <w:tcW w:type="dxa" w:w="1134"/>
            <w:shd w:fill="FFC7CE" w:val="clear"/>
          </w:tcPr>
          <w:p>
            <w:r>
              <w:rPr>
                <w:b/>
                <w:color w:val="B40000"/>
                <w:sz w:val="16"/>
              </w:rPr>
              <w:t>-4.38%</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11,595</w:t>
            </w:r>
          </w:p>
        </w:tc>
        <w:tc>
          <w:tcPr>
            <w:tcW w:type="dxa" w:w="1417"/>
            <w:shd w:fill="FFFFFF" w:val="clear"/>
          </w:tcPr>
          <w:p>
            <w:r>
              <w:rPr>
                <w:sz w:val="16"/>
              </w:rPr>
              <w:t>11,087</w:t>
            </w:r>
          </w:p>
        </w:tc>
        <w:tc>
          <w:tcPr>
            <w:tcW w:type="dxa" w:w="1134"/>
            <w:shd w:fill="FFC7CE" w:val="clear"/>
          </w:tcPr>
          <w:p>
            <w:r>
              <w:rPr>
                <w:b/>
                <w:color w:val="B40000"/>
                <w:sz w:val="16"/>
              </w:rPr>
              <w:t>-4.38%</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8,100</w:t>
            </w:r>
          </w:p>
        </w:tc>
        <w:tc>
          <w:tcPr>
            <w:tcW w:type="dxa" w:w="1417"/>
            <w:shd w:fill="FFFFFF" w:val="clear"/>
          </w:tcPr>
          <w:p>
            <w:r>
              <w:rPr>
                <w:sz w:val="16"/>
              </w:rPr>
              <w:t>7,743</w:t>
            </w:r>
          </w:p>
        </w:tc>
        <w:tc>
          <w:tcPr>
            <w:tcW w:type="dxa" w:w="1134"/>
            <w:shd w:fill="FFC7CE" w:val="clear"/>
          </w:tcPr>
          <w:p>
            <w:r>
              <w:rPr>
                <w:b/>
                <w:color w:val="B40000"/>
                <w:sz w:val="16"/>
              </w:rPr>
              <w:t>-4.41%</w:t>
            </w:r>
          </w:p>
        </w:tc>
        <w:tc>
          <w:tcPr>
            <w:tcW w:type="dxa" w:w="1134"/>
            <w:shd w:fill="FFEB9C" w:val="clear"/>
          </w:tcPr>
          <w:p>
            <w:r>
              <w:rPr>
                <w:sz w:val="16"/>
              </w:rPr>
              <w:t>Moyenne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32,000</w:t>
            </w:r>
          </w:p>
        </w:tc>
        <w:tc>
          <w:tcPr>
            <w:tcW w:type="dxa" w:w="1417"/>
            <w:shd w:fill="FFFFFF" w:val="clear"/>
          </w:tcPr>
          <w:p>
            <w:r>
              <w:rPr>
                <w:sz w:val="16"/>
              </w:rPr>
              <w:t>30,588</w:t>
            </w:r>
          </w:p>
        </w:tc>
        <w:tc>
          <w:tcPr>
            <w:tcW w:type="dxa" w:w="1134"/>
            <w:shd w:fill="FFC7CE" w:val="clear"/>
          </w:tcPr>
          <w:p>
            <w:r>
              <w:rPr>
                <w:b/>
                <w:color w:val="B40000"/>
                <w:sz w:val="16"/>
              </w:rPr>
              <w:t>-4.41%</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42,500</w:t>
            </w:r>
          </w:p>
        </w:tc>
        <w:tc>
          <w:tcPr>
            <w:tcW w:type="dxa" w:w="1417"/>
            <w:shd w:fill="FFFFFF" w:val="clear"/>
          </w:tcPr>
          <w:p>
            <w:r>
              <w:rPr>
                <w:sz w:val="16"/>
              </w:rPr>
              <w:t>40,574</w:t>
            </w:r>
          </w:p>
        </w:tc>
        <w:tc>
          <w:tcPr>
            <w:tcW w:type="dxa" w:w="1134"/>
            <w:shd w:fill="FFC7CE" w:val="clear"/>
          </w:tcPr>
          <w:p>
            <w:r>
              <w:rPr>
                <w:b/>
                <w:color w:val="B40000"/>
                <w:sz w:val="16"/>
              </w:rPr>
              <w:t>-4.53%</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2,960</w:t>
            </w:r>
          </w:p>
        </w:tc>
        <w:tc>
          <w:tcPr>
            <w:tcW w:type="dxa" w:w="1417"/>
            <w:shd w:fill="FFFFFF" w:val="clear"/>
          </w:tcPr>
          <w:p>
            <w:r>
              <w:rPr>
                <w:sz w:val="16"/>
              </w:rPr>
              <w:t>2,822</w:t>
            </w:r>
          </w:p>
        </w:tc>
        <w:tc>
          <w:tcPr>
            <w:tcW w:type="dxa" w:w="1134"/>
            <w:shd w:fill="FFC7CE" w:val="clear"/>
          </w:tcPr>
          <w:p>
            <w:r>
              <w:rPr>
                <w:b/>
                <w:color w:val="B40000"/>
                <w:sz w:val="16"/>
              </w:rPr>
              <w:t>-4.67%</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2,010</w:t>
            </w:r>
          </w:p>
        </w:tc>
        <w:tc>
          <w:tcPr>
            <w:tcW w:type="dxa" w:w="1417"/>
            <w:shd w:fill="FFFFFF" w:val="clear"/>
          </w:tcPr>
          <w:p>
            <w:r>
              <w:rPr>
                <w:sz w:val="16"/>
              </w:rPr>
              <w:t>1,901</w:t>
            </w:r>
          </w:p>
        </w:tc>
        <w:tc>
          <w:tcPr>
            <w:tcW w:type="dxa" w:w="1134"/>
            <w:shd w:fill="FFC7CE" w:val="clear"/>
          </w:tcPr>
          <w:p>
            <w:r>
              <w:rPr>
                <w:b/>
                <w:color w:val="B40000"/>
                <w:sz w:val="16"/>
              </w:rPr>
              <w:t>-5.43%</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9,000</w:t>
            </w:r>
          </w:p>
        </w:tc>
        <w:tc>
          <w:tcPr>
            <w:tcW w:type="dxa" w:w="1417"/>
            <w:shd w:fill="FFFFFF" w:val="clear"/>
          </w:tcPr>
          <w:p>
            <w:r>
              <w:rPr>
                <w:sz w:val="16"/>
              </w:rPr>
              <w:t>8,475</w:t>
            </w:r>
          </w:p>
        </w:tc>
        <w:tc>
          <w:tcPr>
            <w:tcW w:type="dxa" w:w="1134"/>
            <w:shd w:fill="FFC7CE" w:val="clear"/>
          </w:tcPr>
          <w:p>
            <w:r>
              <w:rPr>
                <w:b/>
                <w:color w:val="B40000"/>
                <w:sz w:val="16"/>
              </w:rPr>
              <w:t>-5.83%</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2,350</w:t>
            </w:r>
          </w:p>
        </w:tc>
        <w:tc>
          <w:tcPr>
            <w:tcW w:type="dxa" w:w="1417"/>
            <w:shd w:fill="FFFFFF" w:val="clear"/>
          </w:tcPr>
          <w:p>
            <w:r>
              <w:rPr>
                <w:sz w:val="16"/>
              </w:rPr>
              <w:t>2,207</w:t>
            </w:r>
          </w:p>
        </w:tc>
        <w:tc>
          <w:tcPr>
            <w:tcW w:type="dxa" w:w="1134"/>
            <w:shd w:fill="FFC7CE" w:val="clear"/>
          </w:tcPr>
          <w:p>
            <w:r>
              <w:rPr>
                <w:b/>
                <w:color w:val="B40000"/>
                <w:sz w:val="16"/>
              </w:rPr>
              <w:t>-6.07%</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2,000</w:t>
            </w:r>
          </w:p>
        </w:tc>
        <w:tc>
          <w:tcPr>
            <w:tcW w:type="dxa" w:w="1417"/>
            <w:shd w:fill="FFFFFF" w:val="clear"/>
          </w:tcPr>
          <w:p>
            <w:r>
              <w:rPr>
                <w:sz w:val="16"/>
              </w:rPr>
              <w:t>1,876</w:t>
            </w:r>
          </w:p>
        </w:tc>
        <w:tc>
          <w:tcPr>
            <w:tcW w:type="dxa" w:w="1134"/>
            <w:shd w:fill="FFC7CE" w:val="clear"/>
          </w:tcPr>
          <w:p>
            <w:r>
              <w:rPr>
                <w:b/>
                <w:color w:val="B40000"/>
                <w:sz w:val="16"/>
              </w:rPr>
              <w:t>-6.22%</w:t>
            </w:r>
          </w:p>
        </w:tc>
        <w:tc>
          <w:tcPr>
            <w:tcW w:type="dxa" w:w="1134"/>
            <w:shd w:fill="FFEB9C" w:val="clear"/>
          </w:tcPr>
          <w:p>
            <w:r>
              <w:rPr>
                <w:sz w:val="16"/>
              </w:rPr>
              <w:t>Moyenne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3,400</w:t>
            </w:r>
          </w:p>
        </w:tc>
        <w:tc>
          <w:tcPr>
            <w:tcW w:type="dxa" w:w="1417"/>
            <w:shd w:fill="FFFFFF" w:val="clear"/>
          </w:tcPr>
          <w:p>
            <w:r>
              <w:rPr>
                <w:sz w:val="16"/>
              </w:rPr>
              <w:t>3,166</w:t>
            </w:r>
          </w:p>
        </w:tc>
        <w:tc>
          <w:tcPr>
            <w:tcW w:type="dxa" w:w="1134"/>
            <w:shd w:fill="FFC7CE" w:val="clear"/>
          </w:tcPr>
          <w:p>
            <w:r>
              <w:rPr>
                <w:b/>
                <w:color w:val="B40000"/>
                <w:sz w:val="16"/>
              </w:rPr>
              <w:t>-6.89%</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3,050</w:t>
            </w:r>
          </w:p>
        </w:tc>
        <w:tc>
          <w:tcPr>
            <w:tcW w:type="dxa" w:w="1417"/>
            <w:shd w:fill="FFFFFF" w:val="clear"/>
          </w:tcPr>
          <w:p>
            <w:r>
              <w:rPr>
                <w:sz w:val="16"/>
              </w:rPr>
              <w:t>2,835</w:t>
            </w:r>
          </w:p>
        </w:tc>
        <w:tc>
          <w:tcPr>
            <w:tcW w:type="dxa" w:w="1134"/>
            <w:shd w:fill="FFC7CE" w:val="clear"/>
          </w:tcPr>
          <w:p>
            <w:r>
              <w:rPr>
                <w:b/>
                <w:color w:val="B40000"/>
                <w:sz w:val="16"/>
              </w:rPr>
              <w:t>-7.05%</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6,440</w:t>
            </w:r>
          </w:p>
        </w:tc>
        <w:tc>
          <w:tcPr>
            <w:tcW w:type="dxa" w:w="1417"/>
            <w:shd w:fill="FFFFFF" w:val="clear"/>
          </w:tcPr>
          <w:p>
            <w:r>
              <w:rPr>
                <w:sz w:val="16"/>
              </w:rPr>
              <w:t>5,927</w:t>
            </w:r>
          </w:p>
        </w:tc>
        <w:tc>
          <w:tcPr>
            <w:tcW w:type="dxa" w:w="1134"/>
            <w:shd w:fill="FFC7CE" w:val="clear"/>
          </w:tcPr>
          <w:p>
            <w:r>
              <w:rPr>
                <w:b/>
                <w:color w:val="B40000"/>
                <w:sz w:val="16"/>
              </w:rPr>
              <w:t>-7.97%</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2,420</w:t>
            </w:r>
          </w:p>
        </w:tc>
        <w:tc>
          <w:tcPr>
            <w:tcW w:type="dxa" w:w="1417"/>
            <w:shd w:fill="FFFFFF" w:val="clear"/>
          </w:tcPr>
          <w:p>
            <w:r>
              <w:rPr>
                <w:sz w:val="16"/>
              </w:rPr>
              <w:t>2,189</w:t>
            </w:r>
          </w:p>
        </w:tc>
        <w:tc>
          <w:tcPr>
            <w:tcW w:type="dxa" w:w="1134"/>
            <w:shd w:fill="FFC7CE" w:val="clear"/>
          </w:tcPr>
          <w:p>
            <w:r>
              <w:rPr>
                <w:b/>
                <w:color w:val="B40000"/>
                <w:sz w:val="16"/>
              </w:rPr>
              <w:t>-9.55%</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31,500</w:t>
            </w:r>
          </w:p>
        </w:tc>
        <w:tc>
          <w:tcPr>
            <w:tcW w:type="dxa" w:w="1417"/>
            <w:shd w:fill="FFFFFF" w:val="clear"/>
          </w:tcPr>
          <w:p>
            <w:r>
              <w:rPr>
                <w:sz w:val="16"/>
              </w:rPr>
              <w:t>28,253</w:t>
            </w:r>
          </w:p>
        </w:tc>
        <w:tc>
          <w:tcPr>
            <w:tcW w:type="dxa" w:w="1134"/>
            <w:shd w:fill="FFC7CE" w:val="clear"/>
          </w:tcPr>
          <w:p>
            <w:r>
              <w:rPr>
                <w:b/>
                <w:color w:val="B40000"/>
                <w:sz w:val="16"/>
              </w:rPr>
              <w:t>-10.31%</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3,930</w:t>
            </w:r>
          </w:p>
        </w:tc>
        <w:tc>
          <w:tcPr>
            <w:tcW w:type="dxa" w:w="1417"/>
            <w:shd w:fill="FFFFFF" w:val="clear"/>
          </w:tcPr>
          <w:p>
            <w:r>
              <w:rPr>
                <w:sz w:val="16"/>
              </w:rPr>
              <w:t>3,518</w:t>
            </w:r>
          </w:p>
        </w:tc>
        <w:tc>
          <w:tcPr>
            <w:tcW w:type="dxa" w:w="1134"/>
            <w:shd w:fill="FFC7CE" w:val="clear"/>
          </w:tcPr>
          <w:p>
            <w:r>
              <w:rPr>
                <w:b/>
                <w:color w:val="B40000"/>
                <w:sz w:val="16"/>
              </w:rPr>
              <w:t>-10.49%</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8,400</w:t>
            </w:r>
          </w:p>
        </w:tc>
        <w:tc>
          <w:tcPr>
            <w:tcW w:type="dxa" w:w="1417"/>
            <w:shd w:fill="FFFFFF" w:val="clear"/>
          </w:tcPr>
          <w:p>
            <w:r>
              <w:rPr>
                <w:sz w:val="16"/>
              </w:rPr>
              <w:t>7,239</w:t>
            </w:r>
          </w:p>
        </w:tc>
        <w:tc>
          <w:tcPr>
            <w:tcW w:type="dxa" w:w="1134"/>
            <w:shd w:fill="FFC7CE" w:val="clear"/>
          </w:tcPr>
          <w:p>
            <w:r>
              <w:rPr>
                <w:b/>
                <w:color w:val="B40000"/>
                <w:sz w:val="16"/>
              </w:rPr>
              <w:t>-13.82%</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42.88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3,555 titres</w:t>
            </w:r>
          </w:p>
        </w:tc>
        <w:tc>
          <w:tcPr>
            <w:tcW w:type="dxa" w:w="2268"/>
            <w:shd w:fill="FFF2CC" w:val="clear"/>
          </w:tcPr>
          <w:p>
            <w:r>
              <w:rPr>
                <w:b/>
                <w:color w:val="503200"/>
                <w:sz w:val="16"/>
              </w:rPr>
              <w:t xml:space="preserve">Cours actuel : </w:t>
            </w:r>
            <w:r>
              <w:rPr>
                <w:color w:val="000000"/>
                <w:sz w:val="17"/>
              </w:rPr>
              <w:t>3,930 FCFA</w:t>
            </w:r>
          </w:p>
          <w:p>
            <w:r>
              <w:rPr>
                <w:b/>
                <w:color w:val="503200"/>
                <w:sz w:val="16"/>
              </w:rPr>
              <w:t xml:space="preserve">Var. 100 jours : </w:t>
            </w:r>
            <w:r>
              <w:rPr>
                <w:b/>
                <w:color w:val="007800"/>
                <w:sz w:val="17"/>
              </w:rPr>
              <w:t>+32.10%</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11.30% (Moyenne) — μ=3,312 FCFA, σ=374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β=0.1916 (Défensif) — Cov=0.000013, Var(idx)=0.000069, ρ=0.059,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3,555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3,699</w:t>
            </w:r>
          </w:p>
        </w:tc>
        <w:tc>
          <w:tcPr>
            <w:tcW w:type="dxa" w:w="1440"/>
            <w:shd w:fill="FFDCE0" w:val="clear"/>
          </w:tcPr>
          <w:p>
            <w:r>
              <w:rPr>
                <w:b/>
                <w:sz w:val="17"/>
              </w:rPr>
              <w:t>3,838</w:t>
            </w:r>
          </w:p>
        </w:tc>
        <w:tc>
          <w:tcPr>
            <w:tcW w:type="dxa" w:w="1440"/>
            <w:shd w:fill="FFDCE0" w:val="clear"/>
          </w:tcPr>
          <w:p>
            <w:r>
              <w:rPr>
                <w:sz w:val="17"/>
              </w:rPr>
              <w:t>3,978</w:t>
            </w:r>
          </w:p>
        </w:tc>
        <w:tc>
          <w:tcPr>
            <w:tcW w:type="dxa" w:w="1440"/>
            <w:shd w:fill="FFDCE0" w:val="clear"/>
          </w:tcPr>
          <w:p>
            <w:r>
              <w:rPr>
                <w:b/>
                <w:color w:val="C00000"/>
                <w:sz w:val="17"/>
              </w:rPr>
              <w:t>-2.3%</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3,610</w:t>
            </w:r>
          </w:p>
        </w:tc>
        <w:tc>
          <w:tcPr>
            <w:tcW w:type="dxa" w:w="1440"/>
            <w:shd w:fill="FFDCE0" w:val="clear"/>
          </w:tcPr>
          <w:p>
            <w:r>
              <w:rPr>
                <w:b/>
                <w:sz w:val="17"/>
              </w:rPr>
              <w:t>3,805</w:t>
            </w:r>
          </w:p>
        </w:tc>
        <w:tc>
          <w:tcPr>
            <w:tcW w:type="dxa" w:w="1440"/>
            <w:shd w:fill="FFDCE0" w:val="clear"/>
          </w:tcPr>
          <w:p>
            <w:r>
              <w:rPr>
                <w:sz w:val="17"/>
              </w:rPr>
              <w:t>4,000</w:t>
            </w:r>
          </w:p>
        </w:tc>
        <w:tc>
          <w:tcPr>
            <w:tcW w:type="dxa" w:w="1440"/>
            <w:shd w:fill="FFDCE0" w:val="clear"/>
          </w:tcPr>
          <w:p>
            <w:r>
              <w:rPr>
                <w:b/>
                <w:color w:val="C00000"/>
                <w:sz w:val="17"/>
              </w:rPr>
              <w:t>-3.2%</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3,519</w:t>
            </w:r>
          </w:p>
        </w:tc>
        <w:tc>
          <w:tcPr>
            <w:tcW w:type="dxa" w:w="1440"/>
            <w:shd w:fill="FFDCE0" w:val="clear"/>
          </w:tcPr>
          <w:p>
            <w:r>
              <w:rPr>
                <w:b/>
                <w:sz w:val="17"/>
              </w:rPr>
              <w:t>3,755</w:t>
            </w:r>
          </w:p>
        </w:tc>
        <w:tc>
          <w:tcPr>
            <w:tcW w:type="dxa" w:w="1440"/>
            <w:shd w:fill="FFDCE0" w:val="clear"/>
          </w:tcPr>
          <w:p>
            <w:r>
              <w:rPr>
                <w:sz w:val="17"/>
              </w:rPr>
              <w:t>3,991</w:t>
            </w:r>
          </w:p>
        </w:tc>
        <w:tc>
          <w:tcPr>
            <w:tcW w:type="dxa" w:w="1440"/>
            <w:shd w:fill="FFDCE0" w:val="clear"/>
          </w:tcPr>
          <w:p>
            <w:r>
              <w:rPr>
                <w:b/>
                <w:color w:val="C00000"/>
                <w:sz w:val="17"/>
              </w:rPr>
              <w:t>-4.5%</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3,442</w:t>
            </w:r>
          </w:p>
        </w:tc>
        <w:tc>
          <w:tcPr>
            <w:tcW w:type="dxa" w:w="1440"/>
            <w:shd w:fill="FFDCE0" w:val="clear"/>
          </w:tcPr>
          <w:p>
            <w:r>
              <w:rPr>
                <w:b/>
                <w:sz w:val="17"/>
              </w:rPr>
              <w:t>3,711</w:t>
            </w:r>
          </w:p>
        </w:tc>
        <w:tc>
          <w:tcPr>
            <w:tcW w:type="dxa" w:w="1440"/>
            <w:shd w:fill="FFDCE0" w:val="clear"/>
          </w:tcPr>
          <w:p>
            <w:r>
              <w:rPr>
                <w:sz w:val="17"/>
              </w:rPr>
              <w:t>3,980</w:t>
            </w:r>
          </w:p>
        </w:tc>
        <w:tc>
          <w:tcPr>
            <w:tcW w:type="dxa" w:w="1440"/>
            <w:shd w:fill="FFDCE0" w:val="clear"/>
          </w:tcPr>
          <w:p>
            <w:r>
              <w:rPr>
                <w:b/>
                <w:color w:val="C00000"/>
                <w:sz w:val="17"/>
              </w:rPr>
              <w:t>-5.6%</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3,375</w:t>
            </w:r>
          </w:p>
        </w:tc>
        <w:tc>
          <w:tcPr>
            <w:tcW w:type="dxa" w:w="1440"/>
            <w:shd w:fill="FFDCE0" w:val="clear"/>
          </w:tcPr>
          <w:p>
            <w:r>
              <w:rPr>
                <w:b/>
                <w:sz w:val="17"/>
              </w:rPr>
              <w:t>3,673</w:t>
            </w:r>
          </w:p>
        </w:tc>
        <w:tc>
          <w:tcPr>
            <w:tcW w:type="dxa" w:w="1440"/>
            <w:shd w:fill="FFDCE0" w:val="clear"/>
          </w:tcPr>
          <w:p>
            <w:r>
              <w:rPr>
                <w:sz w:val="17"/>
              </w:rPr>
              <w:t>3,970</w:t>
            </w:r>
          </w:p>
        </w:tc>
        <w:tc>
          <w:tcPr>
            <w:tcW w:type="dxa" w:w="1440"/>
            <w:shd w:fill="FFDCE0" w:val="clear"/>
          </w:tcPr>
          <w:p>
            <w:r>
              <w:rPr>
                <w:b/>
                <w:color w:val="C00000"/>
                <w:sz w:val="17"/>
              </w:rPr>
              <w:t>-6.5%</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3,315</w:t>
            </w:r>
          </w:p>
        </w:tc>
        <w:tc>
          <w:tcPr>
            <w:tcW w:type="dxa" w:w="1440"/>
            <w:shd w:fill="FFDCE0" w:val="clear"/>
          </w:tcPr>
          <w:p>
            <w:r>
              <w:rPr>
                <w:b/>
                <w:sz w:val="17"/>
              </w:rPr>
              <w:t>3,638</w:t>
            </w:r>
          </w:p>
        </w:tc>
        <w:tc>
          <w:tcPr>
            <w:tcW w:type="dxa" w:w="1440"/>
            <w:shd w:fill="FFDCE0" w:val="clear"/>
          </w:tcPr>
          <w:p>
            <w:r>
              <w:rPr>
                <w:sz w:val="17"/>
              </w:rPr>
              <w:t>3,961</w:t>
            </w:r>
          </w:p>
        </w:tc>
        <w:tc>
          <w:tcPr>
            <w:tcW w:type="dxa" w:w="1440"/>
            <w:shd w:fill="FFDCE0" w:val="clear"/>
          </w:tcPr>
          <w:p>
            <w:r>
              <w:rPr>
                <w:b/>
                <w:color w:val="C00000"/>
                <w:sz w:val="17"/>
              </w:rPr>
              <w:t>-7.4%</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3,259</w:t>
            </w:r>
          </w:p>
        </w:tc>
        <w:tc>
          <w:tcPr>
            <w:tcW w:type="dxa" w:w="1440"/>
            <w:shd w:fill="FFDCE0" w:val="clear"/>
          </w:tcPr>
          <w:p>
            <w:r>
              <w:rPr>
                <w:b/>
                <w:sz w:val="17"/>
              </w:rPr>
              <w:t>3,605</w:t>
            </w:r>
          </w:p>
        </w:tc>
        <w:tc>
          <w:tcPr>
            <w:tcW w:type="dxa" w:w="1440"/>
            <w:shd w:fill="FFDCE0" w:val="clear"/>
          </w:tcPr>
          <w:p>
            <w:r>
              <w:rPr>
                <w:sz w:val="17"/>
              </w:rPr>
              <w:t>3,951</w:t>
            </w:r>
          </w:p>
        </w:tc>
        <w:tc>
          <w:tcPr>
            <w:tcW w:type="dxa" w:w="1440"/>
            <w:shd w:fill="FFDCE0" w:val="clear"/>
          </w:tcPr>
          <w:p>
            <w:r>
              <w:rPr>
                <w:b/>
                <w:color w:val="C00000"/>
                <w:sz w:val="17"/>
              </w:rPr>
              <w:t>-8.3%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3,208</w:t>
            </w:r>
          </w:p>
        </w:tc>
        <w:tc>
          <w:tcPr>
            <w:tcW w:type="dxa" w:w="1440"/>
            <w:shd w:fill="FFDCE0" w:val="clear"/>
          </w:tcPr>
          <w:p>
            <w:r>
              <w:rPr>
                <w:b/>
                <w:sz w:val="17"/>
              </w:rPr>
              <w:t>3,574</w:t>
            </w:r>
          </w:p>
        </w:tc>
        <w:tc>
          <w:tcPr>
            <w:tcW w:type="dxa" w:w="1440"/>
            <w:shd w:fill="FFDCE0" w:val="clear"/>
          </w:tcPr>
          <w:p>
            <w:r>
              <w:rPr>
                <w:sz w:val="17"/>
              </w:rPr>
              <w:t>3,941</w:t>
            </w:r>
          </w:p>
        </w:tc>
        <w:tc>
          <w:tcPr>
            <w:tcW w:type="dxa" w:w="1440"/>
            <w:shd w:fill="FFDCE0" w:val="clear"/>
          </w:tcPr>
          <w:p>
            <w:r>
              <w:rPr>
                <w:b/>
                <w:color w:val="C00000"/>
                <w:sz w:val="17"/>
              </w:rPr>
              <w:t>-9.1%</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3,160</w:t>
            </w:r>
          </w:p>
        </w:tc>
        <w:tc>
          <w:tcPr>
            <w:tcW w:type="dxa" w:w="1440"/>
            <w:shd w:fill="FFDCE0" w:val="clear"/>
          </w:tcPr>
          <w:p>
            <w:r>
              <w:rPr>
                <w:b/>
                <w:sz w:val="17"/>
              </w:rPr>
              <w:t>3,545</w:t>
            </w:r>
          </w:p>
        </w:tc>
        <w:tc>
          <w:tcPr>
            <w:tcW w:type="dxa" w:w="1440"/>
            <w:shd w:fill="FFDCE0" w:val="clear"/>
          </w:tcPr>
          <w:p>
            <w:r>
              <w:rPr>
                <w:sz w:val="17"/>
              </w:rPr>
              <w:t>3,931</w:t>
            </w:r>
          </w:p>
        </w:tc>
        <w:tc>
          <w:tcPr>
            <w:tcW w:type="dxa" w:w="1440"/>
            <w:shd w:fill="FFDCE0" w:val="clear"/>
          </w:tcPr>
          <w:p>
            <w:r>
              <w:rPr>
                <w:b/>
                <w:color w:val="C00000"/>
                <w:sz w:val="17"/>
              </w:rPr>
              <w:t>-9.8%</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3,115</w:t>
            </w:r>
          </w:p>
        </w:tc>
        <w:tc>
          <w:tcPr>
            <w:tcW w:type="dxa" w:w="1440"/>
            <w:shd w:fill="FFDCE0" w:val="clear"/>
          </w:tcPr>
          <w:p>
            <w:r>
              <w:rPr>
                <w:b/>
                <w:sz w:val="17"/>
              </w:rPr>
              <w:t>3,518</w:t>
            </w:r>
          </w:p>
        </w:tc>
        <w:tc>
          <w:tcPr>
            <w:tcW w:type="dxa" w:w="1440"/>
            <w:shd w:fill="FFDCE0" w:val="clear"/>
          </w:tcPr>
          <w:p>
            <w:r>
              <w:rPr>
                <w:sz w:val="17"/>
              </w:rPr>
              <w:t>3,921</w:t>
            </w:r>
          </w:p>
        </w:tc>
        <w:tc>
          <w:tcPr>
            <w:tcW w:type="dxa" w:w="1440"/>
            <w:shd w:fill="FFDCE0" w:val="clear"/>
          </w:tcPr>
          <w:p>
            <w:r>
              <w:rPr>
                <w:b/>
                <w:color w:val="C00000"/>
                <w:sz w:val="17"/>
              </w:rPr>
              <w:t>-10.5%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42,88 Mds FCFA, ABJC se positionne comme une valeur de taille moyenne sur la cote BRVM, représentative d'une société de niche dans les services aéroportuaires. Le BPA de 124 FCFA/action indique que chaque titre génère un bénéfice unitaire modeste au regard du cours actuel de 3 930 FCFA. Le PER de 31,8x traduit une valorisation nettement supérieure à la moyenne du marché BRVM (généralement comprise entre 8 et 12x), ce qui suppose soit une anticipation de forte croissance, soit une surévaluation manifeste — d'autant que le P/B de 8,31x (très au-dessus du seuil de 4x) montre que le marché paie plus de huit fois la valeur comptable des fonds propres. Enfin, l'EV/EBITDA de 16,4x, supérieur au seuil exigeant de 15x, confirme que la valeur d'entreprise intègre une prime opérationnelle significative, renforçant l'hypothèse d'une valorisation tendue qui devra être validée par la croissance future des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ABJC affiche une performance remarquable de +32,10%, avec une dernière séance (J-1) en hausse de +3,42%, confirmant un momentum haussier de court terme. Le titre a évolué dans un range large de 2 800 FCFA (plus bas) à 4 095 FCFA (plus haut), soit une amplitude de près de 46%, ce qui témoigne d'une tendance générale nettement haussière portée par un intérêt acheteur soutenu. Les statistiques descriptives révèlent une moyenne de 3 312 FCFA supérieure à la médiane de 3 182 FCFA, avec un mode à 3 150 FCFA : cet écart entre moyenne et médiane, combiné à un skewness positif de 0,734, indique une asymétrie à droite — le cours a passé davantage de journées sous sa moyenne, mais quelques séances de forte hausse ont tiré la moyenne vers le haut. L'écart-type de 376 FCFA (CV = 11,4%) traduit une dispersion modérée autour de la moyenne, tandis que le kurtosis de -0,726 (mésokurtique) suggère une distribution proche de la normale, sans risque excessif de pics extrêmes. Enfin, la volatilité annualisée de 42,6% classe ABJC parmi les titres à volatilité élevée (&gt;30%), ce qui implique un risque de fluctuation important et justifie une approche prudente malgré la tendance haussière.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3 950,5 FCFA et la MM50 à 3 491,0 FCFA, toutes deux inférieures au cours actuel de 3 930 FCFA pour la MM20 (léger écart) mais nettement en dessous pour la MM50. Cette configuration — cours au-dessus des deux moyennes, avec MM20 &gt; MM50 — confirme une structure haussière de moyen terme, justifiant la décision technique d'**Achat**.</w:t>
      </w:r>
    </w:p>
    <w:p>
      <w:pPr>
        <w:spacing w:after="120" w:line="276" w:lineRule="auto"/>
      </w:pPr>
      <w:r>
        <w:t>**Bandes de Bollinger** : Le cours (3 930 FCFA) se situe à l'intérieur des bandes, entre la borne inférieure (3 773,7 FCFA) et la borne supérieure (4 127,3 FCFA), mais plus proche de la borne haute. Cette position médiane-haute, sans franchissement, traduit une volatilité contenue et une absence de signal directionnel fort, d'où la décision **Neutre**.</w:t>
      </w:r>
    </w:p>
    <w:p>
      <w:pPr>
        <w:spacing w:after="120" w:line="276" w:lineRule="auto"/>
      </w:pPr>
      <w:r>
        <w:t>**MACD** : La valeur du MACD (111,347) est inférieure à son signal (153,996), générant un croisement baissier qui indique un essoufflement du momentum haussier malgré la tendance de fond positive. Cette divergence justifie la décision de **Vente** à court terme, signalant une possible consolidation.</w:t>
      </w:r>
    </w:p>
    <w:p>
      <w:pPr>
        <w:spacing w:after="120" w:line="276" w:lineRule="auto"/>
      </w:pPr>
      <w:r>
        <w:t>**RSI** : À 46,617, le RSI se situe en zone neutre (entre 30 et 70), sans pression de surachat ni de survente. Cette position médiane reflète un équilibre entre acheteurs et vendeurs, justifiant la décision **Neutre** et l'absence de signal directionnel clair.</w:t>
      </w:r>
    </w:p>
    <w:p>
      <w:pPr>
        <w:spacing w:after="120" w:line="276" w:lineRule="auto"/>
      </w:pPr>
      <w:r>
        <w:t>**Stochastique** : Le %K (44,068) est supérieur au %D (19,817), avec un croisement récent à la hausse depuis la zone de survente, ce qui constitue un signal potentiellement positif. Toutefois, la décision reste **Neutre** car les deux courbes demeurent en territoire bas, sans confirmation franche d'un retournement durable.</w:t>
      </w:r>
    </w:p>
    <w:p>
      <w:pPr>
        <w:spacing w:after="120" w:line="276" w:lineRule="auto"/>
      </w:pPr>
      <w:r>
        <w:t>**Conclusion technique** : Les indicateurs présentent une divergence notable : les moyennes mobiles confirment une tendance haussière de fond, mais le MACD signale un essoufflement du momentum et le RSI reste neutre. Les Bandes de Bollinger et le Stochastique n'apportent pas de signal directionnel fort. Cette configuration mitigée suggère une phase de consolidation possible après la forte hausse de +32,10%, avec un biais haussier de moyen terme mais une prudence de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structurés d'ABJC (exercice clos le 31 décembre 2025) affichent un chiffre d'affaires de 13,298 Mds FCFA, en croissance de 6,67% par rapport à 2024, ainsi qu'un résultat net de 1,351 Mds FCFA, soit une marge nette de 10,16%. La rentabilité des fonds propres (ROE) atteint un niveau excellent de 26,18%, tandis que le ROA s'établit à 14,64%, confirmant une utilisation efficace des actifs. La structure financière est très saine : l'autonomie financière est de 55,92% (capitaux propres de 5,159 Mds FCFA pour un total bilan de 9,227 Mds FCFA), l'endettement financier est quasi nul (dettes financières de 65,89 M FCFA seulement), et la trésorerie nette de 4,035 Mds FCFA offre une marge de manœuvre confortable. En tant qu'entreprise de services, les délais d'exploitation méritent attention : le délai clients de 70,10 jours constitue un risque de trésorerie modéré, mais il est compensé par un délai fournisseurs de 92,11 jours (favorable) et un BFR maîtrisé de 257,45 M FCFA. Le rapport annuel 2025 (publié le 31/12/2025, analysé le 06/09/2026) confirme ces chiffres en soulignant une baisse de 12,1% du résultat net malgré la hausse du CA, principalement due à une charge d'impôt en forte augmentation (+46,7% à 848 M FCFA). Les rapports trimestriels récents révèlent toutefois une dégradation préoccupante : le T1 2026 (rapport du 31/03/2026) affiche une croissance modeste du CA de +1,9% à 3,237 Mds FCFA, mais une chute du résultat net de -35,6% à 222,6 M FCFA, pénalisée par les ajustements de redevances aéroportuaires et les tensions géopolitiques au Moyen-Orient. Le T3 2025 (rapport du 30/09/2025) montrait déjà un ralentissement avec un CA trimestriel de 10,218 Mds FCFA (+10,3%) et un résultat net de 1,325 Mds FCFA (+17,1%), mais le litige avec la BCEAO sur les transferts de devises (évoqué au T1 2025) reste un risque réglementaire majeur. **Recommandation fondamentale** : la solidité bilancielle et la rentabilité historique sont indéniables, mais la dégradation récente de la rentabilité (T1 2026) et les risques exogènes (réglementaires, géopolitiques) incitent à la prudence, avec une perspective de stabilisation à moyen terme conditionnée à la résolution des litiges et à la reprise du trafic aérien.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nettement tendue : un PER de 31,8x, un P/B de 8,31x et un EV/EBITDA de 16,4x traduisent une prime excessive par rapport aux fondamentaux actuels, d'autant que le BPA de 124 FCFA ne justifie pas un tel multiple sans croissance exceptionnelle. Le comportement du cours (Partie 1) est haussier (+32,10% sur 100 jours) mais avec une volatilité élevée (42,6%) et un skewness positif indiquant une asymétrie à droite — favorable aux acheteurs mais risqué. Les signaux techniques (Partie 2) sont divergents : les moyennes mobiles confirment la tendance haussière, mais le MACD baissier et le RSI neutre suggèrent un essoufflement, plaidant pour une consolidation. Les fondamentaux (Partie 3) révèlent une société solide (ROE 26,18%, trésorerie nette 4,035 Mds FCFA) mais confrontée à une dégradation récente de sa rentabilité (résultat net T1 2026 en baisse de -35,6%) et à des risques réglementaires persistants. Les prédictions IA (J+1 à J+10) anticipent une baisse progressive de 3 838 FCFA à 3 673 FCFA, confirmant la pression baissière de court terme signalée par le MACD et contredisant le momentum haussier récent. **Synthèse** : la convergence entre valorisation tendue, signaux techniques mitigés, dégradation fondamentale récente et prédictions baissières conduit à une recommandation de **CONSERVER** avec un biais prudent. Le niveau de confiance est **Moyen** (les indicateurs sont divergents) et le risque global est **Élevé** (volatilité 42,6%, valorisation exigeante, incertitudes réglementaires). L'horizon d'investissement optimal est le **moyen terme (3-12 mois)**, en attendant la clarification des litiges et la confirmation d'une reprise durable de la rentabilité — un investisseur averse au risque privilégiera l'attente, tandis qu'un investisseur opportuniste pourra surveiller un point d'entrée vers 3 500-3 600 FCFA pour profiter de la solidité bilancienne à long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389.75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18,965 titres</w:t>
            </w:r>
          </w:p>
        </w:tc>
        <w:tc>
          <w:tcPr>
            <w:tcW w:type="dxa" w:w="2268"/>
            <w:shd w:fill="FFF2CC" w:val="clear"/>
          </w:tcPr>
          <w:p>
            <w:r>
              <w:rPr>
                <w:b/>
                <w:color w:val="503200"/>
                <w:sz w:val="16"/>
              </w:rPr>
              <w:t xml:space="preserve">Cours actuel : </w:t>
            </w:r>
            <w:r>
              <w:rPr>
                <w:color w:val="000000"/>
                <w:sz w:val="17"/>
              </w:rPr>
              <w:t>7,795 FCFA</w:t>
            </w:r>
          </w:p>
          <w:p>
            <w:r>
              <w:rPr>
                <w:b/>
                <w:color w:val="503200"/>
                <w:sz w:val="16"/>
              </w:rPr>
              <w:t xml:space="preserve">Var. 100 jours : </w:t>
            </w:r>
            <w:r>
              <w:rPr>
                <w:b/>
                <w:color w:val="007800"/>
                <w:sz w:val="17"/>
              </w:rPr>
              <w:t>+7.44%</w:t>
            </w:r>
          </w:p>
          <w:p>
            <w:r>
              <w:rPr>
                <w:b/>
                <w:color w:val="503200"/>
                <w:sz w:val="16"/>
              </w:rPr>
              <w:t xml:space="preserve">Plus haut 100j : </w:t>
            </w:r>
            <w:r>
              <w:rPr>
                <w:color w:val="000000"/>
                <w:sz w:val="17"/>
              </w:rPr>
              <w:t>7,795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N/D</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10.5/100 → Faible</w:t>
      </w:r>
    </w:p>
    <w:p>
      <w:pPr>
        <w:spacing w:before="40" w:after="80"/>
      </w:pPr>
      <w:r>
        <w:rPr>
          <w:rFonts w:ascii="Courier New" w:hAnsi="Courier New"/>
          <w:color w:val="006400"/>
          <w:sz w:val="18"/>
        </w:rPr>
        <w:t>██░░░░░░░░░░░░░░░░░░  10.5/100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3.59% (Faible) — μ=7,525 FCFA, σ=270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FFFF" w:val="clear"/>
          </w:tcPr>
          <w:p>
            <w:r>
              <w:rPr>
                <w:b/>
                <w:sz w:val="15"/>
              </w:rPr>
              <w:t>β≈0.36 (proxy, &lt;10 obs communes) — Données BRVM insuffisantes pour le bêta réel</w:t>
            </w:r>
          </w:p>
        </w:tc>
        <w:tc>
          <w:tcPr>
            <w:tcW w:type="dxa" w:w="1984"/>
            <w:shd w:fill="F7F7F7" w:val="clear"/>
          </w:tcPr>
          <w:p>
            <w:r>
              <w:rPr>
                <w:i/>
                <w:color w:val="505078"/>
                <w:sz w:val="14"/>
              </w:rPr>
              <w:t>β = Cov(r_titre, r_indice) / Var(r_indice)</w:t>
            </w:r>
          </w:p>
        </w:tc>
        <w:tc>
          <w:tcPr>
            <w:tcW w:type="dxa" w:w="1984"/>
            <w:shd w:fill="FFFFFF" w:val="clear"/>
          </w:tcPr>
          <w:p>
            <w:r>
              <w:rPr>
                <w:sz w:val="15"/>
              </w:rPr>
              <w:t>β≈0.36 (proxy, &lt;10 obs communes) — Données BRVM insuffisantes pour le bêta réel</w:t>
            </w:r>
          </w:p>
        </w:tc>
      </w:tr>
      <w:tr>
        <w:tc>
          <w:tcPr>
            <w:tcW w:type="dxa" w:w="2835"/>
            <w:shd w:fill="EEF2F7" w:val="clear"/>
          </w:tcPr>
          <w:p>
            <w:r>
              <w:rPr>
                <w:b/>
                <w:sz w:val="15"/>
              </w:rPr>
              <w:t>💧 Liquidité du titre (20%)</w:t>
            </w:r>
          </w:p>
        </w:tc>
        <w:tc>
          <w:tcPr>
            <w:tcW w:type="dxa" w:w="3118"/>
            <w:shd w:fill="C6EFCE" w:val="clear"/>
          </w:tcPr>
          <w:p>
            <w:r>
              <w:rPr>
                <w:b/>
                <w:sz w:val="15"/>
              </w:rPr>
              <w:t>18,965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FFFF" w:val="clear"/>
          </w:tcPr>
          <w:p>
            <w:r>
              <w:rPr>
                <w:b/>
                <w:sz w:val="15"/>
              </w:rPr>
              <w:t>Données insuffisantes</w:t>
            </w:r>
          </w:p>
        </w:tc>
        <w:tc>
          <w:tcPr>
            <w:tcW w:type="dxa" w:w="1984"/>
            <w:shd w:fill="F7F7F7" w:val="clear"/>
          </w:tcPr>
          <w:p>
            <w:r>
              <w:rPr>
                <w:i/>
                <w:color w:val="505078"/>
                <w:sz w:val="14"/>
              </w:rPr>
              <w:t>σ des rendements journaliers × 100</w:t>
            </w:r>
          </w:p>
        </w:tc>
        <w:tc>
          <w:tcPr>
            <w:tcW w:type="dxa" w:w="1984"/>
            <w:shd w:fill="FFFFFF" w:val="clear"/>
          </w:tcPr>
          <w:p>
            <w:r>
              <w:rPr>
                <w:sz w:val="15"/>
              </w:rPr>
              <w:t>Données insuffisantes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spacing w:after="120" w:line="276" w:lineRule="auto"/>
      </w:pPr>
      <w:r>
        <w:t>**RAPPORT D'ANALYSE FINANCIÈRE — BBGC (BRIDGE BANK GROUP COTE D'IVOIRE)**</w:t>
        <w:br/>
        <w:t>*Marché : BRVM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BBGC s'établit à 389,75 milliards FCFA, un niveau significatif qui positionne le titre parmi les valeurs de premier plan de la cote BRVM, cohérent avec la taille bilancielle de la banque (dépôts clientèle de 1 318,3 Mds FCFA au S1 2026). Les ratios de valorisation boursière (BPA, PER, P/B, EV/EBITDA) ne sont pas calculables en l'état, faute de données financières structurées annuelles et d'historique de cotation suffisant — le titre est récemment introduit à la cote après l'OPV de juillet 2026. À titre indicatif, le prix d'introduction de l'OPV (6 750 FCFA) rapporté au résultat net annualisé (environ 30,4 Mds FCFA sur base S1 2026) suggère un PER implicite proche de 12-13x, soit un niveau légèrement supérieur à la moyenne BRVM (~8-12x), ce qui traduit une prime de croissance mais limite la marge de sécurité à court terme. L'absence de P/B et d'EV/EBITDA empêche toutefois de conclure fermement sur une sous- ou surévaluation ; ces ratios devront être reconstitués dès la publication des états financiers annuels 2026.</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BBGC affiche une variation totale de +7,44%, intégralement concentrée sur la dernière séance (variation J-1 de +7,44%), ce qui indique une progression récente et brutale plutôt qu'une tendance haussière progressive. Le titre évolue dans un range étroit entre 7 255 FCFA (plus bas) et 7 795 FCFA (plus haut, correspondant au cours actuel), soit une amplitude de seulement 7,4% — signe d'une faible dispersion et d'une certaine stabilité. La tendance générale est donc haussière mais fragile, car portée par un mouvement ponctuel de dernière séance plutôt que par une dynamique continue. Les statistiques descriptives confirment cette lecture : la moyenne (7 525 FCFA) est strictement égale à la médiane (7 525 FCFA), traduisant une distribution parfaitement symétrique (skewness = 0,000), tandis que le mode (7 255 FCFA) se situe sous ces deux valeurs, indiquant que le cours a longtemps stagné avant le sursaut final. L'écart-type de 382 FCFA et le coefficient de variation de 5,1% révèlent une dispersion très faible, caractéristique d'un titre peu volatil sur la période. Le kurtosis en excès de -2,000 (distribution platykurtique) signale une absence de pics extrêmes et une faible concentration des rendements, ce qui réduit le risque de chocs violents mais aussi le potentiel de gains rapides. La volatilité annualisée affichée à 0,0% — vraisemblablement un artefact de calcul lié au manque de variations quotidiennes — doit être interprétée avec prudence : le titre est en réalité peu volatil, ce qui le classe dans la catégorie des valeurs défensives à faible risque de marché.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Les MM20 et MM50 ne sont pas disponibles (valeurs non calculables), ce qui s'explique par l'historique de cotation trop court pour générer des moyennes significatives. En l'absence de ces repères, la décision technique reste neutre, mais la position du cours au plus haut absolu de la période (7 795 FCFA) suggère une dynamique haussière de court terme qu'il conviendra de confirmer dès que les moyennes deviendront exploitables.</w:t>
      </w:r>
    </w:p>
    <w:p>
      <w:pPr>
        <w:spacing w:after="120" w:line="276" w:lineRule="auto"/>
      </w:pPr>
      <w:r>
        <w:t>**Bandes de Bollinger** : Les bornes supérieure et inférieure ne sont pas calculables, mais le cours actuel (7 795 FCFA) coïncide avec le plus haut de la période, ce qui, en théorie, le placerait au voisinage de la borne supérieure — zone de possible surachat ou de breakout haussier. La volatilité très faible (CV 5,1%) implique des bandes étroites, donc une sensibilité accrue à toute accélération du cours. La décision reste neutre faute de données, mais la prudence est de mise après un gain de +7,44% en une seule séance.</w:t>
      </w:r>
    </w:p>
    <w:p>
      <w:pPr>
        <w:spacing w:after="120" w:line="276" w:lineRule="auto"/>
      </w:pPr>
      <w:r>
        <w:t>**MACD** : Les valeurs du MACD et de sa ligne de signal ne sont pas disponibles, empêchant toute analyse de divergence ou de momentum. Le mouvement haussier de la dernière séance pourrait toutefois générer un croisement haussier à court terme, à surveiller lors des prochaines cotations. Décision neutre en l'état.</w:t>
      </w:r>
    </w:p>
    <w:p>
      <w:pPr>
        <w:spacing w:after="120" w:line="276" w:lineRule="auto"/>
      </w:pPr>
      <w:r>
        <w:t>**RSI** : Le RSI n'est pas calculable, mais le gain brutal de +7,44% en J-1 plaide pour une entrée potentielle en zone de surachat (&gt;70) si la tendance se prolonge. Sans valeur chiffrée, la décision reste neutre, avec un biais de vigilance face à un possible essoufflement.</w:t>
      </w:r>
    </w:p>
    <w:p>
      <w:pPr>
        <w:spacing w:after="120" w:line="276" w:lineRule="auto"/>
      </w:pPr>
      <w:r>
        <w:t>**Stochastique** : Les %K et %D ne sont pas disponibles, mais la position du cours au plus haut de la période suggère un positionnement en zone haute du stochastique, propice à un signal de surachat. Aucun croisement exploitable n'est identifiable. Décision neutre.</w:t>
      </w:r>
    </w:p>
    <w:p>
      <w:pPr>
        <w:spacing w:after="120" w:line="276" w:lineRule="auto"/>
      </w:pPr>
      <w:r>
        <w:t>**Conclusion technique** : L'ensemble des indicateurs techniques est indisponible en raison du manque d'historique de cotation, ce qui limite fortement la portée de l'analyse technique. Le seul signal exploitable est la position du cours au plus haut absolu de la période, consécutive à un gain de +7,44% en une séance — configuration qui peut aussi bien annoncer une poursuite haussière (breakout) qu'un essoufflement imminent (surachat). Dans ce contexte d'incertitude technique, la prudence commande d'attendre la formation d'un historique suffisant (20 à 50 séances) avant de tirer des conclusions fiables.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annuelles ne sont pas disponibles dans la base, mais les rapports officiels analysés — datés du 31 décembre 2026 et traités le 28 septembre 2026 par DEEPSEEK et GEMINI-VISION — fournissent des éléments fondamentaux solides pour le premier semestre 2026 (période close le 30 juin 2026). En tant que banque, BBGC publie un Produit Net Bancaire (PNB) de 37,7 milliards FCFA au S1 2026, contre 30,2 milliards FCFA au S1 2025, soit une progression remarquable de +25% (+7,5 Mds FCFA). Le résultat net s'établit à 15,2 milliards FCFA au S1 2026 (contre 10,4 Mds FCFA au S1 2025), en hausse de +46%, avec une marge nette de 40,3% (contre 34,4% un an plus tôt) — une amélioration notable de la rentabilité. Le coefficient d'exploitation ressort à 40,3% (contre 43,3% au S1 2025), très en-dessous du seuil de 60% généralement considéré comme le plafond d'efficacité bancaire, ce qui témoigne d'une maîtrise des frais généraux (+16% seulement, contre +25% de PNB) et d'un effet ciseau positif. Le coût du risque progresse de +14% à 4,3 Mds FCFA, une hausse contenue par rapport à la croissance des crédits (+28%), ce qui suggère un portefeuille de qualité correcte. La dynamique commerciale est équilibrée : les crédits à la clientèle atteignent 823,9 Mds FCFA (+28%) et les dépôts clientèle 1 318,3 Mds FCFA (+46%), la croissance des dépôts dépassant celle des crédits, ce qui renforce la liquidité et la base de ressources. Sur la base du rapport S1 2026 (daté du 31 décembre 2026), on peut estimer que l'exercice 2026 complet devrait afficher un PNB proche de 75-78 Mds FCFA et un résultat net de l'ordre de 30-32 Mds FCFA, soit un BPA estimé autour de 600-640 FCFA par action (sur la base de 50 millions d'actions post-OPV). Les perspectives sont porteuses : avis favorable de la Commission Bancaire pour une succursale au Burkina Faso (mai 2026), développement du réseau (Riviera Palmeraie, Bassam, Korhogo), création d'une Direction des PME et d'une Direction Organisation &amp; Excellence Opérationnelle dans le cadre de la stratégie 2026-2030. Les risques identifiés incluent l'environnement économique et géopolitique incertain, la hausse du coût du risque et le risque d'exécution lié à l'expansion régionale. La recommandation fondamentale émise par l'analyse DEEPSEEK est **ACHAT (spéculatif)**, justifiée par la croissance exceptionnelle, l'efficacité opérationnelle et la sursouscription de l'OPV à 6 750 FCFA/action — réserve faite de l'absence d'information sur la politique de dividende.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(non disponibles pour J+1 à J+10) conduit à une lecture nuancée du dossier BBGC. Sur le plan de la **valorisation (Partie 0)**, la capitalisation de 389,75 Mds FCFA et le PER implicite estimé à 12-13x suggèrent une valorisation légèrement supérieure à la moyenne BRVM, sans prime de sous-évaluation évidente, mais cohérente avec le profil de croissance. Le **comportement du cours (Partie 1)** est favorable dans sa tendance (+7,44%) mais préoccupant dans sa structure : la totalité du gain s'est faite en une seule séance, la distribution est parfaitement symétrique (skewness nul), platykurtique (absence de pics) et très peu volatile (CV 5,1%), ce qui traduit un titre stable mais peu dynamique, dont le sursaut récent pourrait ne pas se prolonger. Les **signaux techniques (Partie 2)** sont inexploitables faute d'historique, ce qui constitue une limite majeure et invite à la prudence — aucun indicateur ne confirme ni n'infirme le mouvement haussier. Les **fondamentaux (Partie 3)** sont en revanche le point fort du dossier : PNB +25%, résultat net +46%, marge nette de 40,3%, coefficient d'exploitation de 40,3%, croissance équilibrée des crédits et dépôts, expansion régionale et sursouscription de l'OPV — autant d'éléments qui plaident pour une solide création de valeur à moyen terme. En l'absence de prédictions IA, la convergence entre fondamentaux solides et technique incertaine milite pour une recommandation **ACHAT**, avec un niveau de confiance **Moyen** (limité par l'absence d'historique technique et de ratios de valorisation complets) et un niveau de risque global **Moyen** (titre peu volatil mais récemment introduit, donc sujet à des mouvements erratiques). L'horizon d'investissement optimal est le **moyen à long terme (6 à 18 mois)**, le temps que la politique de dividende soit précisée, que l'historique de cotation se constitue et que les fondamentaux du S2 2026 confirment la trajectoire exceptionnelle du premier semestre.</w:t>
      </w:r>
    </w:p>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491.54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13,562 titres</w:t>
            </w:r>
          </w:p>
        </w:tc>
        <w:tc>
          <w:tcPr>
            <w:tcW w:type="dxa" w:w="2268"/>
            <w:shd w:fill="FFF2CC" w:val="clear"/>
          </w:tcPr>
          <w:p>
            <w:r>
              <w:rPr>
                <w:b/>
                <w:color w:val="503200"/>
                <w:sz w:val="16"/>
              </w:rPr>
              <w:t xml:space="preserve">Cours actuel : </w:t>
            </w:r>
            <w:r>
              <w:rPr>
                <w:color w:val="000000"/>
                <w:sz w:val="17"/>
              </w:rPr>
              <w:t>8,510 FCFA</w:t>
            </w:r>
          </w:p>
          <w:p>
            <w:r>
              <w:rPr>
                <w:b/>
                <w:color w:val="503200"/>
                <w:sz w:val="16"/>
              </w:rPr>
              <w:t xml:space="preserve">Var. 100 jours : </w:t>
            </w:r>
            <w:r>
              <w:rPr>
                <w:b/>
                <w:color w:val="007800"/>
                <w:sz w:val="17"/>
              </w:rPr>
              <w:t>+60.41%</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24.57% (Élevée) — μ=7,107 FCFA, σ=1,746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β=0.8381 (Neutre (suit le marché)) — Cov=0.000058, Var(idx)=0.000069, ρ=0.261,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13,562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2026-09-28</w:t>
            </w:r>
          </w:p>
        </w:tc>
        <w:tc>
          <w:tcPr>
            <w:tcW w:type="dxa" w:w="1440"/>
            <w:shd w:fill="C6EFCE" w:val="clear"/>
          </w:tcPr>
          <w:p>
            <w:r>
              <w:rPr>
                <w:sz w:val="17"/>
              </w:rPr>
              <w:t>8,441</w:t>
            </w:r>
          </w:p>
        </w:tc>
        <w:tc>
          <w:tcPr>
            <w:tcW w:type="dxa" w:w="1440"/>
            <w:shd w:fill="C6EFCE" w:val="clear"/>
          </w:tcPr>
          <w:p>
            <w:r>
              <w:rPr>
                <w:b/>
                <w:sz w:val="17"/>
              </w:rPr>
              <w:t>8,978</w:t>
            </w:r>
          </w:p>
        </w:tc>
        <w:tc>
          <w:tcPr>
            <w:tcW w:type="dxa" w:w="1440"/>
            <w:shd w:fill="C6EFCE" w:val="clear"/>
          </w:tcPr>
          <w:p>
            <w:r>
              <w:rPr>
                <w:sz w:val="17"/>
              </w:rPr>
              <w:t>9,514</w:t>
            </w:r>
          </w:p>
        </w:tc>
        <w:tc>
          <w:tcPr>
            <w:tcW w:type="dxa" w:w="1440"/>
            <w:shd w:fill="C6EFCE" w:val="clear"/>
          </w:tcPr>
          <w:p>
            <w:r>
              <w:rPr>
                <w:b/>
                <w:color w:val="008000"/>
                <w:sz w:val="17"/>
              </w:rPr>
              <w:t>+5.5%</w:t>
            </w:r>
          </w:p>
        </w:tc>
      </w:tr>
      <w:tr>
        <w:tc>
          <w:tcPr>
            <w:tcW w:type="dxa" w:w="1440"/>
            <w:shd w:fill="C6EFCE" w:val="clear"/>
          </w:tcPr>
          <w:p>
            <w:r>
              <w:rPr>
                <w:sz w:val="17"/>
              </w:rPr>
              <w:t>J+2  ⭐</w:t>
            </w:r>
          </w:p>
        </w:tc>
        <w:tc>
          <w:tcPr>
            <w:tcW w:type="dxa" w:w="1440"/>
            <w:shd w:fill="C6EFCE" w:val="clear"/>
          </w:tcPr>
          <w:p>
            <w:r>
              <w:rPr>
                <w:sz w:val="17"/>
              </w:rPr>
              <w:t>2026-09-29</w:t>
            </w:r>
          </w:p>
        </w:tc>
        <w:tc>
          <w:tcPr>
            <w:tcW w:type="dxa" w:w="1440"/>
            <w:shd w:fill="C6EFCE" w:val="clear"/>
          </w:tcPr>
          <w:p>
            <w:r>
              <w:rPr>
                <w:sz w:val="17"/>
              </w:rPr>
              <w:t>8,199</w:t>
            </w:r>
          </w:p>
        </w:tc>
        <w:tc>
          <w:tcPr>
            <w:tcW w:type="dxa" w:w="1440"/>
            <w:shd w:fill="C6EFCE" w:val="clear"/>
          </w:tcPr>
          <w:p>
            <w:r>
              <w:rPr>
                <w:b/>
                <w:sz w:val="17"/>
              </w:rPr>
              <w:t>8,957</w:t>
            </w:r>
          </w:p>
        </w:tc>
        <w:tc>
          <w:tcPr>
            <w:tcW w:type="dxa" w:w="1440"/>
            <w:shd w:fill="C6EFCE" w:val="clear"/>
          </w:tcPr>
          <w:p>
            <w:r>
              <w:rPr>
                <w:sz w:val="17"/>
              </w:rPr>
              <w:t>9,714</w:t>
            </w:r>
          </w:p>
        </w:tc>
        <w:tc>
          <w:tcPr>
            <w:tcW w:type="dxa" w:w="1440"/>
            <w:shd w:fill="C6EFCE" w:val="clear"/>
          </w:tcPr>
          <w:p>
            <w:r>
              <w:rPr>
                <w:b/>
                <w:color w:val="008000"/>
                <w:sz w:val="17"/>
              </w:rPr>
              <w:t>+5.2%</w:t>
            </w:r>
          </w:p>
        </w:tc>
      </w:tr>
      <w:tr>
        <w:tc>
          <w:tcPr>
            <w:tcW w:type="dxa" w:w="1440"/>
            <w:shd w:fill="C6EFCE" w:val="clear"/>
          </w:tcPr>
          <w:p>
            <w:r>
              <w:rPr>
                <w:sz w:val="17"/>
              </w:rPr>
              <w:t>J+3  ⭐</w:t>
            </w:r>
          </w:p>
        </w:tc>
        <w:tc>
          <w:tcPr>
            <w:tcW w:type="dxa" w:w="1440"/>
            <w:shd w:fill="C6EFCE" w:val="clear"/>
          </w:tcPr>
          <w:p>
            <w:r>
              <w:rPr>
                <w:sz w:val="17"/>
              </w:rPr>
              <w:t>2026-09-30</w:t>
            </w:r>
          </w:p>
        </w:tc>
        <w:tc>
          <w:tcPr>
            <w:tcW w:type="dxa" w:w="1440"/>
            <w:shd w:fill="C6EFCE" w:val="clear"/>
          </w:tcPr>
          <w:p>
            <w:r>
              <w:rPr>
                <w:sz w:val="17"/>
              </w:rPr>
              <w:t>8,045</w:t>
            </w:r>
          </w:p>
        </w:tc>
        <w:tc>
          <w:tcPr>
            <w:tcW w:type="dxa" w:w="1440"/>
            <w:shd w:fill="C6EFCE" w:val="clear"/>
          </w:tcPr>
          <w:p>
            <w:r>
              <w:rPr>
                <w:b/>
                <w:sz w:val="17"/>
              </w:rPr>
              <w:t>8,974</w:t>
            </w:r>
          </w:p>
        </w:tc>
        <w:tc>
          <w:tcPr>
            <w:tcW w:type="dxa" w:w="1440"/>
            <w:shd w:fill="C6EFCE" w:val="clear"/>
          </w:tcPr>
          <w:p>
            <w:r>
              <w:rPr>
                <w:sz w:val="17"/>
              </w:rPr>
              <w:t>9,903</w:t>
            </w:r>
          </w:p>
        </w:tc>
        <w:tc>
          <w:tcPr>
            <w:tcW w:type="dxa" w:w="1440"/>
            <w:shd w:fill="C6EFCE" w:val="clear"/>
          </w:tcPr>
          <w:p>
            <w:r>
              <w:rPr>
                <w:b/>
                <w:color w:val="008000"/>
                <w:sz w:val="17"/>
              </w:rPr>
              <w:t>+5.5%</w:t>
            </w:r>
          </w:p>
        </w:tc>
      </w:tr>
      <w:tr>
        <w:tc>
          <w:tcPr>
            <w:tcW w:type="dxa" w:w="1440"/>
            <w:shd w:fill="C6EFCE" w:val="clear"/>
          </w:tcPr>
          <w:p>
            <w:r>
              <w:rPr>
                <w:sz w:val="17"/>
              </w:rPr>
              <w:t>J+4  ⭐</w:t>
            </w:r>
          </w:p>
        </w:tc>
        <w:tc>
          <w:tcPr>
            <w:tcW w:type="dxa" w:w="1440"/>
            <w:shd w:fill="C6EFCE" w:val="clear"/>
          </w:tcPr>
          <w:p>
            <w:r>
              <w:rPr>
                <w:sz w:val="17"/>
              </w:rPr>
              <w:t>2026-10-01</w:t>
            </w:r>
          </w:p>
        </w:tc>
        <w:tc>
          <w:tcPr>
            <w:tcW w:type="dxa" w:w="1440"/>
            <w:shd w:fill="C6EFCE" w:val="clear"/>
          </w:tcPr>
          <w:p>
            <w:r>
              <w:rPr>
                <w:sz w:val="17"/>
              </w:rPr>
              <w:t>7,925</w:t>
            </w:r>
          </w:p>
        </w:tc>
        <w:tc>
          <w:tcPr>
            <w:tcW w:type="dxa" w:w="1440"/>
            <w:shd w:fill="C6EFCE" w:val="clear"/>
          </w:tcPr>
          <w:p>
            <w:r>
              <w:rPr>
                <w:b/>
                <w:sz w:val="17"/>
              </w:rPr>
              <w:t>9,001</w:t>
            </w:r>
          </w:p>
        </w:tc>
        <w:tc>
          <w:tcPr>
            <w:tcW w:type="dxa" w:w="1440"/>
            <w:shd w:fill="C6EFCE" w:val="clear"/>
          </w:tcPr>
          <w:p>
            <w:r>
              <w:rPr>
                <w:sz w:val="17"/>
              </w:rPr>
              <w:t>10,077</w:t>
            </w:r>
          </w:p>
        </w:tc>
        <w:tc>
          <w:tcPr>
            <w:tcW w:type="dxa" w:w="1440"/>
            <w:shd w:fill="C6EFCE" w:val="clear"/>
          </w:tcPr>
          <w:p>
            <w:r>
              <w:rPr>
                <w:b/>
                <w:color w:val="008000"/>
                <w:sz w:val="17"/>
              </w:rPr>
              <w:t>+5.8%</w:t>
            </w:r>
          </w:p>
        </w:tc>
      </w:tr>
      <w:tr>
        <w:tc>
          <w:tcPr>
            <w:tcW w:type="dxa" w:w="1440"/>
            <w:shd w:fill="C6EFCE" w:val="clear"/>
          </w:tcPr>
          <w:p>
            <w:r>
              <w:rPr>
                <w:sz w:val="17"/>
              </w:rPr>
              <w:t>J+5  ⭐</w:t>
            </w:r>
          </w:p>
        </w:tc>
        <w:tc>
          <w:tcPr>
            <w:tcW w:type="dxa" w:w="1440"/>
            <w:shd w:fill="C6EFCE" w:val="clear"/>
          </w:tcPr>
          <w:p>
            <w:r>
              <w:rPr>
                <w:sz w:val="17"/>
              </w:rPr>
              <w:t>2026-10-02</w:t>
            </w:r>
          </w:p>
        </w:tc>
        <w:tc>
          <w:tcPr>
            <w:tcW w:type="dxa" w:w="1440"/>
            <w:shd w:fill="C6EFCE" w:val="clear"/>
          </w:tcPr>
          <w:p>
            <w:r>
              <w:rPr>
                <w:sz w:val="17"/>
              </w:rPr>
              <w:t>7,822</w:t>
            </w:r>
          </w:p>
        </w:tc>
        <w:tc>
          <w:tcPr>
            <w:tcW w:type="dxa" w:w="1440"/>
            <w:shd w:fill="C6EFCE" w:val="clear"/>
          </w:tcPr>
          <w:p>
            <w:r>
              <w:rPr>
                <w:b/>
                <w:sz w:val="17"/>
              </w:rPr>
              <w:t>9,029</w:t>
            </w:r>
          </w:p>
        </w:tc>
        <w:tc>
          <w:tcPr>
            <w:tcW w:type="dxa" w:w="1440"/>
            <w:shd w:fill="C6EFCE" w:val="clear"/>
          </w:tcPr>
          <w:p>
            <w:r>
              <w:rPr>
                <w:sz w:val="17"/>
              </w:rPr>
              <w:t>10,236</w:t>
            </w:r>
          </w:p>
        </w:tc>
        <w:tc>
          <w:tcPr>
            <w:tcW w:type="dxa" w:w="1440"/>
            <w:shd w:fill="C6EFCE" w:val="clear"/>
          </w:tcPr>
          <w:p>
            <w:r>
              <w:rPr>
                <w:b/>
                <w:color w:val="008000"/>
                <w:sz w:val="17"/>
              </w:rPr>
              <w:t>+6.1%</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7,729</w:t>
            </w:r>
          </w:p>
        </w:tc>
        <w:tc>
          <w:tcPr>
            <w:tcW w:type="dxa" w:w="1440"/>
            <w:shd w:fill="C6EFCE" w:val="clear"/>
          </w:tcPr>
          <w:p>
            <w:r>
              <w:rPr>
                <w:b/>
                <w:sz w:val="17"/>
              </w:rPr>
              <w:t>9,055</w:t>
            </w:r>
          </w:p>
        </w:tc>
        <w:tc>
          <w:tcPr>
            <w:tcW w:type="dxa" w:w="1440"/>
            <w:shd w:fill="C6EFCE" w:val="clear"/>
          </w:tcPr>
          <w:p>
            <w:r>
              <w:rPr>
                <w:sz w:val="17"/>
              </w:rPr>
              <w:t>10,381</w:t>
            </w:r>
          </w:p>
        </w:tc>
        <w:tc>
          <w:tcPr>
            <w:tcW w:type="dxa" w:w="1440"/>
            <w:shd w:fill="C6EFCE" w:val="clear"/>
          </w:tcPr>
          <w:p>
            <w:r>
              <w:rPr>
                <w:b/>
                <w:color w:val="008000"/>
                <w:sz w:val="17"/>
              </w:rPr>
              <w:t>+6.4%</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7,642</w:t>
            </w:r>
          </w:p>
        </w:tc>
        <w:tc>
          <w:tcPr>
            <w:tcW w:type="dxa" w:w="1440"/>
            <w:shd w:fill="C6EFCE" w:val="clear"/>
          </w:tcPr>
          <w:p>
            <w:r>
              <w:rPr>
                <w:b/>
                <w:sz w:val="17"/>
              </w:rPr>
              <w:t>9,078</w:t>
            </w:r>
          </w:p>
        </w:tc>
        <w:tc>
          <w:tcPr>
            <w:tcW w:type="dxa" w:w="1440"/>
            <w:shd w:fill="C6EFCE" w:val="clear"/>
          </w:tcPr>
          <w:p>
            <w:r>
              <w:rPr>
                <w:sz w:val="17"/>
              </w:rPr>
              <w:t>10,514</w:t>
            </w:r>
          </w:p>
        </w:tc>
        <w:tc>
          <w:tcPr>
            <w:tcW w:type="dxa" w:w="1440"/>
            <w:shd w:fill="C6EFCE" w:val="clear"/>
          </w:tcPr>
          <w:p>
            <w:r>
              <w:rPr>
                <w:b/>
                <w:color w:val="008000"/>
                <w:sz w:val="17"/>
              </w:rPr>
              <w:t>+6.7%</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7,560</w:t>
            </w:r>
          </w:p>
        </w:tc>
        <w:tc>
          <w:tcPr>
            <w:tcW w:type="dxa" w:w="1440"/>
            <w:shd w:fill="C6EFCE" w:val="clear"/>
          </w:tcPr>
          <w:p>
            <w:r>
              <w:rPr>
                <w:b/>
                <w:sz w:val="17"/>
              </w:rPr>
              <w:t>9,098</w:t>
            </w:r>
          </w:p>
        </w:tc>
        <w:tc>
          <w:tcPr>
            <w:tcW w:type="dxa" w:w="1440"/>
            <w:shd w:fill="C6EFCE" w:val="clear"/>
          </w:tcPr>
          <w:p>
            <w:r>
              <w:rPr>
                <w:sz w:val="17"/>
              </w:rPr>
              <w:t>10,637</w:t>
            </w:r>
          </w:p>
        </w:tc>
        <w:tc>
          <w:tcPr>
            <w:tcW w:type="dxa" w:w="1440"/>
            <w:shd w:fill="C6EFCE" w:val="clear"/>
          </w:tcPr>
          <w:p>
            <w:r>
              <w:rPr>
                <w:b/>
                <w:color w:val="008000"/>
                <w:sz w:val="17"/>
              </w:rPr>
              <w:t>+6.9%</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7,481</w:t>
            </w:r>
          </w:p>
        </w:tc>
        <w:tc>
          <w:tcPr>
            <w:tcW w:type="dxa" w:w="1440"/>
            <w:shd w:fill="C6EFCE" w:val="clear"/>
          </w:tcPr>
          <w:p>
            <w:r>
              <w:rPr>
                <w:b/>
                <w:sz w:val="17"/>
              </w:rPr>
              <w:t>9,116</w:t>
            </w:r>
          </w:p>
        </w:tc>
        <w:tc>
          <w:tcPr>
            <w:tcW w:type="dxa" w:w="1440"/>
            <w:shd w:fill="C6EFCE" w:val="clear"/>
          </w:tcPr>
          <w:p>
            <w:r>
              <w:rPr>
                <w:sz w:val="17"/>
              </w:rPr>
              <w:t>10,751</w:t>
            </w:r>
          </w:p>
        </w:tc>
        <w:tc>
          <w:tcPr>
            <w:tcW w:type="dxa" w:w="1440"/>
            <w:shd w:fill="C6EFCE" w:val="clear"/>
          </w:tcPr>
          <w:p>
            <w:r>
              <w:rPr>
                <w:b/>
                <w:color w:val="008000"/>
                <w:sz w:val="17"/>
              </w:rPr>
              <w:t>+7.1%</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7,405</w:t>
            </w:r>
          </w:p>
        </w:tc>
        <w:tc>
          <w:tcPr>
            <w:tcW w:type="dxa" w:w="1440"/>
            <w:shd w:fill="C6EFCE" w:val="clear"/>
          </w:tcPr>
          <w:p>
            <w:r>
              <w:rPr>
                <w:b/>
                <w:sz w:val="17"/>
              </w:rPr>
              <w:t>9,131</w:t>
            </w:r>
          </w:p>
        </w:tc>
        <w:tc>
          <w:tcPr>
            <w:tcW w:type="dxa" w:w="1440"/>
            <w:shd w:fill="C6EFCE" w:val="clear"/>
          </w:tcPr>
          <w:p>
            <w:r>
              <w:rPr>
                <w:sz w:val="17"/>
              </w:rPr>
              <w:t>10,857</w:t>
            </w:r>
          </w:p>
        </w:tc>
        <w:tc>
          <w:tcPr>
            <w:tcW w:type="dxa" w:w="1440"/>
            <w:shd w:fill="C6EFCE" w:val="clear"/>
          </w:tcPr>
          <w:p>
            <w:r>
              <w:rPr>
                <w:b/>
                <w:color w:val="008000"/>
                <w:sz w:val="17"/>
              </w:rPr>
              <w:t>+7.3%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 RAPPORT D'ANALYSE FINANCIÈRE — ACTION BICB (BIIC Bénin)</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**491,54 milliards FCFA**, BICB figure parmi les valeurs bancaires les plus importantes de la cote BRVM, ce qui lui confère une liquidité relative et une visibilité institutionnelle appréciables. Le **BPA de 627 FCFA/action** traduit une rentabilité par titre solide, cohérente avec un résultat net 2025 de 36,2 milliards FCFA. Le **PER de 13,6x** se situe légèrement au-dessus de la fourchette moyenne du marché BRVM (8-12x), signalant que les investisseurs paient une prime modérée pour la qualité de la banque, sans exubérance manifeste. Le **P/B de 3,64x** indique que le marché valorise l'action à plus de trois fois sa valeur comptable (capitaux propres de 135,1 Mds FCFA), soit une prime de croissance justifiée par un ROE de 26,8% nettement supérieur au coût des fonds propres. En revanche, l'**EV/EBITDA de 24,1x** apparaît très exigeant (&gt;15x), reflétant une valorisation d'entreprise tendue qui intègre déjà une bonne partie des anticipations de croissance.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BICB a enregistré une **progression spectaculaire de +60,41%**, avec une dernière séance particulièrement dynamique (+7,45% en J-1), portant le cours actuel à **8 510 FCFA**. Le range de trading est très large, entre un plus bas de **5 105 FCFA** et un plus haut de **10 790 FCFA**, soit un écart de plus de 111%, ce qui témoigne d'une tendance haussière puissante mais ponctuée de corrections marquées. La moyenne (7 107 FCFA) est nettement supérieure à la médiane (6 465 FCFA), confirmant une **asymétrie positive** de la distribution : le titre a passé plus de temps dans les zones basses avant de s'envoler, comme l'indique le skewness de 0,621. L'écart-type de 1 755 FCFA (CV = 24,7%) traduit une **dispersion élevée** du cours, cohérente avec une volatilité annualisée de **42,3%**, à classer comme **élevée** (&gt;30%). Le kurtosis de -0,882 (mésokurtique) suggère une distribution proche de la normale, sans risque extrême de pics erratiques, ce qui est rassurant pour la gestion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(9 834,75 FCFA) est nettement supérieure à la MM50 (8 575,5 FCFA), et le cours actuel (8 510 FCFA) évolue juste sous la MM50, ce qui traduit une configuration haussière de fond mais une consolidation récente. La décision « Achat » reflète la dynamique positive de moyen terme, bien que le titre teste actuellement un support clé.</w:t>
      </w:r>
    </w:p>
    <w:p>
      <w:pPr>
        <w:spacing w:after="120" w:line="276" w:lineRule="auto"/>
      </w:pPr>
      <w:r>
        <w:t>**Bandes de Bollinger** : Le cours (8 510 FCFA) se situe dans la moitié basse de la bande, entre la borne inférieure (8 200,5 FCFA) et la borne supérieure (11 468,99 FCFA), avec une décision « Neutre ». Cette position suggère que le titre n'est ni suracheté ni survendu, offrant un point d'entrée potentiel si le support inférieur tient.</w:t>
      </w:r>
    </w:p>
    <w:p>
      <w:pPr>
        <w:spacing w:after="120" w:line="276" w:lineRule="auto"/>
      </w:pPr>
      <w:r>
        <w:t>**MACD** : La valeur du MACD (57,26) est très inférieure à son signal (396,67), générant une décision « Vente ». Cette divergence baissière indique un essoufflement du momentum haussier à court terme, bien que l'écart important puisse aussi refléter un retard du signal sur la forte volatilité récente.</w:t>
      </w:r>
    </w:p>
    <w:p>
      <w:pPr>
        <w:spacing w:after="120" w:line="276" w:lineRule="auto"/>
      </w:pPr>
      <w:r>
        <w:t>**RSI** : À **23,73**, le RSI est en zone de **survente** (&lt;30), ce qui déclenche une décision « Achat ». Ce niveau extrême suggère que le titre a été excessivement vendu à court terme et qu'un rebond technique est probable, surtout après la chute depuis le plus haut de 10 790 FCFA.</w:t>
      </w:r>
    </w:p>
    <w:p>
      <w:pPr>
        <w:spacing w:after="120" w:line="276" w:lineRule="auto"/>
      </w:pPr>
      <w:r>
        <w:t>**Stochastique** : Le %K (22,43) est supérieur au %D (7,48), avec une décision « Neutre ». Le croisement potentiel du %K au-dessus du %D en zone basse pourrait annoncer un retournement haussier, mais la prudence reste de mise tant que la confirmation n'est pas acquise.</w:t>
      </w:r>
    </w:p>
    <w:p>
      <w:pPr>
        <w:spacing w:after="120" w:line="276" w:lineRule="auto"/>
      </w:pPr>
      <w:r>
        <w:t>**Conclusion technique** : Les indicateurs présentent un tableau **contrasté** : le RSI en survente et la position basse dans les bandes de Bollinger plaident pour un rebond à court terme, tandis que le MACD baissier et le cours sous la MM50 tempèrent l'optimisme. La convergence des signaux d'achat (RSI, MM) et de vente (MACD) suggère une **phase de consolidation** avant une reprise potentielle, avec un support critique à 8 200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BICB a réalisé un **Produit Net Bancaire (PNB) de 52,805 milliards FCFA**, en croissance de **+16,49%**, porté par une marge d'intérêt nette de 40,8 Mds FCFA et des commissions nettes de 10,6 Mds FCFA. Le **résultat net s'établit à 36,237 milliards FCFA**, avec un **ROE exceptionnel de 26,82%** (&gt;15% = excellent) et un **ROA de 1,96%**. Le **coefficient d'exploitation de 31,12%** est remarquable (&lt;60% = banque très efficace), témoignant d'une maîtrise des charges. Le **coût du risque de 9,61%** reste modéré mais à surveiller, tandis que le ratio crédits nets/dépôts de **97,5%** indique une transformation tendue. La structure financière affiche une **autonomie financière de 7,33%** (faible, typique des banques) et une **solvabilité générale de 107,9%** (&gt;1 = solvable). Les **dépôts clientèle de 1 181 Mds FCFA** (+29,4%) et les **crédits nets de 1 151,5 Mds FCFA** (+37,3%) confirment une expansion rapide de l'intermédiation.</w:t>
      </w:r>
    </w:p>
    <w:p>
      <w:pPr>
        <w:spacing w:after="120" w:line="276" w:lineRule="auto"/>
      </w:pPr>
      <w:r>
        <w:t>**Estimations basées sur les rapports trimestriels** : Le rapport **T1 2026** (publié en 2026) indique un **PNB de 14,6 Mds FCFA (+35%)** et un **résultat net de 8,0 Mds FCFA (+48%)**, signalant une accélération de la rentabilité. Le **S1 2026** (rapport du 22/09/2026) confirme cette dynamique avec un **PNB de 31,9 Mds FCFA (+19%)** et un **RBE de 22,9 Mds FCFA (+31%)**, malgré un coût du risque redevenu une charge de 3,6 Mds FCFA (contre un produit net de 2,4 Mds au S1 2025). On estime donc que **l'exercice 2026 devrait afficher un PNB supérieur à 60 Mds FCFA** et un **résultat net en croissance à deux chiffres**, sous réserve de la normalisation du coût du risque. Le rapport **T3 2025** (30/09/2025) soulignait déjà une **marge nette en contraction à 36,5%** (vs 50,3% au T3 2024) en raison de provisions prudentes, mais la direction tablait sur une amélioration au T4. Les **perspectives 2026** évoquent une priorité à la gestion de la liquidité et à l'industrialisation des processus IFRS 9.</w:t>
      </w:r>
    </w:p>
    <w:p>
      <w:pPr>
        <w:spacing w:after="120" w:line="276" w:lineRule="auto"/>
      </w:pPr>
      <w:r>
        <w:t>**Recommandation fondamentale** : BICB affiche des **fondamentaux solides** (ROE &gt;25%, coefficient d'exploitation &lt;35%, croissance du PNB &gt;15%) et une **position de leader au Bénin**. Les risques principaux résident dans la **qualité du portefeuille de crédits** (croissance rapide +30% des encours) et la **tension sur la liquidité** (ratio crédits/dépôts à 97,5%). La transition IFRS 9 et les lacunes du système d'information (relevées par les commissaires aux comptes en 2025) constituent des points de vigilance. **Conclusion** : solidité financière avérée, mais surveillance accrue du risque de crédit nécessaire.</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mitigé : le PER de 13,6x et le P/B de 3,64x intègrent une prime de qualité justifiée par le ROE de 26,8%, mais l'EV/EBITDA de 24,1x apparaît tendu, limitant le potentiel de revalorisation à court terme. Le **comportement du cours (Partie 1)** est haussier sur 100 jours (+60,41%), avec une volatilité élevée (42,3%) et une asymétrie positive (skewness 0,621) qui suggère que les hausses ont été plus fréquentes que les baisses, mais le kurtosis mésokurtique (-0,882) indique l'absence de pics extrêmes. Les **signaux techniques (Partie 2)** sont divergents : le RSI en survente (23,73) et la position basse dans les bandes de Bollinger plaident pour un rebond, tandis que le MACD baissier (57,26 vs signal 396,67) et le cours sous la MM50 tempèrent l'enthousiasme. Les **fondamentaux (Partie 3)** sont solides : PNB 2025 de 52,8 Mds FCFA (+16,5%), résultat net de 36,2 Mds FCFA, ROE de 26,8%, et les rapports T1 2026 (+48% de résultat net) et S1 2026 (+19% de PNB) confirment une dynamique positive, malgré un coût du risque normalisé. Les **prédictions IA (J+1 à J+10)** anticipent une **légère hausse** vers 8 978 FCFA (28/09) puis 9 029 FCFA (02/10), ce qui confirme un rebond technique modéré.</w:t>
      </w:r>
    </w:p>
    <w:p>
      <w:pPr>
        <w:spacing w:after="120" w:line="276" w:lineRule="auto"/>
      </w:pPr>
      <w:r>
        <w:t>**Synthèse globale** : La convergence entre la survente technique (RSI), les fondamentaux solides (ROE &gt;25%, croissance du PNB) et les prédictions haussières à court terme soutient une **recommandation d'ACHAT**, mais la divergence du MACD et la valorisation tendue (EV/EBITDA) incitent à la prudence. Le niveau de **confiance est Moyen**, car si les fondamentaux sont robustes, le risque de crédit (croissance rapide des encours) et la tension sur la liquidité (ratio crédits/dépôts à 97,5%) constituent des incertitudes. Le **risque global est Moyen**, avec une volatilité élevée (42,3%) qui nécessite une tolérance au risque significative. L'**horizon d'investissement optimal est moyen terme (3-12 mois)**, le temps que la banque normalise son coût du risque et confirme la durabilité de sa croissance rentable.</w:t>
      </w:r>
    </w:p>
    <w:p>
      <w:pPr>
        <w:spacing w:after="120" w:line="276" w:lineRule="auto"/>
      </w:pPr>
      <w:r>
        <w:t>**Recommandation finale : ACHAT (confiance Moyenne, risque Moyen, horizon 3-12 mois)**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533.33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694 titres</w:t>
            </w:r>
          </w:p>
        </w:tc>
        <w:tc>
          <w:tcPr>
            <w:tcW w:type="dxa" w:w="2268"/>
            <w:shd w:fill="FFF2CC" w:val="clear"/>
          </w:tcPr>
          <w:p>
            <w:r>
              <w:rPr>
                <w:b/>
                <w:color w:val="503200"/>
                <w:sz w:val="16"/>
              </w:rPr>
              <w:t xml:space="preserve">Cours actuel : </w:t>
            </w:r>
            <w:r>
              <w:rPr>
                <w:color w:val="000000"/>
                <w:sz w:val="17"/>
              </w:rPr>
              <w:t>32,000 FCFA</w:t>
            </w:r>
          </w:p>
          <w:p>
            <w:r>
              <w:rPr>
                <w:b/>
                <w:color w:val="503200"/>
                <w:sz w:val="16"/>
              </w:rPr>
              <w:t xml:space="preserve">Var. 100 jours : </w:t>
            </w:r>
            <w:r>
              <w:rPr>
                <w:b/>
                <w:color w:val="007800"/>
                <w:sz w:val="17"/>
              </w:rPr>
              <w:t>+28.00%</w:t>
            </w:r>
          </w:p>
          <w:p>
            <w:r>
              <w:rPr>
                <w:b/>
                <w:color w:val="503200"/>
                <w:sz w:val="16"/>
              </w:rPr>
              <w:t xml:space="preserve">Plus haut 100j : </w:t>
            </w:r>
            <w:r>
              <w:rPr>
                <w:color w:val="000000"/>
                <w:sz w:val="17"/>
              </w:rPr>
              <w:t>34,000 FCFA</w:t>
            </w:r>
          </w:p>
          <w:p>
            <w:r>
              <w:rPr>
                <w:b/>
                <w:color w:val="503200"/>
                <w:sz w:val="16"/>
              </w:rPr>
              <w:t xml:space="preserve">Plus bas 100j : </w:t>
            </w:r>
            <w:r>
              <w:rPr>
                <w:color w:val="000000"/>
                <w:sz w:val="17"/>
              </w:rPr>
              <w:t>24,445 FCFA</w:t>
            </w:r>
          </w:p>
          <w:p>
            <w:r>
              <w:rPr>
                <w:b/>
                <w:color w:val="503200"/>
                <w:sz w:val="16"/>
              </w:rPr>
              <w:t xml:space="preserve">Volatilité ann. : </w:t>
            </w:r>
            <w:r>
              <w:rPr>
                <w:color w:val="000000"/>
                <w:sz w:val="17"/>
              </w:rPr>
              <w:t>30.7%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6.49% (Moyenne) — μ=28,919 FCFA, σ=1,877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β=0.8773 (Neutre (suit le marché)) — Cov=0.000061, Var(idx)=0.000069, ρ=0.376,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694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σ_j=1.94%/j (Stable) — Vol. annualisée≈30.7%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29,682</w:t>
            </w:r>
          </w:p>
        </w:tc>
        <w:tc>
          <w:tcPr>
            <w:tcW w:type="dxa" w:w="1440"/>
            <w:shd w:fill="FFDCE0" w:val="clear"/>
          </w:tcPr>
          <w:p>
            <w:r>
              <w:rPr>
                <w:b/>
                <w:sz w:val="17"/>
              </w:rPr>
              <w:t>31,010</w:t>
            </w:r>
          </w:p>
        </w:tc>
        <w:tc>
          <w:tcPr>
            <w:tcW w:type="dxa" w:w="1440"/>
            <w:shd w:fill="FFDCE0" w:val="clear"/>
          </w:tcPr>
          <w:p>
            <w:r>
              <w:rPr>
                <w:sz w:val="17"/>
              </w:rPr>
              <w:t>32,338</w:t>
            </w:r>
          </w:p>
        </w:tc>
        <w:tc>
          <w:tcPr>
            <w:tcW w:type="dxa" w:w="1440"/>
            <w:shd w:fill="FFDCE0" w:val="clear"/>
          </w:tcPr>
          <w:p>
            <w:r>
              <w:rPr>
                <w:b/>
                <w:color w:val="C00000"/>
                <w:sz w:val="17"/>
              </w:rPr>
              <w:t>-3.1%</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29,189</w:t>
            </w:r>
          </w:p>
        </w:tc>
        <w:tc>
          <w:tcPr>
            <w:tcW w:type="dxa" w:w="1440"/>
            <w:shd w:fill="FFDCE0" w:val="clear"/>
          </w:tcPr>
          <w:p>
            <w:r>
              <w:rPr>
                <w:b/>
                <w:sz w:val="17"/>
              </w:rPr>
              <w:t>31,071</w:t>
            </w:r>
          </w:p>
        </w:tc>
        <w:tc>
          <w:tcPr>
            <w:tcW w:type="dxa" w:w="1440"/>
            <w:shd w:fill="FFDCE0" w:val="clear"/>
          </w:tcPr>
          <w:p>
            <w:r>
              <w:rPr>
                <w:sz w:val="17"/>
              </w:rPr>
              <w:t>32,953</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28,690</w:t>
            </w:r>
          </w:p>
        </w:tc>
        <w:tc>
          <w:tcPr>
            <w:tcW w:type="dxa" w:w="1440"/>
            <w:shd w:fill="FFDCE0" w:val="clear"/>
          </w:tcPr>
          <w:p>
            <w:r>
              <w:rPr>
                <w:b/>
                <w:sz w:val="17"/>
              </w:rPr>
              <w:t>30,988</w:t>
            </w:r>
          </w:p>
        </w:tc>
        <w:tc>
          <w:tcPr>
            <w:tcW w:type="dxa" w:w="1440"/>
            <w:shd w:fill="FFDCE0" w:val="clear"/>
          </w:tcPr>
          <w:p>
            <w:r>
              <w:rPr>
                <w:sz w:val="17"/>
              </w:rPr>
              <w:t>33,286</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28,259</w:t>
            </w:r>
          </w:p>
        </w:tc>
        <w:tc>
          <w:tcPr>
            <w:tcW w:type="dxa" w:w="1440"/>
            <w:shd w:fill="FFDCE0" w:val="clear"/>
          </w:tcPr>
          <w:p>
            <w:r>
              <w:rPr>
                <w:b/>
                <w:sz w:val="17"/>
              </w:rPr>
              <w:t>30,906</w:t>
            </w:r>
          </w:p>
        </w:tc>
        <w:tc>
          <w:tcPr>
            <w:tcW w:type="dxa" w:w="1440"/>
            <w:shd w:fill="FFDCE0" w:val="clear"/>
          </w:tcPr>
          <w:p>
            <w:r>
              <w:rPr>
                <w:sz w:val="17"/>
              </w:rPr>
              <w:t>33,553</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27,890</w:t>
            </w:r>
          </w:p>
        </w:tc>
        <w:tc>
          <w:tcPr>
            <w:tcW w:type="dxa" w:w="1440"/>
            <w:shd w:fill="FFDCE0" w:val="clear"/>
          </w:tcPr>
          <w:p>
            <w:r>
              <w:rPr>
                <w:b/>
                <w:sz w:val="17"/>
              </w:rPr>
              <w:t>30,843</w:t>
            </w:r>
          </w:p>
        </w:tc>
        <w:tc>
          <w:tcPr>
            <w:tcW w:type="dxa" w:w="1440"/>
            <w:shd w:fill="FFDCE0" w:val="clear"/>
          </w:tcPr>
          <w:p>
            <w:r>
              <w:rPr>
                <w:sz w:val="17"/>
              </w:rPr>
              <w:t>33,797</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27,560</w:t>
            </w:r>
          </w:p>
        </w:tc>
        <w:tc>
          <w:tcPr>
            <w:tcW w:type="dxa" w:w="1440"/>
            <w:shd w:fill="FFDCE0" w:val="clear"/>
          </w:tcPr>
          <w:p>
            <w:r>
              <w:rPr>
                <w:b/>
                <w:sz w:val="17"/>
              </w:rPr>
              <w:t>30,789</w:t>
            </w:r>
          </w:p>
        </w:tc>
        <w:tc>
          <w:tcPr>
            <w:tcW w:type="dxa" w:w="1440"/>
            <w:shd w:fill="FFDCE0" w:val="clear"/>
          </w:tcPr>
          <w:p>
            <w:r>
              <w:rPr>
                <w:sz w:val="17"/>
              </w:rPr>
              <w:t>34,019</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27,255</w:t>
            </w:r>
          </w:p>
        </w:tc>
        <w:tc>
          <w:tcPr>
            <w:tcW w:type="dxa" w:w="1440"/>
            <w:shd w:fill="FFDCE0" w:val="clear"/>
          </w:tcPr>
          <w:p>
            <w:r>
              <w:rPr>
                <w:b/>
                <w:sz w:val="17"/>
              </w:rPr>
              <w:t>30,737</w:t>
            </w:r>
          </w:p>
        </w:tc>
        <w:tc>
          <w:tcPr>
            <w:tcW w:type="dxa" w:w="1440"/>
            <w:shd w:fill="FFDCE0" w:val="clear"/>
          </w:tcPr>
          <w:p>
            <w:r>
              <w:rPr>
                <w:sz w:val="17"/>
              </w:rPr>
              <w:t>34,219</w:t>
            </w:r>
          </w:p>
        </w:tc>
        <w:tc>
          <w:tcPr>
            <w:tcW w:type="dxa" w:w="1440"/>
            <w:shd w:fill="FFDCE0" w:val="clear"/>
          </w:tcPr>
          <w:p>
            <w:r>
              <w:rPr>
                <w:b/>
                <w:color w:val="C00000"/>
                <w:sz w:val="17"/>
              </w:rPr>
              <w:t>-3.9%</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26,969</w:t>
            </w:r>
          </w:p>
        </w:tc>
        <w:tc>
          <w:tcPr>
            <w:tcW w:type="dxa" w:w="1440"/>
            <w:shd w:fill="FFDCE0" w:val="clear"/>
          </w:tcPr>
          <w:p>
            <w:r>
              <w:rPr>
                <w:b/>
                <w:sz w:val="17"/>
              </w:rPr>
              <w:t>30,686</w:t>
            </w:r>
          </w:p>
        </w:tc>
        <w:tc>
          <w:tcPr>
            <w:tcW w:type="dxa" w:w="1440"/>
            <w:shd w:fill="FFDCE0" w:val="clear"/>
          </w:tcPr>
          <w:p>
            <w:r>
              <w:rPr>
                <w:sz w:val="17"/>
              </w:rPr>
              <w:t>34,402</w:t>
            </w:r>
          </w:p>
        </w:tc>
        <w:tc>
          <w:tcPr>
            <w:tcW w:type="dxa" w:w="1440"/>
            <w:shd w:fill="FFDCE0" w:val="clear"/>
          </w:tcPr>
          <w:p>
            <w:r>
              <w:rPr>
                <w:b/>
                <w:color w:val="C00000"/>
                <w:sz w:val="17"/>
              </w:rPr>
              <w:t>-4.1%</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26,700</w:t>
            </w:r>
          </w:p>
        </w:tc>
        <w:tc>
          <w:tcPr>
            <w:tcW w:type="dxa" w:w="1440"/>
            <w:shd w:fill="FFDCE0" w:val="clear"/>
          </w:tcPr>
          <w:p>
            <w:r>
              <w:rPr>
                <w:b/>
                <w:sz w:val="17"/>
              </w:rPr>
              <w:t>30,636</w:t>
            </w:r>
          </w:p>
        </w:tc>
        <w:tc>
          <w:tcPr>
            <w:tcW w:type="dxa" w:w="1440"/>
            <w:shd w:fill="FFDCE0" w:val="clear"/>
          </w:tcPr>
          <w:p>
            <w:r>
              <w:rPr>
                <w:sz w:val="17"/>
              </w:rPr>
              <w:t>34,572</w:t>
            </w:r>
          </w:p>
        </w:tc>
        <w:tc>
          <w:tcPr>
            <w:tcW w:type="dxa" w:w="1440"/>
            <w:shd w:fill="FFDCE0" w:val="clear"/>
          </w:tcPr>
          <w:p>
            <w:r>
              <w:rPr>
                <w:b/>
                <w:color w:val="C00000"/>
                <w:sz w:val="17"/>
              </w:rPr>
              <w:t>-4.3%</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26,446</w:t>
            </w:r>
          </w:p>
        </w:tc>
        <w:tc>
          <w:tcPr>
            <w:tcW w:type="dxa" w:w="1440"/>
            <w:shd w:fill="FFDCE0" w:val="clear"/>
          </w:tcPr>
          <w:p>
            <w:r>
              <w:rPr>
                <w:b/>
                <w:sz w:val="17"/>
              </w:rPr>
              <w:t>30,588</w:t>
            </w:r>
          </w:p>
        </w:tc>
        <w:tc>
          <w:tcPr>
            <w:tcW w:type="dxa" w:w="1440"/>
            <w:shd w:fill="FFDCE0" w:val="clear"/>
          </w:tcPr>
          <w:p>
            <w:r>
              <w:rPr>
                <w:sz w:val="17"/>
              </w:rPr>
              <w:t>34,729</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BICC (BICICI)**</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533,33 milliards FCFA, BICC s'impose comme l'une des toutes premières capitalisations de la BRVM, ce qui en fait une valeur incontournable de l'indice BRVM Composite et un pilier du compartiment bancaire régional. Le BPA de 2 191 FCFA/action signifie que chaque titre génère près de 2 200 FCFA de bénéfice net, un niveau élevé qui traduit la forte rentabilité de la banque. Le PER de 14,6x situe le titre légèrement au-dessus de la moyenne historique de la BRVM (8-12x), ce qui indique que les investisseurs acceptent de payer une prime modérée pour la qualité de la signature, sans que cela constitue une bulle spéculative. Le P/B de 4,42x est en revanche nettement supérieur au seuil de 4x, signalant une valorisation exigeante par rapport à la valeur comptable — le marché anticipe donc une poursuite de la création de valeur au-delà des fonds propres. Enfin, l'EV/EBITDA de 10,6x, dans la fourchette 10-15x, confirme une valorisation élevée mais cohérente avec la capacité opérationnelle dégagée, ce qui invite à la prudence sur le potentiel de revalorisation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BICC affiche une performance remarquable de +28,00%, avec une dernière séance en forte hausse de +4,92%, portant le cours à 32 000 FCFA. Le range de trading s'établit entre un plus bas de 24 445 FCFA et un plus haut de 34 000 FCFA, soit une amplitude d'environ 39%, témoignant d'une tendance clairement haussière soutenue par un volume moyen quotidien de 694 titres. La moyenne (28 919 FCFA) est légèrement supérieure à la médiane (28 840 FCFA), tandis que le mode se situe à 29 000 FCFA : cet écart minime entre moyenne et médiane indique une distribution quasi symétrique, bien que le skewness positif de 0,582 révèle une asymétrie à droite — davantage de journées se sont négociées sous la moyenne, avec quelques séances de forte hausse qui tirent la moyenne vers le haut. L'écart-type de 1 886 FCFA (CV = 6,5%) traduit une dispersion modérée du cours autour de sa moyenne, ce qui est rassurant pour un titre ayant progressé de 28% en 100 jours. Le kurtosis de 0,901 (mésokurtique, proche d'une distribution normale) suggère un risque de pics de volatilité limité, sans queues épaisses marquées. Avec une volatilité annualisée de 30,7%, le titre se situe à la frontière d'une volatilité modérée à élevée (seuil &gt;30%), ce qui implique une prime de risque à intégrer dans toute décision d'investissement.</w:t>
      </w:r>
    </w:p>
    <w:p>
      <w:pPr>
        <w:spacing w:after="120" w:line="276" w:lineRule="auto"/>
      </w:pPr>
      <w:r>
        <w:t>---</w:t>
      </w:r>
    </w:p>
    <w:p>
      <w:pPr>
        <w:spacing w:after="120" w:line="276" w:lineRule="auto"/>
      </w:pPr>
      <w:r>
        <w:t>### PARTIE 2 : ANALYSE TECHNIQUE DÉTAILLÉE</w:t>
      </w:r>
    </w:p>
    <w:p>
      <w:pPr>
        <w:spacing w:after="120" w:line="276" w:lineRule="auto"/>
      </w:pPr>
      <w:r>
        <w:t>**Moyennes Mobiles** : La MM20 (31 847,75 FCFA) et la MM50 (30 006,80 FCFA) se situent toutes deux sous le cours actuel de 32 000 FCFA, avec la MM20 au-dessus de la MM50 — configuration classique de tendance haussière (croisement doré). Le signal d'achat est confirmé par le fait que le cours évolue au-dessus de ses deux moyennes, bien que la proximité avec la MM20 (écart de seulement 0,5%) suggère une possible zone de consolidation.</w:t>
      </w:r>
    </w:p>
    <w:p>
      <w:pPr>
        <w:spacing w:after="120" w:line="276" w:lineRule="auto"/>
      </w:pPr>
      <w:r>
        <w:t>**Bandes de Bollinger** : Le cours (32 000 FCFA) évolue dans la partie haute de la bande, entre la borne inférieure (29 135 FCFA) et la borne supérieure (34 560 FCFA), sans en toucher les extrémités. Cette position médiane-haute, couplée à un rétrécissement relatif des bandes, indique une volatilité contenue et un signal neutre — le titre n'est ni en surachat technique, ni en survente, ce qui laisse place à une poursuite de la tendance sans excès.</w:t>
      </w:r>
    </w:p>
    <w:p>
      <w:pPr>
        <w:spacing w:after="120" w:line="276" w:lineRule="auto"/>
      </w:pPr>
      <w:r>
        <w:t>**MACD** : La valeur du MACD (284,063) est nettement inférieure à son signal (537,711), générant un signal de vente. Cette divergence négative indique un essoufflement du momentum haussier malgré la progression récente du cours, ce qui constitue un point de vigilance : la dynamique de court terme perd de sa vigueur et un repli technique pourrait survenir.</w:t>
      </w:r>
    </w:p>
    <w:p>
      <w:pPr>
        <w:spacing w:after="120" w:line="276" w:lineRule="auto"/>
      </w:pPr>
      <w:r>
        <w:t>**RSI** : À 40,804, le RSI se situe dans la zone neutre (30-70), plus proche de la borne basse que de la borne haute, sans atteindre la zone de survente (&lt;30). Cette configuration suggère que le titre dispose encore d'un potentiel de hausse sans être suracheté, mais la faiblesse relative du RSI par rapport à la progression du cours peut signaler une divergence baissière naissante.</w:t>
      </w:r>
    </w:p>
    <w:p>
      <w:pPr>
        <w:spacing w:after="120" w:line="276" w:lineRule="auto"/>
      </w:pPr>
      <w:r>
        <w:t>**Stochastique** : Le %K (52,996) est supérieur au %D (23,58), ce qui constitue un croisement haussier récent — le %K vient de franchir son signal à la hausse. Cette configuration est généralement interprétée comme un signal d'achat à court terme, bien que le niveau absolu des deux indicateurs reste modéré, ce qui confirme un potentiel de rebond sans excès.</w:t>
      </w:r>
    </w:p>
    <w:p>
      <w:pPr>
        <w:spacing w:after="120" w:line="276" w:lineRule="auto"/>
      </w:pPr>
      <w:r>
        <w:t>**Conclusion technique** : Les indicateurs présentent une configuration mitigée mais globalement constructive. Les moyennes mobiles et le stochastique plaident pour un maintien de la tendance haussière, tandis que le MACD en signal de vente et le RSI neutre-bas invitent à la prudence sur le momentum. La convergence entre la position du cours dans les bandes de Bollinger (neutre) et le croisement haussier du stochastique suggère un scénario de consolidation avant une éventuelle reprise, avec un support technique majeur à 31 847 FCFA (MM20) et une résistance à 34 560 FCFA (borne supérieure de Bollinger).</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BICC affiche un Produit Net Bancaire (PNB) de 79,563 milliards FCFA, un résultat net de 36,520 milliards FCFA, un ROE exceptionnel de 30,29% (largement supérieur au seuil de 15% considéré comme excellent) et un ROA de 3,24%. Le coefficient d'exploitation s'établit à 50,83%, sous le seuil de 60% qui définit une banque efficace, et même proche du niveau d'excellence (&lt;50%). Le coût du risque, mesuré par le ratio provisions/charges financières, ressort à -12,15%, un niveau élevé qui traduit un risque de crédit significatif à surveiller. La structure financière montre une autonomie financière de 10,71% (capitaux propres/total bilan), inférieure au seuil de 30% considéré comme sain, mais typique du modèle bancaire où les dépôts clientèle (952,872 milliards FCFA) constituent la principale ressource. Le ratio de couverture des intérêts de 329,33% et la capacité de remboursement de 0,40 an (dettes financières/CAF) témoignent d'une excellente solvabilité et d'une faible dépendance à l'endettement financier.</w:t>
      </w:r>
    </w:p>
    <w:p>
      <w:pPr>
        <w:spacing w:after="120" w:line="276" w:lineRule="auto"/>
      </w:pPr>
      <w:r>
        <w:t>**Estimations basées sur les rapports trimestriels** : Le rapport du T1 2026 (publié le 31 mars 2026) révèle un PNB de 21 214 millions FCFA, en hausse de +17,01% sur un an, et un résultat net de 10 387 millions FCFA, en progression de +29,66%. La marge nette s'améliore à 49,0% (contre 44,2% au T1 2025), confirmant la tendance à l'excellence opérationnelle. Le rapport du T3 2025 (30 septembre 2025) affichait un PNB cumulé de 58 119 millions FCFA (+16,4%) et un résultat net de 27 402 millions FCFA (+50,8%), avec une marge nette de 47,1%. Sur la base de ces tendances, on peut estimer que l'exercice 2026 devrait enregistrer une croissance du PNB de l'ordre de 15-17% et une progression du résultat net de 25-30%, portant le BPA au-delà de 2 500 FCFA. Le rapport du S1 2025 (30 juin 2025) confirmait déjà cette dynamique avec un PNB de 37 146 millions FCFA (+16,6%) et un résultat net de 16 253 millions FCFA (+42,5%), ainsi qu'une réduction significative du coût du risque (-72,8%). Le principal point de vigilance réside dans la contraction des encours de crédits nets (-4,47% au T1 2026, -3,6% au T3 2025), compensée par une forte collecte de dépôts (+14,46% au T1 2026, +22,5% au T3 2025) — cette asymétrie pourrait peser sur la marge d'intermédiation future si elle se prolongeait. La recommandation fondamentale est positive : la solidité du modèle, la rentabilité exceptionnelle et la maîtrise des coûts justifient une opinion favorable, avec un risque modéré lié à la qualité du portefeuille de crédits et à l'environnement macroéconomique de l'UEMOA.</w:t>
      </w:r>
    </w:p>
    <w:p>
      <w:pPr>
        <w:spacing w:after="120" w:line="276" w:lineRule="auto"/>
      </w:pPr>
      <w:r>
        <w:t>---</w:t>
      </w:r>
    </w:p>
    <w:p>
      <w:pPr>
        <w:spacing w:after="120" w:line="276" w:lineRule="auto"/>
      </w:pPr>
      <w:r>
        <w:t>### PARTIE 4 : CONCLUSION D'INVESTISSEMENT</w:t>
      </w:r>
    </w:p>
    <w:p>
      <w:pPr>
        <w:spacing w:after="120" w:line="276" w:lineRule="auto"/>
      </w:pPr>
      <w:r>
        <w:t>La valorisation de BICC (Partie 0) présente un profil contrasté : le PER de 14,6x est modéré mais supérieur à la moyenne BRVM, tandis que le P/B de 4,42x et l'EV/EBITDA de 10,6x traduisent une prime exigeante qui limite le potentiel de revalorisation à court terme. Le comportement du cours (Partie 1) est nettement haussier (+28% sur 100 jours), avec une volatilité annualisée de 30,7% à la frontière du seuil élevé, un skewness positif et un kurtosis proche de la normale — des statistiques qui indiquent une tendance favorable mais avec un risque de correction après la forte progression récente. Les signaux techniques (Partie 2) sont mitigés : les moyennes mobiles et le stochastique soutiennent la tendance, mais le MACD en signal de vente et le RSI neutre-bas suggèrent un essoufflement du momentum, plaidant pour une consolidation avant une nouvelle impulsion. Les fondamentaux (Partie 3) demeurent excellents : ROE de 30,29%, coefficient d'exploitation de 50,83%, croissance du PNB de +17% au T1 2026 et du résultat net de +29,7%, avec une marge nette en amélioration à 49% — la banque affiche une qualité de gestion remarquable, bien que la contraction des crédits et le coût du risque élevé constituent des points de vigilance. Les prédictions IA (J+1 à J+10) anticipent une légère correction vers 30 843-31 071 FCFA, ce qui contredit la dynamique haussière récente mais s'aligne sur le signal de vente du MACD et la nécessité d'une consolidation technique. **Recommandation finale : CONSERVER**, avec un niveau de confiance Moyen et un risque global Moyen. La convergence entre des fondamentaux solides (qui justifient une exposition de long terme) et des signaux techniques de court terme mitigés (MACD vendeur, prédictions baissières) ne plaide pas pour un achat agressif aux niveaux actuels, mais la qualité de la signature et la croissance bénéficiaire soutiennent une position conservée. L'horizon d'investissement optimal est le **moyen terme (3-12 mois)**, en attendant une consolidation vers la zone de support de 30 000-31 000 FCFA qui offrirait un point d'entrée plus favorable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13.31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2,972 titres</w:t>
            </w:r>
          </w:p>
        </w:tc>
        <w:tc>
          <w:tcPr>
            <w:tcW w:type="dxa" w:w="2268"/>
            <w:shd w:fill="FFF2CC" w:val="clear"/>
          </w:tcPr>
          <w:p>
            <w:r>
              <w:rPr>
                <w:b/>
                <w:color w:val="503200"/>
                <w:sz w:val="16"/>
              </w:rPr>
              <w:t xml:space="preserve">Cours actuel : </w:t>
            </w:r>
            <w:r>
              <w:rPr>
                <w:color w:val="000000"/>
                <w:sz w:val="17"/>
              </w:rPr>
              <w:t>2,010 FCFA</w:t>
            </w:r>
          </w:p>
          <w:p>
            <w:r>
              <w:rPr>
                <w:b/>
                <w:color w:val="503200"/>
                <w:sz w:val="16"/>
              </w:rPr>
              <w:t xml:space="preserve">Var. 100 jours : </w:t>
            </w:r>
            <w:r>
              <w:rPr>
                <w:b/>
                <w:color w:val="007800"/>
                <w:sz w:val="17"/>
              </w:rPr>
              <w:t>+38.62%</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12.54% (Moyenne) — μ=1,885 FCFA, σ=236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β=0.4584 (Défensif) — Cov=0.000032, Var(idx)=0.000069, ρ=0.112,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2,972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σ_j=3.40%/j (Modérée) — Vol. annualisée≈53.9%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1,849</w:t>
            </w:r>
          </w:p>
        </w:tc>
        <w:tc>
          <w:tcPr>
            <w:tcW w:type="dxa" w:w="1440"/>
            <w:shd w:fill="FFDCE0" w:val="clear"/>
          </w:tcPr>
          <w:p>
            <w:r>
              <w:rPr>
                <w:b/>
                <w:sz w:val="17"/>
              </w:rPr>
              <w:t>1,969</w:t>
            </w:r>
          </w:p>
        </w:tc>
        <w:tc>
          <w:tcPr>
            <w:tcW w:type="dxa" w:w="1440"/>
            <w:shd w:fill="FFDCE0" w:val="clear"/>
          </w:tcPr>
          <w:p>
            <w:r>
              <w:rPr>
                <w:sz w:val="17"/>
              </w:rPr>
              <w:t>2,090</w:t>
            </w:r>
          </w:p>
        </w:tc>
        <w:tc>
          <w:tcPr>
            <w:tcW w:type="dxa" w:w="1440"/>
            <w:shd w:fill="FFDCE0" w:val="clear"/>
          </w:tcPr>
          <w:p>
            <w:r>
              <w:rPr>
                <w:b/>
                <w:color w:val="C00000"/>
                <w:sz w:val="17"/>
              </w:rPr>
              <w:t>-2.0%</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1,800</w:t>
            </w:r>
          </w:p>
        </w:tc>
        <w:tc>
          <w:tcPr>
            <w:tcW w:type="dxa" w:w="1440"/>
            <w:shd w:fill="FAFAFA" w:val="clear"/>
          </w:tcPr>
          <w:p>
            <w:r>
              <w:rPr>
                <w:b/>
                <w:sz w:val="17"/>
              </w:rPr>
              <w:t>1,970</w:t>
            </w:r>
          </w:p>
        </w:tc>
        <w:tc>
          <w:tcPr>
            <w:tcW w:type="dxa" w:w="1440"/>
            <w:shd w:fill="FAFAFA" w:val="clear"/>
          </w:tcPr>
          <w:p>
            <w:r>
              <w:rPr>
                <w:sz w:val="17"/>
              </w:rPr>
              <w:t>2,141</w:t>
            </w:r>
          </w:p>
        </w:tc>
        <w:tc>
          <w:tcPr>
            <w:tcW w:type="dxa" w:w="1440"/>
            <w:shd w:fill="FAFAFA" w:val="clear"/>
          </w:tcPr>
          <w:p>
            <w:r>
              <w:rPr>
                <w:b/>
                <w:color w:val="C00000"/>
                <w:sz w:val="17"/>
              </w:rPr>
              <w:t>-2.0%</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1,752</w:t>
            </w:r>
          </w:p>
        </w:tc>
        <w:tc>
          <w:tcPr>
            <w:tcW w:type="dxa" w:w="1440"/>
            <w:shd w:fill="FFDCE0" w:val="clear"/>
          </w:tcPr>
          <w:p>
            <w:r>
              <w:rPr>
                <w:b/>
                <w:sz w:val="17"/>
              </w:rPr>
              <w:t>1,959</w:t>
            </w:r>
          </w:p>
        </w:tc>
        <w:tc>
          <w:tcPr>
            <w:tcW w:type="dxa" w:w="1440"/>
            <w:shd w:fill="FFDCE0" w:val="clear"/>
          </w:tcPr>
          <w:p>
            <w:r>
              <w:rPr>
                <w:sz w:val="17"/>
              </w:rPr>
              <w:t>2,167</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1,710</w:t>
            </w:r>
          </w:p>
        </w:tc>
        <w:tc>
          <w:tcPr>
            <w:tcW w:type="dxa" w:w="1440"/>
            <w:shd w:fill="FFDCE0" w:val="clear"/>
          </w:tcPr>
          <w:p>
            <w:r>
              <w:rPr>
                <w:b/>
                <w:sz w:val="17"/>
              </w:rPr>
              <w:t>1,949</w:t>
            </w:r>
          </w:p>
        </w:tc>
        <w:tc>
          <w:tcPr>
            <w:tcW w:type="dxa" w:w="1440"/>
            <w:shd w:fill="FFDCE0" w:val="clear"/>
          </w:tcPr>
          <w:p>
            <w:r>
              <w:rPr>
                <w:sz w:val="17"/>
              </w:rPr>
              <w:t>2,187</w:t>
            </w:r>
          </w:p>
        </w:tc>
        <w:tc>
          <w:tcPr>
            <w:tcW w:type="dxa" w:w="1440"/>
            <w:shd w:fill="FFDCE0" w:val="clear"/>
          </w:tcPr>
          <w:p>
            <w:r>
              <w:rPr>
                <w:b/>
                <w:color w:val="C00000"/>
                <w:sz w:val="17"/>
              </w:rPr>
              <w:t>-3.1%</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1,674</w:t>
            </w:r>
          </w:p>
        </w:tc>
        <w:tc>
          <w:tcPr>
            <w:tcW w:type="dxa" w:w="1440"/>
            <w:shd w:fill="FFDCE0" w:val="clear"/>
          </w:tcPr>
          <w:p>
            <w:r>
              <w:rPr>
                <w:b/>
                <w:sz w:val="17"/>
              </w:rPr>
              <w:t>1,939</w:t>
            </w:r>
          </w:p>
        </w:tc>
        <w:tc>
          <w:tcPr>
            <w:tcW w:type="dxa" w:w="1440"/>
            <w:shd w:fill="FFDCE0" w:val="clear"/>
          </w:tcPr>
          <w:p>
            <w:r>
              <w:rPr>
                <w:sz w:val="17"/>
              </w:rPr>
              <w:t>2,205</w:t>
            </w:r>
          </w:p>
        </w:tc>
        <w:tc>
          <w:tcPr>
            <w:tcW w:type="dxa" w:w="1440"/>
            <w:shd w:fill="FFDCE0" w:val="clear"/>
          </w:tcPr>
          <w:p>
            <w:r>
              <w:rPr>
                <w:b/>
                <w:color w:val="C00000"/>
                <w:sz w:val="17"/>
              </w:rPr>
              <w:t>-3.5%</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1,641</w:t>
            </w:r>
          </w:p>
        </w:tc>
        <w:tc>
          <w:tcPr>
            <w:tcW w:type="dxa" w:w="1440"/>
            <w:shd w:fill="FFDCE0" w:val="clear"/>
          </w:tcPr>
          <w:p>
            <w:r>
              <w:rPr>
                <w:b/>
                <w:sz w:val="17"/>
              </w:rPr>
              <w:t>1,931</w:t>
            </w:r>
          </w:p>
        </w:tc>
        <w:tc>
          <w:tcPr>
            <w:tcW w:type="dxa" w:w="1440"/>
            <w:shd w:fill="FFDCE0" w:val="clear"/>
          </w:tcPr>
          <w:p>
            <w:r>
              <w:rPr>
                <w:sz w:val="17"/>
              </w:rPr>
              <w:t>2,220</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1,611</w:t>
            </w:r>
          </w:p>
        </w:tc>
        <w:tc>
          <w:tcPr>
            <w:tcW w:type="dxa" w:w="1440"/>
            <w:shd w:fill="FFDCE0" w:val="clear"/>
          </w:tcPr>
          <w:p>
            <w:r>
              <w:rPr>
                <w:b/>
                <w:sz w:val="17"/>
              </w:rPr>
              <w:t>1,923</w:t>
            </w:r>
          </w:p>
        </w:tc>
        <w:tc>
          <w:tcPr>
            <w:tcW w:type="dxa" w:w="1440"/>
            <w:shd w:fill="FFDCE0" w:val="clear"/>
          </w:tcPr>
          <w:p>
            <w:r>
              <w:rPr>
                <w:sz w:val="17"/>
              </w:rPr>
              <w:t>2,234</w:t>
            </w:r>
          </w:p>
        </w:tc>
        <w:tc>
          <w:tcPr>
            <w:tcW w:type="dxa" w:w="1440"/>
            <w:shd w:fill="FFDCE0" w:val="clear"/>
          </w:tcPr>
          <w:p>
            <w:r>
              <w:rPr>
                <w:b/>
                <w:color w:val="C00000"/>
                <w:sz w:val="17"/>
              </w:rPr>
              <w:t>-4.3%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1,584</w:t>
            </w:r>
          </w:p>
        </w:tc>
        <w:tc>
          <w:tcPr>
            <w:tcW w:type="dxa" w:w="1440"/>
            <w:shd w:fill="FFDCE0" w:val="clear"/>
          </w:tcPr>
          <w:p>
            <w:r>
              <w:rPr>
                <w:b/>
                <w:sz w:val="17"/>
              </w:rPr>
              <w:t>1,915</w:t>
            </w:r>
          </w:p>
        </w:tc>
        <w:tc>
          <w:tcPr>
            <w:tcW w:type="dxa" w:w="1440"/>
            <w:shd w:fill="FFDCE0" w:val="clear"/>
          </w:tcPr>
          <w:p>
            <w:r>
              <w:rPr>
                <w:sz w:val="17"/>
              </w:rPr>
              <w:t>2,247</w:t>
            </w:r>
          </w:p>
        </w:tc>
        <w:tc>
          <w:tcPr>
            <w:tcW w:type="dxa" w:w="1440"/>
            <w:shd w:fill="FFDCE0" w:val="clear"/>
          </w:tcPr>
          <w:p>
            <w:r>
              <w:rPr>
                <w:b/>
                <w:color w:val="C00000"/>
                <w:sz w:val="17"/>
              </w:rPr>
              <w:t>-4.7%</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1,557</w:t>
            </w:r>
          </w:p>
        </w:tc>
        <w:tc>
          <w:tcPr>
            <w:tcW w:type="dxa" w:w="1440"/>
            <w:shd w:fill="FFDCE0" w:val="clear"/>
          </w:tcPr>
          <w:p>
            <w:r>
              <w:rPr>
                <w:b/>
                <w:sz w:val="17"/>
              </w:rPr>
              <w:t>1,908</w:t>
            </w:r>
          </w:p>
        </w:tc>
        <w:tc>
          <w:tcPr>
            <w:tcW w:type="dxa" w:w="1440"/>
            <w:shd w:fill="FFDCE0" w:val="clear"/>
          </w:tcPr>
          <w:p>
            <w:r>
              <w:rPr>
                <w:sz w:val="17"/>
              </w:rPr>
              <w:t>2,258</w:t>
            </w:r>
          </w:p>
        </w:tc>
        <w:tc>
          <w:tcPr>
            <w:tcW w:type="dxa" w:w="1440"/>
            <w:shd w:fill="FFDCE0" w:val="clear"/>
          </w:tcPr>
          <w:p>
            <w:r>
              <w:rPr>
                <w:b/>
                <w:color w:val="C00000"/>
                <w:sz w:val="17"/>
              </w:rPr>
              <w:t>-5.1%</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1,533</w:t>
            </w:r>
          </w:p>
        </w:tc>
        <w:tc>
          <w:tcPr>
            <w:tcW w:type="dxa" w:w="1440"/>
            <w:shd w:fill="FFDCE0" w:val="clear"/>
          </w:tcPr>
          <w:p>
            <w:r>
              <w:rPr>
                <w:b/>
                <w:sz w:val="17"/>
              </w:rPr>
              <w:t>1,901</w:t>
            </w:r>
          </w:p>
        </w:tc>
        <w:tc>
          <w:tcPr>
            <w:tcW w:type="dxa" w:w="1440"/>
            <w:shd w:fill="FFDCE0" w:val="clear"/>
          </w:tcPr>
          <w:p>
            <w:r>
              <w:rPr>
                <w:sz w:val="17"/>
              </w:rPr>
              <w:t>2,269</w:t>
            </w:r>
          </w:p>
        </w:tc>
        <w:tc>
          <w:tcPr>
            <w:tcW w:type="dxa" w:w="1440"/>
            <w:shd w:fill="FFDCE0" w:val="clear"/>
          </w:tcPr>
          <w:p>
            <w:r>
              <w:rPr>
                <w:b/>
                <w:color w:val="C00000"/>
                <w:sz w:val="17"/>
              </w:rPr>
              <w:t>-5.4%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ACTION BNBC (BERNABÉ CÔTE D'IVOIRE)**</w:t>
        <w:br/>
        <w:t>**Bourse Régionale des Valeurs Mobilières (BRVM) — Secteur : Distribution de matériaux de construction / Équipement**</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13,31 milliards FCFA, BNBC se situe dans la catégorie des petites capitalisations de la BRVM, ce qui implique une liquidité limitée et une sensibilité accrue aux mouvements de portefeuille. Le BPA de 3 FCFA/action traduit une rentabilité par titre quasi-symbolique, cohérente avec un résultat net 2025 de seulement 22,3 millions FCFA. Le PER de 596,6x est totalement déconnecté des standards du marché (PER BRVM moyen ~8-12x) : les investisseurs paient environ 600 fois les bénéfices, ce qui signale soit une anticipation de retournement majeur, soit une bulle spéculative sur un titre à fondamentaux dégradés. À l'inverse, le P/B de 0,75x indique que le marché valorise l'entreprise à 25% en dessous de sa valeur comptable (capitaux propres de 17,77 Mds FCFA), ce qui constitue une opportunité théorique mais qui doit être pondérée par la faible qualité des actifs (stocks élevés, créances douteuses). Enfin, l'EV/EBITDA de 24,3x, très supérieur au seuil de 15x, confirme que la valeur d'entreprise intègre une prime spéculative que la capacité opérationnelle actuelle (EBE de 2,01 Mds FCFA) ne justifie pas.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BNBC affiche une progression spectaculaire de +38,62%, avec une dernière séance en hausse de +6,35%, portant le cours à 2 010 FCFA. Le titre a évolué dans un range très large de 1 300 FCFA (plus bas) à 2 400 FCFA (plus haut), soit une amplitude de 84,6%, révélant une tendance haussière forte mais ponctuée de corrections violentes. La moyenne (1 885 FCFA) est inférieure à la médiane (1 955 FCFA), ce qui indique une asymétrie négative : les journées de forte baisse tirent la moyenne vers le bas, tandis que le mode à 1 990 FCFA suggère une concentration des échanges autour de ce niveau. L'écart-type de 238 FCFA (CV = 12,6%) traduit une dispersion modérée du cours, mais la volatilité annualisée de 53,9% classe le titre dans la catégorie des valeurs très volatiles (&gt;30%), ce qui est caractéristique des petites capitalisations spéculatives. Le kurtosis de -0,049 (mésokurtique) indique une distribution proche de la normale, sans risque extrême de pics, tandis que le skewness de -0,541 (asymétrie négative) confirme que les rendements négatifs sont plus fréquents mais de moindre amplitude que les hausses. Cette configuration statistique suggère un titre porté par un momentum haussier fragile, avec un risque de correction brutale si les fondamentaux ne suivent pas.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(2 113,5 FCFA) est supérieure à la MM50 (2 031,9 FCFA), et le cours actuel (2 010 FCFA) se situe légèrement en dessous de ces deux moyennes. Cette configuration indique une tendance haussière de fond (MM20 &gt; MM50) mais un essoufflement à court terme, le cours ayant cassé à la baisse sa moyenne court terme. La décision "Achat" fournie par le système est à nuancer : elle repose sur le croisement haussier des moyennes, mais la position du cours sous la MM20 appelle à la prudence.</w:t>
      </w:r>
    </w:p>
    <w:p>
      <w:pPr>
        <w:spacing w:after="120" w:line="276" w:lineRule="auto"/>
      </w:pPr>
      <w:r>
        <w:t>**Bandes de Bollinger** : La borne supérieure est à 2 401,18 FCFA et la borne inférieure à 1 825,82 FCFA, avec un cours actuel de 2 010 FCFA. Le cours se situe dans la moitié inférieure de la bande, à environ 34% de la largeur totale, ce qui traduit une pression baissière récente. La largeur des bandes (575 FCFA) reflète une volatilité élevée. La décision "Neutre" est cohérente : le cours n'est ni en surachat (proche borne supérieure) ni en survente (proche borne inférieure), mais sa position médiane-basse suggère une absence de signal directionnel fort.</w:t>
      </w:r>
    </w:p>
    <w:p>
      <w:pPr>
        <w:spacing w:after="120" w:line="276" w:lineRule="auto"/>
      </w:pPr>
      <w:r>
        <w:t>**MACD** : La valeur du MACD (-33,897) est très inférieure à son signal (-1,698), et les deux sont en territoire négatif. Cette divergence baissière indique un momentum négatif persistant, avec une accélération de la pression vendeuse. La décision "Vente" est justifiée : le MACD sous son signal et sous zéro est un signal baissier classique, confirmant l'affaiblissement de la tendance haussière.</w:t>
      </w:r>
    </w:p>
    <w:p>
      <w:pPr>
        <w:spacing w:after="120" w:line="276" w:lineRule="auto"/>
      </w:pPr>
      <w:r>
        <w:t>**RSI** : À 44,693, le RSI se situe en zone neutre (30-70), sans signal de surachat ni de survente. Cette valeur médiane indique un équilibre entre acheteurs et vendeurs, mais la légère tendance baissière (RSI sous 50) suggère une perte de momentum. La décision "Neutre" est appropriée : le RSI ne fournit pas de signal directionnel fort, mais sa position sous 50 penche légèrement en faveur des vendeurs.</w:t>
      </w:r>
    </w:p>
    <w:p>
      <w:pPr>
        <w:spacing w:after="120" w:line="276" w:lineRule="auto"/>
      </w:pPr>
      <w:r>
        <w:t>**Stochastique** : Le %K (29,63) est supérieur au %D (9,877), et les deux se situent en zone de survente (&lt;20 pour le %D). Cette configuration indique que le cours est proche de son plus bas récent, avec un potentiel rebond technique à court terme. La décision "Neutre" est cohérente : bien que le %D soit en survente, le croisement %K &gt; %D pourrait signaler un début de retournement haussier, mais la faiblesse du %K (sous 30) maintient une incertitude.</w:t>
      </w:r>
    </w:p>
    <w:p>
      <w:pPr>
        <w:spacing w:after="120" w:line="276" w:lineRule="auto"/>
      </w:pPr>
      <w:r>
        <w:t>**Conclusion technique** : Les indicateurs techniques sont majoritairement baissiers (MACD en vente, cours sous les moyennes mobiles, RSI sous 50), mais le stochastique en zone de survente suggère un possible rebond à court terme. La divergence entre la décision "Achat" des moyennes mobiles (basée sur le croisement MM20/MM50) et les signaux baissiers du MACD et du RSI crée une incertitude directionnelle. Le titre se trouve dans une phase de consolidation baissière au sein d'une tendance haussière plus large, avec un risque de correction vers la borne inférieure des bandes de Bollinger (1 825 FCFA) si le support des 2 000 FCFA ne tient pas.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BNBC a réalisé un chiffre d'affaires de 42,454 milliards FCFA, en baisse de 6,31% par rapport à 2024 (45,312 milliards FCFA), confirmant une contraction de l'activité commerciale. Le résultat net s'établit à 22,318 millions FCFA, en amélioration par rapport aux 7,313 millions de 2024, mais la marge nette reste quasi-nulle à 0,0526%, et le ROE est catastrophique à 0,1256% (très loin du seuil de 15% considéré comme excellent). Le ROA de 0,0454% traduit une incapacité structurelle à générer des profits sur les actifs. La trésorerie nette est fortement négative à -16,689 milliards FCFA, et le BFR de 29,373 milliards FCFA (bien que qualifié de "négatif = favorable" dans les données, il représente ici un besoin de financement massif) pèse lourdement sur la liquidité. Les délais clients (104,40 jours) et de stockage (339,23 jours) sont très élevés, immobilisant le capital et créant un risque de trésorerie majeur. L'endettement est préoccupant : ratio d'endettement de 105,48%, dépendance financière de 63,84%, et capacité de remboursement de 19,17 années de CAF. La couverture des intérêts (101,74%) est tout juste suffisante pour payer les charges financières, sans marge de sécurité.</w:t>
      </w:r>
    </w:p>
    <w:p>
      <w:pPr>
        <w:spacing w:after="120" w:line="276" w:lineRule="auto"/>
      </w:pPr>
      <w:r>
        <w:t>**Adaptation au secteur (ENTREPRISE)** : BNBC opère dans la distribution de matériaux de construction, un secteur à forte intensité capitalistique et sensible aux cycles économiques. La rotation des actifs de 86,39% est correcte, mais la marge brute de 4,73% est très faible, reflétant une pression concurrentielle intense et une politique d'"investissement en marge" pour maintenir les parts de marché. Le coefficient d'exploitation de 14,26% est anormalement bas, ce qui suggère que les charges d'exploitation sont sous-évaluées ou que la structure de coûts est mal reflétée.</w:t>
      </w:r>
    </w:p>
    <w:p>
      <w:pPr>
        <w:spacing w:after="120" w:line="276" w:lineRule="auto"/>
      </w:pPr>
      <w:r>
        <w:t>**Estimations basées sur les rapports trimestriels** : Le rapport du T1 2026 (publié le 30 juin 2026) indique un chiffre d'affaires stable à 11,194 milliards FCFA (-0,12% vs T1 2025) et un résultat net positif de 65,566 millions FCFA, contre une perte de 16,147 millions au T1 2025. Cette amélioration spectaculaire (+506%) est toutefois à nuancer : elle est principalement due à l'intégration de la division Équipement (en phase de démarrage) et à la non-reconduction d'affaires exceptionnelles en 2025. Le rapport du T3 2025 (30 septembre 2025) faisait état d'une perte nette cumulée de -157,03 millions FCFA sur 9 mois, avec un chiffre d'affaires en recul de 3% à 31,83 milliards FCFA. Le rapport du S1 2025 (30 juin 2025) montrait une perte de -139,57 millions FCFA, malgré une croissance de 3% du CA à 21,67 milliards FCFA. **On estime donc que l'exercice 2026 pourrait être marqué par un retour à l'équilibre si la division Équipement monte en puissance, mais les pertes cumulées de 2025 et la trésorerie négative persistante rendent cet objectif très incertain.**</w:t>
      </w:r>
    </w:p>
    <w:p>
      <w:pPr>
        <w:spacing w:after="120" w:line="276" w:lineRule="auto"/>
      </w:pPr>
      <w:r>
        <w:t>**Évolution pluriannuelle** : Les états financiers 2024 (publiés le 31 décembre 2024) montraient déjà un résultat net de 7,313 millions FCFA, en chute de 79,45% par rapport à 2023 (35,581 millions FCFA), avec une explosion des frais financiers (+62,4%). La tendance est donc à une dégradation continue de la rentabilité depuis 2023, malgré des capitaux propres solides (17,77 Mds FCFA) et une autonomie financière correcte (36,16%). **Conclusion fondamentale** : BNBC présente une situation financière critique, avec une rentabilité anémique, une trésorerie négative massive, un endettement élevé et une activité en contraction. Les perspectives de retournement reposent sur des divisions en phase de démarrage et des affaires exceptionnelles non récurrentes. La recommandation fondamentale est **VENTE**, avec un risque de perte en capital élevé.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majeure entre la valorisation, le comportement du cours, les signaux techniques et les fondamentaux. **Valorisation (Partie 0)** : Le PER de 596,6x et l'EV/EBITDA de 24,3x indiquent une surévaluation spéculative, bien que le P/B de 0,75x suggère une sous-évaluation comptable théorique, mais celle-ci est trompeuse compte tenu de la faible qualité des actifs. **Comportement du cours (Partie 1)** : La hausse de +38,62% sur 100 jours et la volatilité de 53,9% traduisent un momentum haussier fragile, avec une asymétrie négative (skewness -0,541) qui prévient de corrections brutales. **Signaux techniques (Partie 2)** : Les indicateurs sont majoritairement baissiers (MACD en vente, cours sous les MM20/MM50, RSI sous 50), avec un stochastique en survente qui pourrait offrir un rebond technique éphémère. **Fondamentaux (Partie 3)** : La situation est critique (marge nette de 0,05%, trésorerie négative de -16,69 Mds FCFA, endettement de 105%), et les estimations basées sur le T1 2026 (résultat net positif de 65,6 millions FCFA) restent fragiles car dépendantes de facteurs non récurrents. **Prédictions IA (J+1 à J+10)** : La trajectoire prédite (1 969 → 1 939 FCFA) confirme la tendance baissière à court terme, avec une perte attendue de -3,5% sur 10 jours.</w:t>
      </w:r>
    </w:p>
    <w:p>
      <w:pPr>
        <w:spacing w:after="120" w:line="276" w:lineRule="auto"/>
      </w:pPr>
      <w:r>
        <w:t>**Recommandation finale : VENTE** — La convergence des signaux baissiers (technique, fondamental, prédiction IA) et la surévaluation spéculative (PER 596x) l'emportent sur le P/B attractif et le rebond technique potentiel. Le niveau de confiance est **Élevé** (les fondamentaux dégradés et la trésorerie négative sont des faits objectifs), et le niveau de risque est **Élevé** (petite capitalisation, volatilité 53,9%, liquidité limitée). L'horizon d'investissement optimal est **court terme (&lt;3 mois)** pour les traders cherchant à profiter de la volatilité, mais **à éviter** pour les investisseurs long terme en raison de l'absence de dividende et de la fragilité structurelle. Une position **VENTE FORTE** serait justifiée si le cours casse le support des 2 000 FCFA, avec un objectif de 1 825 FCFA (borne inférieure des bandes de Bollinger).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363.02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5,685 titres</w:t>
            </w:r>
          </w:p>
        </w:tc>
        <w:tc>
          <w:tcPr>
            <w:tcW w:type="dxa" w:w="2268"/>
            <w:shd w:fill="FFF2CC" w:val="clear"/>
          </w:tcPr>
          <w:p>
            <w:r>
              <w:rPr>
                <w:b/>
                <w:color w:val="503200"/>
                <w:sz w:val="16"/>
              </w:rPr>
              <w:t xml:space="preserve">Cours actuel : </w:t>
            </w:r>
            <w:r>
              <w:rPr>
                <w:color w:val="000000"/>
                <w:sz w:val="17"/>
              </w:rPr>
              <w:t>8,950 FCFA</w:t>
            </w:r>
          </w:p>
          <w:p>
            <w:r>
              <w:rPr>
                <w:b/>
                <w:color w:val="503200"/>
                <w:sz w:val="16"/>
              </w:rPr>
              <w:t xml:space="preserve">Var. 100 jours : </w:t>
            </w:r>
            <w:r>
              <w:rPr>
                <w:b/>
                <w:color w:val="B40000"/>
                <w:sz w:val="17"/>
              </w:rPr>
              <w:t>-0.06%</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6.01% (Moyenne) — μ=9,166 FCFA, σ=551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β=0.4669 (Défensif) — Cov=0.000032, Var(idx)=0.000069, ρ=0.225,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σ_j=1.73%/j (Stable) — Vol. annualisée≈27.4%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8,637</w:t>
            </w:r>
          </w:p>
        </w:tc>
        <w:tc>
          <w:tcPr>
            <w:tcW w:type="dxa" w:w="1440"/>
            <w:shd w:fill="FAFAFA" w:val="clear"/>
          </w:tcPr>
          <w:p>
            <w:r>
              <w:rPr>
                <w:b/>
                <w:sz w:val="17"/>
              </w:rPr>
              <w:t>9,018</w:t>
            </w:r>
          </w:p>
        </w:tc>
        <w:tc>
          <w:tcPr>
            <w:tcW w:type="dxa" w:w="1440"/>
            <w:shd w:fill="FAFAFA" w:val="clear"/>
          </w:tcPr>
          <w:p>
            <w:r>
              <w:rPr>
                <w:sz w:val="17"/>
              </w:rPr>
              <w:t>9,398</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8,497</w:t>
            </w:r>
          </w:p>
        </w:tc>
        <w:tc>
          <w:tcPr>
            <w:tcW w:type="dxa" w:w="1440"/>
            <w:shd w:fill="FAFAFA" w:val="clear"/>
          </w:tcPr>
          <w:p>
            <w:r>
              <w:rPr>
                <w:b/>
                <w:sz w:val="17"/>
              </w:rPr>
              <w:t>9,035</w:t>
            </w:r>
          </w:p>
        </w:tc>
        <w:tc>
          <w:tcPr>
            <w:tcW w:type="dxa" w:w="1440"/>
            <w:shd w:fill="FAFAFA" w:val="clear"/>
          </w:tcPr>
          <w:p>
            <w:r>
              <w:rPr>
                <w:sz w:val="17"/>
              </w:rPr>
              <w:t>9,574</w:t>
            </w:r>
          </w:p>
        </w:tc>
        <w:tc>
          <w:tcPr>
            <w:tcW w:type="dxa" w:w="1440"/>
            <w:shd w:fill="FAFAFA" w:val="clear"/>
          </w:tcPr>
          <w:p>
            <w:r>
              <w:rPr>
                <w:b/>
                <w:color w:val="008000"/>
                <w:sz w:val="17"/>
              </w:rPr>
              <w:t>+1.0%</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8,383</w:t>
            </w:r>
          </w:p>
        </w:tc>
        <w:tc>
          <w:tcPr>
            <w:tcW w:type="dxa" w:w="1440"/>
            <w:shd w:fill="FAFAFA" w:val="clear"/>
          </w:tcPr>
          <w:p>
            <w:r>
              <w:rPr>
                <w:b/>
                <w:sz w:val="17"/>
              </w:rPr>
              <w:t>9,044</w:t>
            </w:r>
          </w:p>
        </w:tc>
        <w:tc>
          <w:tcPr>
            <w:tcW w:type="dxa" w:w="1440"/>
            <w:shd w:fill="FAFAFA" w:val="clear"/>
          </w:tcPr>
          <w:p>
            <w:r>
              <w:rPr>
                <w:sz w:val="17"/>
              </w:rPr>
              <w:t>9,704</w:t>
            </w:r>
          </w:p>
        </w:tc>
        <w:tc>
          <w:tcPr>
            <w:tcW w:type="dxa" w:w="1440"/>
            <w:shd w:fill="FAFAFA" w:val="clear"/>
          </w:tcPr>
          <w:p>
            <w:r>
              <w:rPr>
                <w:b/>
                <w:color w:val="008000"/>
                <w:sz w:val="17"/>
              </w:rPr>
              <w:t>+1.0%</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8,284</w:t>
            </w:r>
          </w:p>
        </w:tc>
        <w:tc>
          <w:tcPr>
            <w:tcW w:type="dxa" w:w="1440"/>
            <w:shd w:fill="FAFAFA" w:val="clear"/>
          </w:tcPr>
          <w:p>
            <w:r>
              <w:rPr>
                <w:b/>
                <w:sz w:val="17"/>
              </w:rPr>
              <w:t>9,046</w:t>
            </w:r>
          </w:p>
        </w:tc>
        <w:tc>
          <w:tcPr>
            <w:tcW w:type="dxa" w:w="1440"/>
            <w:shd w:fill="FAFAFA" w:val="clear"/>
          </w:tcPr>
          <w:p>
            <w:r>
              <w:rPr>
                <w:sz w:val="17"/>
              </w:rPr>
              <w:t>9,809</w:t>
            </w:r>
          </w:p>
        </w:tc>
        <w:tc>
          <w:tcPr>
            <w:tcW w:type="dxa" w:w="1440"/>
            <w:shd w:fill="FAFAFA" w:val="clear"/>
          </w:tcPr>
          <w:p>
            <w:r>
              <w:rPr>
                <w:b/>
                <w:color w:val="008000"/>
                <w:sz w:val="17"/>
              </w:rPr>
              <w:t>+1.1%</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8,194</w:t>
            </w:r>
          </w:p>
        </w:tc>
        <w:tc>
          <w:tcPr>
            <w:tcW w:type="dxa" w:w="1440"/>
            <w:shd w:fill="FAFAFA" w:val="clear"/>
          </w:tcPr>
          <w:p>
            <w:r>
              <w:rPr>
                <w:b/>
                <w:sz w:val="17"/>
              </w:rPr>
              <w:t>9,047</w:t>
            </w:r>
          </w:p>
        </w:tc>
        <w:tc>
          <w:tcPr>
            <w:tcW w:type="dxa" w:w="1440"/>
            <w:shd w:fill="FAFAFA" w:val="clear"/>
          </w:tcPr>
          <w:p>
            <w:r>
              <w:rPr>
                <w:sz w:val="17"/>
              </w:rPr>
              <w:t>9,900</w:t>
            </w:r>
          </w:p>
        </w:tc>
        <w:tc>
          <w:tcPr>
            <w:tcW w:type="dxa" w:w="1440"/>
            <w:shd w:fill="FAFAFA" w:val="clear"/>
          </w:tcPr>
          <w:p>
            <w:r>
              <w:rPr>
                <w:b/>
                <w:color w:val="008000"/>
                <w:sz w:val="17"/>
              </w:rPr>
              <w:t>+1.1%</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8,112</w:t>
            </w:r>
          </w:p>
        </w:tc>
        <w:tc>
          <w:tcPr>
            <w:tcW w:type="dxa" w:w="1440"/>
            <w:shd w:fill="FAFAFA" w:val="clear"/>
          </w:tcPr>
          <w:p>
            <w:r>
              <w:rPr>
                <w:b/>
                <w:sz w:val="17"/>
              </w:rPr>
              <w:t>9,047</w:t>
            </w:r>
          </w:p>
        </w:tc>
        <w:tc>
          <w:tcPr>
            <w:tcW w:type="dxa" w:w="1440"/>
            <w:shd w:fill="FAFAFA" w:val="clear"/>
          </w:tcPr>
          <w:p>
            <w:r>
              <w:rPr>
                <w:sz w:val="17"/>
              </w:rPr>
              <w:t>9,981</w:t>
            </w:r>
          </w:p>
        </w:tc>
        <w:tc>
          <w:tcPr>
            <w:tcW w:type="dxa" w:w="1440"/>
            <w:shd w:fill="FAFAFA" w:val="clear"/>
          </w:tcPr>
          <w:p>
            <w:r>
              <w:rPr>
                <w:b/>
                <w:color w:val="008000"/>
                <w:sz w:val="17"/>
              </w:rPr>
              <w:t>+1.1%</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8,037</w:t>
            </w:r>
          </w:p>
        </w:tc>
        <w:tc>
          <w:tcPr>
            <w:tcW w:type="dxa" w:w="1440"/>
            <w:shd w:fill="FAFAFA" w:val="clear"/>
          </w:tcPr>
          <w:p>
            <w:r>
              <w:rPr>
                <w:b/>
                <w:sz w:val="17"/>
              </w:rPr>
              <w:t>9,046</w:t>
            </w:r>
          </w:p>
        </w:tc>
        <w:tc>
          <w:tcPr>
            <w:tcW w:type="dxa" w:w="1440"/>
            <w:shd w:fill="FAFAFA" w:val="clear"/>
          </w:tcPr>
          <w:p>
            <w:r>
              <w:rPr>
                <w:sz w:val="17"/>
              </w:rPr>
              <w:t>10,055</w:t>
            </w:r>
          </w:p>
        </w:tc>
        <w:tc>
          <w:tcPr>
            <w:tcW w:type="dxa" w:w="1440"/>
            <w:shd w:fill="FAFAFA" w:val="clear"/>
          </w:tcPr>
          <w:p>
            <w:r>
              <w:rPr>
                <w:b/>
                <w:color w:val="008000"/>
                <w:sz w:val="17"/>
              </w:rPr>
              <w:t>+1.1%</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7,966</w:t>
            </w:r>
          </w:p>
        </w:tc>
        <w:tc>
          <w:tcPr>
            <w:tcW w:type="dxa" w:w="1440"/>
            <w:shd w:fill="FAFAFA" w:val="clear"/>
          </w:tcPr>
          <w:p>
            <w:r>
              <w:rPr>
                <w:b/>
                <w:sz w:val="17"/>
              </w:rPr>
              <w:t>9,045</w:t>
            </w:r>
          </w:p>
        </w:tc>
        <w:tc>
          <w:tcPr>
            <w:tcW w:type="dxa" w:w="1440"/>
            <w:shd w:fill="FAFAFA" w:val="clear"/>
          </w:tcPr>
          <w:p>
            <w:r>
              <w:rPr>
                <w:sz w:val="17"/>
              </w:rPr>
              <w:t>10,123</w:t>
            </w:r>
          </w:p>
        </w:tc>
        <w:tc>
          <w:tcPr>
            <w:tcW w:type="dxa" w:w="1440"/>
            <w:shd w:fill="FAFAFA" w:val="clear"/>
          </w:tcPr>
          <w:p>
            <w:r>
              <w:rPr>
                <w:b/>
                <w:color w:val="008000"/>
                <w:sz w:val="17"/>
              </w:rPr>
              <w:t>+1.1%</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7,900</w:t>
            </w:r>
          </w:p>
        </w:tc>
        <w:tc>
          <w:tcPr>
            <w:tcW w:type="dxa" w:w="1440"/>
            <w:shd w:fill="FAFAFA" w:val="clear"/>
          </w:tcPr>
          <w:p>
            <w:r>
              <w:rPr>
                <w:b/>
                <w:sz w:val="17"/>
              </w:rPr>
              <w:t>9,043</w:t>
            </w:r>
          </w:p>
        </w:tc>
        <w:tc>
          <w:tcPr>
            <w:tcW w:type="dxa" w:w="1440"/>
            <w:shd w:fill="FAFAFA" w:val="clear"/>
          </w:tcPr>
          <w:p>
            <w:r>
              <w:rPr>
                <w:sz w:val="17"/>
              </w:rPr>
              <w:t>10,187</w:t>
            </w:r>
          </w:p>
        </w:tc>
        <w:tc>
          <w:tcPr>
            <w:tcW w:type="dxa" w:w="1440"/>
            <w:shd w:fill="FAFAFA" w:val="clear"/>
          </w:tcPr>
          <w:p>
            <w:r>
              <w:rPr>
                <w:b/>
                <w:color w:val="008000"/>
                <w:sz w:val="17"/>
              </w:rPr>
              <w:t>+1.0%</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7,837</w:t>
            </w:r>
          </w:p>
        </w:tc>
        <w:tc>
          <w:tcPr>
            <w:tcW w:type="dxa" w:w="1440"/>
            <w:shd w:fill="FAFAFA" w:val="clear"/>
          </w:tcPr>
          <w:p>
            <w:r>
              <w:rPr>
                <w:b/>
                <w:sz w:val="17"/>
              </w:rPr>
              <w:t>9,042</w:t>
            </w:r>
          </w:p>
        </w:tc>
        <w:tc>
          <w:tcPr>
            <w:tcW w:type="dxa" w:w="1440"/>
            <w:shd w:fill="FAFAFA" w:val="clear"/>
          </w:tcPr>
          <w:p>
            <w:r>
              <w:rPr>
                <w:sz w:val="17"/>
              </w:rPr>
              <w:t>10,247</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363,02 milliards FCFA, BOAB se positionne parmi les valeurs bancaires de premier plan de la cote BRVM, reflétant la solidité institutionnelle du groupe Bank of Africa au Bénin. Le BPA de 496 FCFA/action signifie que chaque titre génère près de 500 FCFA de bénéfice net, un niveau appréciable pour le marché régional. Le PER de 18,1x traduit une valorisation nettement supérieure à la moyenne BRVM (estimée entre 8x et 12x), ce qui indique que les investisseurs paient une prime significative pour les bénéfices de la banque — signe soit d'anticipations de croissance, soit d'une surévaluation relative. Le P/B de 3,09x confirme cette prime de croissance : le marché valorise BOAB à plus de trois fois sa valeur comptable, ce qui est cohérent avec un ROE supérieur à 15% mais laisse peu de marge de sécurité en cas de déception. Enfin, l'EV/EBITDA de 18,8x, très exigeant (seuil d'alerte &gt;15x), suggère que la valeur d'entreprise intègre déjà une forte capacité bénéficiaire future ; toute dégradation opérationnelle exposerait le titre à une correction.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BOAB est resté quasi inchangé avec une variation totale de -0,06%, et une variation nulle en J-1 (+0,00%), traduisant une phase de stabilisation après une période de correction. Le titre a évolué dans un range de 8 520 FCFA (plus bas) à 10 350 FCFA (plus haut), soit un écart de 1 830 FCFA (environ 21%), ce qui témoigne d'une volatilité intra-période significative malgré la stabilité finale. La tendance générale est baissière puis stabilisatrice : le cours actuel (8 950 FCFA) se situe dans le bas du range, proche du plus bas, suggérant une pression vendeuse résiduelle mais un possible plancher technique. Les statistiques descriptives révèlent une moyenne de 9 166 FCFA supérieure à la médiane de 8 950 FCFA, avec un mode à 8 700 FCFA : cet écart indique une distribution asymétrique où quelques séances hautes tirent la moyenne vers le haut, tandis que la majorité des échanges se concentrent sous la moyenne — cohérent avec le skewness positif de 0,976 (plus de journées sous la moyenne). L'écart-type de 554 FCFA et le coefficient de variation de 6,0% traduisent une dispersion modérée du cours, tandis que le kurtosis de -0,456 (mésokurtique) indique une distribution proche de la normale, sans risque excessif de pics extrêmes. La volatilité annualisée de 27,4% classe BOAB dans la catégorie des titres à volatilité modérée (15-30%), acceptable pour une valeur bancaire de la BRVM.</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9 893 FCFA et la MM50 à 9 344,2 FCFA, toutes deux nettement supérieures au cours actuel de 8 950 FCFA. Cette configuration — prix sous les deux moyennes — signale une pression baissière de court et moyen terme, mais la décision fournie est « Achat », probablement basée sur un signal de retournement (croisement potentiel ou écart excessif). Le cours étant 10,5% sous la MM20 et 4,2% sous la MM50, un rebond technique vers ces niveaux est envisageable.</w:t>
      </w:r>
    </w:p>
    <w:p>
      <w:pPr>
        <w:spacing w:after="120" w:line="276" w:lineRule="auto"/>
      </w:pPr>
      <w:r>
        <w:t>**Bandes de Bollinger :** La borne supérieure est à 10 938,93 FCFA et la borne inférieure à 8 847,07 FCFA, avec un cours actuel de 8 950 FCFA. Le titre évolue donc à seulement 1,2% au-dessus de la borne inférieure, ce qui le place en zone de survente technique. La décision « Neutre » reflète cette position ambiguë : le cours est proche d'un support dynamique, mais la volatilité (bandes larges) n'indique pas encore de compression propice à un rebond franc.</w:t>
      </w:r>
    </w:p>
    <w:p>
      <w:pPr>
        <w:spacing w:after="120" w:line="276" w:lineRule="auto"/>
      </w:pPr>
      <w:r>
        <w:t>**MACD :** La valeur du MACD est de -127,237 contre un signal à 66,393, soit une divergence baissière marquée (MACD sous son signal de près de 194 points). Cette configuration confirme un momentum négatif persistant, et la décision « Vente » est cohérente avec cette dynamique. Un croisement haussier du MACD au-dessus de son signal serait nécessaire pour inverser la tendance.</w:t>
      </w:r>
    </w:p>
    <w:p>
      <w:pPr>
        <w:spacing w:after="120" w:line="276" w:lineRule="auto"/>
      </w:pPr>
      <w:r>
        <w:t>**RSI :** À 21,076, le RSI est en zone de survente sévère (seuil &lt;30), ce qui déclenche une décision « Achat ». Un RSI aussi bas indique que le titre a été massivement vendu et qu'un rebond technique est statistiquement probable à court terme, bien que la tendance de fond reste fragile.</w:t>
      </w:r>
    </w:p>
    <w:p>
      <w:pPr>
        <w:spacing w:after="120" w:line="276" w:lineRule="auto"/>
      </w:pPr>
      <w:r>
        <w:t>**Stochastique :** Le %K est à 10,738 et le %D à 7,159, tous deux en zone de survente extrême (&lt;20). La décision « Achat » est justifiée par cette configuration, d'autant que le %K est légèrement au-dessus du %D, esquissant un début de croisement haussier — signal précoce de retournement.</w:t>
      </w:r>
    </w:p>
    <w:p>
      <w:pPr>
        <w:spacing w:after="120" w:line="276" w:lineRule="auto"/>
      </w:pPr>
      <w:r>
        <w:t>**Conclusion technique :** Les indicateurs présentent une divergence notable : les oscillateurs (RSI, Stochastique) crient à la survente et génèrent des signaux d'achat, tandis que les tendances (MM, MACD) restent baissières. Cette configuration est typique d'une phase de capitulation où un rebond technique est probable, mais où la prudence reste de mise tant que le cours n'a pas reconquis la MM20 (9 893 FCFA). Le signal global est donc un « Achat tactique » à court terme, avec un objectif de rebond vers 9 300-9 500 FCFA, sous réserve d'une confirmation par les volumes.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BOAB affiche un Produit Net Bancaire (PNB) de 51,274 milliards FCFA, en croissance de 10,20% sur un an, porté par des intérêts et produits assimilés de 55,728 milliards FCFA et des commissions de 12,339 milliards FCFA. Le résultat net s'établit à 20,107 milliards FCFA, générant un ROE de 17,11% (excellent, &gt;15%) et un ROA de 2,08%. Le coefficient d'exploitation de 49,53% classe la banque parmi les établissements les plus efficaces du secteur (&lt;50% = excellente efficacité). Le coût du risque, à 22,50% des charges financières, reste élevé et constitue un point de vigilance sur la qualité du portefeuille de crédit. La structure financière montre une autonomie financière de 12,18% (faible, mais typique des banques) et un ratio d'endettement de 98,77%, avec une solvabilité générale de 113,87% (total actif &gt; dettes totales). Les dépôts clientèle (711,642 milliards FCFA) couvrent largement les créances clientèle (391,724 milliards FCFA), soit un ratio de transformation de 55%, indicateur d'une gestion prudente des liquidités.</w:t>
      </w:r>
    </w:p>
    <w:p>
      <w:pPr>
        <w:spacing w:after="120" w:line="276" w:lineRule="auto"/>
      </w:pPr>
      <w:r>
        <w:t>**Estimations basées sur les rapports trimestriels :** Le rapport du T1 2026 (publié en 2026) indique un PNB de 12,329 milliards FCFA (+11% en glissement annuel), un résultat net de 4,502 milliards FCFA (+1%) et des dépôts clientèle de 753,7 milliards FCFA (+3,5%). Le rapport du T3 2025 (daté du 30/09/2025) faisait état d'un PNB trimestriel de 37,065 milliards FCFA (+9%) et d'un résultat net de 15,880 milliards FCFA (+13%), avec une contraction des crédits (-10%) et des dépôts (-5%) sur un an. Le rapport du S1 2025 (daté du 30/06/2025) mentionnait un PNB de 24,556 milliards FCFA (+5,91%) et un résultat net de 11,012 milliards FCFA (+0,75%), avec un ROE de 20,3% et un coefficient d'exploitation de 46,1%. Sur la base de ces éléments, on estime que l'exercice 2026 devrait enregistrer un PNB annuel compris entre 54 et 56 milliards FCFA (croissance de 5-9% vs 2025) et un résultat net de l'ordre de 20,5 à 21,5 milliards FCFA, soit une progression modérée de 2-7%. La dynamique des commissions (+18,9% au T1 2026) et l'amélioration de la marge nette bancaire (+8,5%) constituent des moteurs positifs, mais la stagnation des créances clientèle (386,5 milliards FCFA au T1 2026) et la pression sur les coûts limitent le potentiel de croissance.</w:t>
      </w:r>
    </w:p>
    <w:p>
      <w:pPr>
        <w:spacing w:after="120" w:line="276" w:lineRule="auto"/>
      </w:pPr>
      <w:r>
        <w:t>**Recommandation fondamentale :** BOAB présente des fondamentaux solides (ROE &gt;17%, coefficient d'exploitation &lt;50%, PNB en croissance), mais la valorisation boursière (PER 18,1x, P/B 3,09x) intègre déjà largement ces performances. Le principal risque réside dans le coût du risque élevé (22,5%) et la contraction du bilan observée en 2025, qui pourraient peser sur la rentabilité future. La recommandation fondamentale est « Conserver », avec une préférence pour un renforcement sur repli vers 8 500-8 700 FCFA.</w:t>
      </w:r>
    </w:p>
    <w:p>
      <w:pPr>
        <w:spacing w:after="120" w:line="276" w:lineRule="auto"/>
      </w:pPr>
      <w:r>
        <w:t>---</w:t>
      </w:r>
    </w:p>
    <w:p>
      <w:pPr>
        <w:spacing w:after="120" w:line="276" w:lineRule="auto"/>
      </w:pPr>
      <w:r>
        <w:t>## PARTIE 4 : CONCLUSION D'INVESTISSEMENT</w:t>
      </w:r>
    </w:p>
    <w:p>
      <w:pPr>
        <w:spacing w:after="120" w:line="276" w:lineRule="auto"/>
      </w:pPr>
      <w:r>
        <w:t>La valorisation de BOAB (PER 18,1x, P/B 3,09x, EV/EBITDA 18,8x) indique une surévaluation relative par rapport à la moyenne BRVM, ce qui limite le potentiel de hausse à court terme malgré des fondamentaux solides. Le comportement du cours sur 100 jours (variation quasi nulle, skewness positif, volatilité modérée de 27,4%) révèle une phase de stabilisation avec une légère pression baissière, le titre évoluant près de son plus bas annuel (8 520 FCFA). Les signaux techniques sont divergents : les oscillateurs (RSI à 21, Stochastique à 10,7) génèrent des signaux d'achat en zone de survente, tandis que les tendances (MM20/MM50, MACD) restent baissières — configuration typique d'un rebond technique possible mais fragile. Les fondamentaux (ROE 17,1%, PNB +10,2% en 2025, coefficient d'exploitation 49,5%) demeurent solides, mais les estimations issues des rapports trimestriels (T1 2026 : résultat net +1%) suggèrent un ralentissement de la croissance bénéficiaire. Les prédictions IA (J+1 à J+10) tablent sur une légère hausse vers 9 018-9 047 FCFA, confirmant l'hypothèse d'un rebond technique modéré sans inversion de tendance. **Recommandation finale : CONSERVER**, avec un niveau de confiance **Moyen** et un risque global **Moyen**. La convergence partielle entre technique (survente) et fondamental (solidité) justifie une position attentiste, en attendant une confirmation de retournement (cours &gt; MM20 à 9 893 FCFA) ou un repli vers 8 500 FCFA pour renforcer. **Horizon d'investissement optimal : moyen terme (3-12 mois)**, le temps que la banque confirme la reprise de sa croissance bénéficiaire et que la valorisation se normalise.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356.40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6,675 titres</w:t>
            </w:r>
          </w:p>
        </w:tc>
        <w:tc>
          <w:tcPr>
            <w:tcW w:type="dxa" w:w="2268"/>
            <w:shd w:fill="FFF2CC" w:val="clear"/>
          </w:tcPr>
          <w:p>
            <w:r>
              <w:rPr>
                <w:b/>
                <w:color w:val="503200"/>
                <w:sz w:val="16"/>
              </w:rPr>
              <w:t xml:space="preserve">Cours actuel : </w:t>
            </w:r>
            <w:r>
              <w:rPr>
                <w:color w:val="000000"/>
                <w:sz w:val="17"/>
              </w:rPr>
              <w:t>8,100 FCFA</w:t>
            </w:r>
          </w:p>
          <w:p>
            <w:r>
              <w:rPr>
                <w:b/>
                <w:color w:val="503200"/>
                <w:sz w:val="16"/>
              </w:rPr>
              <w:t xml:space="preserve">Var. 100 jours : </w:t>
            </w:r>
            <w:r>
              <w:rPr>
                <w:b/>
                <w:color w:val="007800"/>
                <w:sz w:val="17"/>
              </w:rPr>
              <w:t>+48.35%</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18.31% (Élevée) — μ=6,730 FCFA, σ=1,232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β=0.7421 (Défensif) — Cov=0.000051, Var(idx)=0.000069, ρ=0.277,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6,675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7,685</w:t>
            </w:r>
          </w:p>
        </w:tc>
        <w:tc>
          <w:tcPr>
            <w:tcW w:type="dxa" w:w="1440"/>
            <w:shd w:fill="FAFAFA" w:val="clear"/>
          </w:tcPr>
          <w:p>
            <w:r>
              <w:rPr>
                <w:b/>
                <w:sz w:val="17"/>
              </w:rPr>
              <w:t>8,082</w:t>
            </w:r>
          </w:p>
        </w:tc>
        <w:tc>
          <w:tcPr>
            <w:tcW w:type="dxa" w:w="1440"/>
            <w:shd w:fill="FAFAFA" w:val="clear"/>
          </w:tcPr>
          <w:p>
            <w:r>
              <w:rPr>
                <w:sz w:val="17"/>
              </w:rPr>
              <w:t>8,479</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7,499</w:t>
            </w:r>
          </w:p>
        </w:tc>
        <w:tc>
          <w:tcPr>
            <w:tcW w:type="dxa" w:w="1440"/>
            <w:shd w:fill="FAFAFA" w:val="clear"/>
          </w:tcPr>
          <w:p>
            <w:r>
              <w:rPr>
                <w:b/>
                <w:sz w:val="17"/>
              </w:rPr>
              <w:t>8,059</w:t>
            </w:r>
          </w:p>
        </w:tc>
        <w:tc>
          <w:tcPr>
            <w:tcW w:type="dxa" w:w="1440"/>
            <w:shd w:fill="FAFAFA" w:val="clear"/>
          </w:tcPr>
          <w:p>
            <w:r>
              <w:rPr>
                <w:sz w:val="17"/>
              </w:rPr>
              <w:t>8,620</w:t>
            </w:r>
          </w:p>
        </w:tc>
        <w:tc>
          <w:tcPr>
            <w:tcW w:type="dxa" w:w="1440"/>
            <w:shd w:fill="FAFAFA" w:val="clear"/>
          </w:tcPr>
          <w:p>
            <w:r>
              <w:rPr>
                <w:b/>
                <w:color w:val="C00000"/>
                <w:sz w:val="17"/>
              </w:rPr>
              <w:t>-0.5%</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7,358</w:t>
            </w:r>
          </w:p>
        </w:tc>
        <w:tc>
          <w:tcPr>
            <w:tcW w:type="dxa" w:w="1440"/>
            <w:shd w:fill="FAFAFA" w:val="clear"/>
          </w:tcPr>
          <w:p>
            <w:r>
              <w:rPr>
                <w:b/>
                <w:sz w:val="17"/>
              </w:rPr>
              <w:t>8,043</w:t>
            </w:r>
          </w:p>
        </w:tc>
        <w:tc>
          <w:tcPr>
            <w:tcW w:type="dxa" w:w="1440"/>
            <w:shd w:fill="FAFAFA" w:val="clear"/>
          </w:tcPr>
          <w:p>
            <w:r>
              <w:rPr>
                <w:sz w:val="17"/>
              </w:rPr>
              <w:t>8,728</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7,249</w:t>
            </w:r>
          </w:p>
        </w:tc>
        <w:tc>
          <w:tcPr>
            <w:tcW w:type="dxa" w:w="1440"/>
            <w:shd w:fill="FAFAFA" w:val="clear"/>
          </w:tcPr>
          <w:p>
            <w:r>
              <w:rPr>
                <w:b/>
                <w:sz w:val="17"/>
              </w:rPr>
              <w:t>8,039</w:t>
            </w:r>
          </w:p>
        </w:tc>
        <w:tc>
          <w:tcPr>
            <w:tcW w:type="dxa" w:w="1440"/>
            <w:shd w:fill="FAFAFA" w:val="clear"/>
          </w:tcPr>
          <w:p>
            <w:r>
              <w:rPr>
                <w:sz w:val="17"/>
              </w:rPr>
              <w:t>8,830</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7,158</w:t>
            </w:r>
          </w:p>
        </w:tc>
        <w:tc>
          <w:tcPr>
            <w:tcW w:type="dxa" w:w="1440"/>
            <w:shd w:fill="FAFAFA" w:val="clear"/>
          </w:tcPr>
          <w:p>
            <w:r>
              <w:rPr>
                <w:b/>
                <w:sz w:val="17"/>
              </w:rPr>
              <w:t>8,042</w:t>
            </w:r>
          </w:p>
        </w:tc>
        <w:tc>
          <w:tcPr>
            <w:tcW w:type="dxa" w:w="1440"/>
            <w:shd w:fill="FAFAFA" w:val="clear"/>
          </w:tcPr>
          <w:p>
            <w:r>
              <w:rPr>
                <w:sz w:val="17"/>
              </w:rPr>
              <w:t>8,926</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7,079</w:t>
            </w:r>
          </w:p>
        </w:tc>
        <w:tc>
          <w:tcPr>
            <w:tcW w:type="dxa" w:w="1440"/>
            <w:shd w:fill="FAFAFA" w:val="clear"/>
          </w:tcPr>
          <w:p>
            <w:r>
              <w:rPr>
                <w:b/>
                <w:sz w:val="17"/>
              </w:rPr>
              <w:t>8,048</w:t>
            </w:r>
          </w:p>
        </w:tc>
        <w:tc>
          <w:tcPr>
            <w:tcW w:type="dxa" w:w="1440"/>
            <w:shd w:fill="FAFAFA" w:val="clear"/>
          </w:tcPr>
          <w:p>
            <w:r>
              <w:rPr>
                <w:sz w:val="17"/>
              </w:rPr>
              <w:t>9,017</w:t>
            </w:r>
          </w:p>
        </w:tc>
        <w:tc>
          <w:tcPr>
            <w:tcW w:type="dxa" w:w="1440"/>
            <w:shd w:fill="FAFAFA" w:val="clear"/>
          </w:tcPr>
          <w:p>
            <w:r>
              <w:rPr>
                <w:b/>
                <w:color w:val="C00000"/>
                <w:sz w:val="17"/>
              </w:rPr>
              <w:t>-0.6%</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7,008</w:t>
            </w:r>
          </w:p>
        </w:tc>
        <w:tc>
          <w:tcPr>
            <w:tcW w:type="dxa" w:w="1440"/>
            <w:shd w:fill="FAFAFA" w:val="clear"/>
          </w:tcPr>
          <w:p>
            <w:r>
              <w:rPr>
                <w:b/>
                <w:sz w:val="17"/>
              </w:rPr>
              <w:t>8,055</w:t>
            </w:r>
          </w:p>
        </w:tc>
        <w:tc>
          <w:tcPr>
            <w:tcW w:type="dxa" w:w="1440"/>
            <w:shd w:fill="FAFAFA" w:val="clear"/>
          </w:tcPr>
          <w:p>
            <w:r>
              <w:rPr>
                <w:sz w:val="17"/>
              </w:rPr>
              <w:t>9,103</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6,942</w:t>
            </w:r>
          </w:p>
        </w:tc>
        <w:tc>
          <w:tcPr>
            <w:tcW w:type="dxa" w:w="1440"/>
            <w:shd w:fill="FAFAFA" w:val="clear"/>
          </w:tcPr>
          <w:p>
            <w:r>
              <w:rPr>
                <w:b/>
                <w:sz w:val="17"/>
              </w:rPr>
              <w:t>8,063</w:t>
            </w:r>
          </w:p>
        </w:tc>
        <w:tc>
          <w:tcPr>
            <w:tcW w:type="dxa" w:w="1440"/>
            <w:shd w:fill="FAFAFA" w:val="clear"/>
          </w:tcPr>
          <w:p>
            <w:r>
              <w:rPr>
                <w:sz w:val="17"/>
              </w:rPr>
              <w:t>9,184</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6,880</w:t>
            </w:r>
          </w:p>
        </w:tc>
        <w:tc>
          <w:tcPr>
            <w:tcW w:type="dxa" w:w="1440"/>
            <w:shd w:fill="FAFAFA" w:val="clear"/>
          </w:tcPr>
          <w:p>
            <w:r>
              <w:rPr>
                <w:b/>
                <w:sz w:val="17"/>
              </w:rPr>
              <w:t>8,070</w:t>
            </w:r>
          </w:p>
        </w:tc>
        <w:tc>
          <w:tcPr>
            <w:tcW w:type="dxa" w:w="1440"/>
            <w:shd w:fill="FAFAFA" w:val="clear"/>
          </w:tcPr>
          <w:p>
            <w:r>
              <w:rPr>
                <w:sz w:val="17"/>
              </w:rPr>
              <w:t>9,260</w:t>
            </w:r>
          </w:p>
        </w:tc>
        <w:tc>
          <w:tcPr>
            <w:tcW w:type="dxa" w:w="1440"/>
            <w:shd w:fill="FAFAFA" w:val="clear"/>
          </w:tcPr>
          <w:p>
            <w:r>
              <w:rPr>
                <w:b/>
                <w:color w:val="C00000"/>
                <w:sz w:val="17"/>
              </w:rPr>
              <w:t>-0.4%</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6,821</w:t>
            </w:r>
          </w:p>
        </w:tc>
        <w:tc>
          <w:tcPr>
            <w:tcW w:type="dxa" w:w="1440"/>
            <w:shd w:fill="FAFAFA" w:val="clear"/>
          </w:tcPr>
          <w:p>
            <w:r>
              <w:rPr>
                <w:b/>
                <w:sz w:val="17"/>
              </w:rPr>
              <w:t>8,077</w:t>
            </w:r>
          </w:p>
        </w:tc>
        <w:tc>
          <w:tcPr>
            <w:tcW w:type="dxa" w:w="1440"/>
            <w:shd w:fill="FAFAFA" w:val="clear"/>
          </w:tcPr>
          <w:p>
            <w:r>
              <w:rPr>
                <w:sz w:val="17"/>
              </w:rPr>
              <w:t>9,332</w:t>
            </w:r>
          </w:p>
        </w:tc>
        <w:tc>
          <w:tcPr>
            <w:tcW w:type="dxa" w:w="1440"/>
            <w:shd w:fill="FAFAFA" w:val="clear"/>
          </w:tcPr>
          <w:p>
            <w:r>
              <w:rPr>
                <w:b/>
                <w:color w:val="C00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BOABF (Bank of Africa Burkina Faso)**</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356,40 milliards FCFA, BOABF s'impose comme l'une des valeurs bancaires de référence de la cote BRVM, ce qui traduit une liquidité et une visibilité institutionnelle certaines. Le BPA de 438 FCFA/action signifie que chaque titre génère près de 438 FCFA de bénéfice net, un niveau de rentabilité unitaire appréciable. Le PER de 18,5x se situe nettement au-dessus de la moyenne du marché BRVM (généralement 8-12x), ce qui indique que les investisseurs paient une prime de qualité pour ce titre — potentiellement justifiée par la solidité du réseau BOA, mais qui limite la marge de sécurité. Le P/B de 2,82x confirme cette prime de croissance : le marché valorise la banque à près de trois fois ses fonds propres comptables (126,5 Mds FCFA), ce qui est cohérent avec un ROE supérieur à 15%. Enfin, l'EV/EBITDA de 8,2x, dans la fourchette raisonnable de 5-10x, suggère que la valeur d'entreprise reste proportionnée à la capacité opérationnelle de la banque, sans exubérance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BOABF a enregistré une progression spectaculaire de +48,35%, avec une dernière séance encore positive de +1,89%, portant le cours à 8 100 FCFA. Le titre a évolué dans un range très large, entre un plus bas de 5 300 FCFA et un plus haut de 9 090 FCFA, soit un écart de plus de 70% — signe d'une forte dynamique haussière mais aussi d'une nervosité accrue. La tendance générale est clairement haussière, portée par un intérêt marqué des investisseurs pour les valeurs bancaires de la zone UEMOA. Les statistiques descriptives révèlent une moyenne de 6 730 FCFA légèrement inférieure à la médiane de 6 862 FCFA, ce qui traduit une asymétrie positive (skewness de 0,498) : les pics de hausse tirent la distribution vers le haut, mais la majorité des séances se sont négociées au-dessus de la moyenne. L'écart-type de 1 239 FCFA (CV de 18,4%) indique une dispersion modérée à élevée du cours autour de sa tendance. Le kurtosis négatif (-1,067, distribution platykurtique) signale une faible concentration des rendements autour de la moyenne, donc un risque de mouvements amples et fréquents plutôt que de pics extrêmes isolés. Avec une volatilité annualisée de 35,3%, le titre se classe dans la catégorie des valeurs à volatilité élevée (&gt;30%), ce qui implique un risque de marché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(8 462,25 FCFA) et la MM50 (7 822,80 FCFA) encadrent le cours actuel (8 100 FCFA) de part et d'autre : le titre évolue sous sa moyenne court terme mais au-dessus de sa moyenne moyen terme. Cette configuration signale un essoufflement de la dynamique haussière immédiate, mais la décision technique globale reste à l'**Achat** car la MM50 soutient toujours la tendance de fond.</w:t>
      </w:r>
    </w:p>
    <w:p>
      <w:pPr>
        <w:spacing w:after="120" w:line="276" w:lineRule="auto"/>
      </w:pPr>
      <w:r>
        <w:t>**Bandes de Bollinger** : Le cours (8 100 FCFA) se situe dans la partie médiane de la bande, entre la borne inférieure (7 315,15 FCFA) et la borne supérieure (9 609,35 FCFA). Cette position centrale, couplée à une largeur de bande importante, traduit une volatilité élevée sans pression directionnelle immédiate. La décision est **Neutre**, le titre n'étant ni en zone de survente ni de surachat technique.</w:t>
      </w:r>
    </w:p>
    <w:p>
      <w:pPr>
        <w:spacing w:after="120" w:line="276" w:lineRule="auto"/>
      </w:pPr>
      <w:r>
        <w:t>**MACD** : La valeur du MACD (-36,3) est nettement inférieure à son signal (110,76), ce qui constitue une divergence baissière marquée. Le momentum s'est clairement retourné à la baisse après la forte hausse des mois précédents, justifiant la décision de **Vente** à court terme.</w:t>
      </w:r>
    </w:p>
    <w:p>
      <w:pPr>
        <w:spacing w:after="120" w:line="276" w:lineRule="auto"/>
      </w:pPr>
      <w:r>
        <w:t>**RSI** : À 33,26, le RSI se situe dans la zone neutre basse, proche du seuil de survente (30) sans l'atteindre. Cela indique que la pression vendeuse récente a ramené le titre vers des niveaux plus raisonnables, sans excès baissier. La décision est **Neutre**, avec un potentiel de rebond technique à surveiller.</w:t>
      </w:r>
    </w:p>
    <w:p>
      <w:pPr>
        <w:spacing w:after="120" w:line="276" w:lineRule="auto"/>
      </w:pPr>
      <w:r>
        <w:t>**Stochastique** : Le %K (43,89) est supérieur au %D (26,12), ce qui suggère un début de croisement haussier — le %K remonte vers le %D après une phase de faiblesse. Cette configuration précoce est un signal d'amélioration du momentum, mais reste fragile. La décision est **Neutre** en attendant confirmation du croisement.</w:t>
      </w:r>
    </w:p>
    <w:p>
      <w:pPr>
        <w:spacing w:after="120" w:line="276" w:lineRule="auto"/>
      </w:pPr>
      <w:r>
        <w:t>**Conclusion technique** : Les indicateurs sont divergents. Les moyennes mobiles plaident pour un maintien de la tendance haussière de fond, tandis que le MACD signale un net retournement baissier de court terme. Le RSI et le stochastique, en zone neutre, n'apportent pas de signal directionnel fort mais suggèrent que la correction actuelle pourrait toucher à sa fin. La configuration globale est celle d'une consolidation après une forte hausse, avec un risque de poursuite de la correction vers la MM50 (7 823 FCFA) avant reprise.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BOABF a réalisé un Produit Net Bancaire (PNB) de 57 820 millions FCFA, quasi stable par rapport à 2024 (+0,6%), mais avec un résultat net en recul de -14,1% à 19 252 millions FCFA, pénalisé par un coût du risque qui a quasiment doublé (8 355 millions FCFA contre 4 303 millions en 2024). Le ROE ressort à 15,22% (excellent, &gt;15%) et le ROA à 1,68%, tandis que le coefficient d'exploitation de 47,19% confirme une excellente efficacité opérationnelle (&lt;50%). Le ratio dépôts/crédits s'établit à 185% (877,8 Mds FCFA de dépôts pour 474,1 Mds FCFA de créances), traduisant une surliquidité structurelle et une faible transformation, ce qui limite la marge d'intérêt mais sécurise le bilan. Le coût du risque/charges financières de 33,92% reste élevé, signalant un portefeuille de crédits sous pression. Les rapports trimestriels récents nuancent toutefois ce tableau : au T1 2026 (rapport du 31/03/2026), le PNB chute de -10,75% à 12 694 millions FCFA et le résultat net recule de -12,99% à 4 520 millions FCFA, mais au S1 2026 (rapport du 30/06/2026), le résultat net bondit de +31,0% à 10 770 millions FCFA grâce à une amélioration de 65,2% du coût du risque (-2 396 millions contre -6 876 millions un an plus tôt). On estime donc que l'exercice 2026 pourrait afficher un résultat net annuel compris entre 21 et 23 milliards FCFA, en rebond par rapport à 2025, mais la dynamique commerciale reste fragile (PNB en repli de -5,2% au S1 2026). La banque conserve une solidité bilancielle incontestable (total bilan de 1 148,7 Mds FCFA, autonomie financière de 11,0%, solvabilité générale de 112,4%), mais la dépendance aux dépôts clientèle (88,99% du passif) et la contraction des crédits (-19,3% en 2025) constituent des points de vigilance. La recommandation fondamentale est **CONSERVER** : la rentabilité reste solide mais la croissance du PNB est atone et le rebond du résultat net dépend davantage d'une normalisation du risque que d'une accélération commerciale.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BOABF (PER de 18,5x, P/B de 2,82x, EV/EBITDA de 8,2x) indique que le marché intègre déjà une prime de qualité significative, ce qui limite le potentiel de réévaluation à court terme malgré des fondamentaux solides. Le comportement du cours sur 100 jours (+48,35%) témoigne d'un fort engouement, mais la volatilité élevée (35,3%) et le kurtosis négatif (-1,067) suggèrent que cette performance s'est accompagnée de mouvements amples et d'un risque de correction. Les signaux techniques sont mitigés : les moyennes mobiles restent haussières (MM50 &lt; cours), mais le MACD est franchement baissier et le RSI en zone neutre basse (33,26) n'offre pas de signal d'achat convaincant. Les fondamentaux, bien que solides (ROE de 15,22%, coefficient d'exploitation de 47,19%), sont ternis par un PNB en repli au S1 2026 (-5,2%) et une contraction des crédits, même si le rebond du résultat net (+31,0% au S1 2026) apporte un soulagement temporaire. Les prédictions IA pour les 10 prochains jours (8 082 → 8 042 FCFA) anticipent une légère consolidation baissière, en ligne avec le signal MACD et la position du cours sous la MM20. Sur la base de cette synthèse, la recommandation finale est **CONSERVER**, avec un niveau de confiance **Moyen** et un risque global **Moyen**. L'horizon d'investissement optimal est le **moyen terme (3-12 mois)**, le temps que la dynamique commerciale se redresse et que le coût du risque se normalise durablement ; un achat spéculatif à court terme serait prématuré tant que le MACD n'aura pas confirmé un retournement haussier.</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463.80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10,916 titres</w:t>
            </w:r>
          </w:p>
        </w:tc>
        <w:tc>
          <w:tcPr>
            <w:tcW w:type="dxa" w:w="2268"/>
            <w:shd w:fill="FFF2CC" w:val="clear"/>
          </w:tcPr>
          <w:p>
            <w:r>
              <w:rPr>
                <w:b/>
                <w:color w:val="503200"/>
                <w:sz w:val="16"/>
              </w:rPr>
              <w:t xml:space="preserve">Cours actuel : </w:t>
            </w:r>
            <w:r>
              <w:rPr>
                <w:color w:val="000000"/>
                <w:sz w:val="17"/>
              </w:rPr>
              <w:t>11,595 FCFA</w:t>
            </w:r>
          </w:p>
          <w:p>
            <w:r>
              <w:rPr>
                <w:b/>
                <w:color w:val="503200"/>
                <w:sz w:val="16"/>
              </w:rPr>
              <w:t xml:space="preserve">Var. 100 jours : </w:t>
            </w:r>
            <w:r>
              <w:rPr>
                <w:b/>
                <w:color w:val="007800"/>
                <w:sz w:val="17"/>
              </w:rPr>
              <w:t>+31.09%</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8,585 FCFA</w:t>
            </w:r>
          </w:p>
          <w:p>
            <w:r>
              <w:rPr>
                <w:b/>
                <w:color w:val="503200"/>
                <w:sz w:val="16"/>
              </w:rPr>
              <w:t xml:space="preserve">Volatilité ann. : </w:t>
            </w:r>
            <w:r>
              <w:rPr>
                <w:color w:val="000000"/>
                <w:sz w:val="17"/>
              </w:rPr>
              <w:t>27.9%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15.23% (Élevée) — μ=10,420 FCFA, σ=1,587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β=0.7420 (Défensif) — Cov=0.000051, Var(idx)=0.000069, ρ=0.351,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10,916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11,104</w:t>
            </w:r>
          </w:p>
        </w:tc>
        <w:tc>
          <w:tcPr>
            <w:tcW w:type="dxa" w:w="1440"/>
            <w:shd w:fill="FAFAFA" w:val="clear"/>
          </w:tcPr>
          <w:p>
            <w:r>
              <w:rPr>
                <w:b/>
                <w:sz w:val="17"/>
              </w:rPr>
              <w:t>11,488</w:t>
            </w:r>
          </w:p>
        </w:tc>
        <w:tc>
          <w:tcPr>
            <w:tcW w:type="dxa" w:w="1440"/>
            <w:shd w:fill="FAFAFA" w:val="clear"/>
          </w:tcPr>
          <w:p>
            <w:r>
              <w:rPr>
                <w:sz w:val="17"/>
              </w:rPr>
              <w:t>11,871</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10,930</w:t>
            </w:r>
          </w:p>
        </w:tc>
        <w:tc>
          <w:tcPr>
            <w:tcW w:type="dxa" w:w="1440"/>
            <w:shd w:fill="FAFAFA" w:val="clear"/>
          </w:tcPr>
          <w:p>
            <w:r>
              <w:rPr>
                <w:b/>
                <w:sz w:val="17"/>
              </w:rPr>
              <w:t>11,472</w:t>
            </w:r>
          </w:p>
        </w:tc>
        <w:tc>
          <w:tcPr>
            <w:tcW w:type="dxa" w:w="1440"/>
            <w:shd w:fill="FAFAFA" w:val="clear"/>
          </w:tcPr>
          <w:p>
            <w:r>
              <w:rPr>
                <w:sz w:val="17"/>
              </w:rPr>
              <w:t>12,014</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10,759</w:t>
            </w:r>
          </w:p>
        </w:tc>
        <w:tc>
          <w:tcPr>
            <w:tcW w:type="dxa" w:w="1440"/>
            <w:shd w:fill="FAFAFA" w:val="clear"/>
          </w:tcPr>
          <w:p>
            <w:r>
              <w:rPr>
                <w:b/>
                <w:sz w:val="17"/>
              </w:rPr>
              <w:t>11,420</w:t>
            </w:r>
          </w:p>
        </w:tc>
        <w:tc>
          <w:tcPr>
            <w:tcW w:type="dxa" w:w="1440"/>
            <w:shd w:fill="FAFAFA" w:val="clear"/>
          </w:tcPr>
          <w:p>
            <w:r>
              <w:rPr>
                <w:sz w:val="17"/>
              </w:rPr>
              <w:t>12,081</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10,606</w:t>
            </w:r>
          </w:p>
        </w:tc>
        <w:tc>
          <w:tcPr>
            <w:tcW w:type="dxa" w:w="1440"/>
            <w:shd w:fill="FAFAFA" w:val="clear"/>
          </w:tcPr>
          <w:p>
            <w:r>
              <w:rPr>
                <w:b/>
                <w:sz w:val="17"/>
              </w:rPr>
              <w:t>11,366</w:t>
            </w:r>
          </w:p>
        </w:tc>
        <w:tc>
          <w:tcPr>
            <w:tcW w:type="dxa" w:w="1440"/>
            <w:shd w:fill="FAFAFA" w:val="clear"/>
          </w:tcPr>
          <w:p>
            <w:r>
              <w:rPr>
                <w:sz w:val="17"/>
              </w:rPr>
              <w:t>12,125</w:t>
            </w:r>
          </w:p>
        </w:tc>
        <w:tc>
          <w:tcPr>
            <w:tcW w:type="dxa" w:w="1440"/>
            <w:shd w:fill="FAFAFA"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10,468</w:t>
            </w:r>
          </w:p>
        </w:tc>
        <w:tc>
          <w:tcPr>
            <w:tcW w:type="dxa" w:w="1440"/>
            <w:shd w:fill="FFDCE0" w:val="clear"/>
          </w:tcPr>
          <w:p>
            <w:r>
              <w:rPr>
                <w:b/>
                <w:sz w:val="17"/>
              </w:rPr>
              <w:t>11,313</w:t>
            </w:r>
          </w:p>
        </w:tc>
        <w:tc>
          <w:tcPr>
            <w:tcW w:type="dxa" w:w="1440"/>
            <w:shd w:fill="FFDCE0" w:val="clear"/>
          </w:tcPr>
          <w:p>
            <w:r>
              <w:rPr>
                <w:sz w:val="17"/>
              </w:rPr>
              <w:t>12,158</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10,341</w:t>
            </w:r>
          </w:p>
        </w:tc>
        <w:tc>
          <w:tcPr>
            <w:tcW w:type="dxa" w:w="1440"/>
            <w:shd w:fill="FFDCE0" w:val="clear"/>
          </w:tcPr>
          <w:p>
            <w:r>
              <w:rPr>
                <w:b/>
                <w:sz w:val="17"/>
              </w:rPr>
              <w:t>11,262</w:t>
            </w:r>
          </w:p>
        </w:tc>
        <w:tc>
          <w:tcPr>
            <w:tcW w:type="dxa" w:w="1440"/>
            <w:shd w:fill="FFDCE0" w:val="clear"/>
          </w:tcPr>
          <w:p>
            <w:r>
              <w:rPr>
                <w:sz w:val="17"/>
              </w:rPr>
              <w:t>12,184</w:t>
            </w:r>
          </w:p>
        </w:tc>
        <w:tc>
          <w:tcPr>
            <w:tcW w:type="dxa" w:w="1440"/>
            <w:shd w:fill="FFDCE0" w:val="clear"/>
          </w:tcPr>
          <w:p>
            <w:r>
              <w:rPr>
                <w:b/>
                <w:color w:val="C00000"/>
                <w:sz w:val="17"/>
              </w:rPr>
              <w:t>-2.9%</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10,224</w:t>
            </w:r>
          </w:p>
        </w:tc>
        <w:tc>
          <w:tcPr>
            <w:tcW w:type="dxa" w:w="1440"/>
            <w:shd w:fill="FFDCE0" w:val="clear"/>
          </w:tcPr>
          <w:p>
            <w:r>
              <w:rPr>
                <w:b/>
                <w:sz w:val="17"/>
              </w:rPr>
              <w:t>11,215</w:t>
            </w:r>
          </w:p>
        </w:tc>
        <w:tc>
          <w:tcPr>
            <w:tcW w:type="dxa" w:w="1440"/>
            <w:shd w:fill="FFDCE0" w:val="clear"/>
          </w:tcPr>
          <w:p>
            <w:r>
              <w:rPr>
                <w:sz w:val="17"/>
              </w:rPr>
              <w:t>12,206</w:t>
            </w:r>
          </w:p>
        </w:tc>
        <w:tc>
          <w:tcPr>
            <w:tcW w:type="dxa" w:w="1440"/>
            <w:shd w:fill="FFDCE0" w:val="clear"/>
          </w:tcPr>
          <w:p>
            <w:r>
              <w:rPr>
                <w:b/>
                <w:color w:val="C00000"/>
                <w:sz w:val="17"/>
              </w:rPr>
              <w:t>-3.3%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10,114</w:t>
            </w:r>
          </w:p>
        </w:tc>
        <w:tc>
          <w:tcPr>
            <w:tcW w:type="dxa" w:w="1440"/>
            <w:shd w:fill="FFDCE0" w:val="clear"/>
          </w:tcPr>
          <w:p>
            <w:r>
              <w:rPr>
                <w:b/>
                <w:sz w:val="17"/>
              </w:rPr>
              <w:t>11,170</w:t>
            </w:r>
          </w:p>
        </w:tc>
        <w:tc>
          <w:tcPr>
            <w:tcW w:type="dxa" w:w="1440"/>
            <w:shd w:fill="FFDCE0" w:val="clear"/>
          </w:tcPr>
          <w:p>
            <w:r>
              <w:rPr>
                <w:sz w:val="17"/>
              </w:rPr>
              <w:t>12,225</w:t>
            </w:r>
          </w:p>
        </w:tc>
        <w:tc>
          <w:tcPr>
            <w:tcW w:type="dxa" w:w="1440"/>
            <w:shd w:fill="FFDCE0" w:val="clear"/>
          </w:tcPr>
          <w:p>
            <w:r>
              <w:rPr>
                <w:b/>
                <w:color w:val="C00000"/>
                <w:sz w:val="17"/>
              </w:rPr>
              <w:t>-3.7%</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10,012</w:t>
            </w:r>
          </w:p>
        </w:tc>
        <w:tc>
          <w:tcPr>
            <w:tcW w:type="dxa" w:w="1440"/>
            <w:shd w:fill="FFDCE0" w:val="clear"/>
          </w:tcPr>
          <w:p>
            <w:r>
              <w:rPr>
                <w:b/>
                <w:sz w:val="17"/>
              </w:rPr>
              <w:t>11,127</w:t>
            </w:r>
          </w:p>
        </w:tc>
        <w:tc>
          <w:tcPr>
            <w:tcW w:type="dxa" w:w="1440"/>
            <w:shd w:fill="FFDCE0" w:val="clear"/>
          </w:tcPr>
          <w:p>
            <w:r>
              <w:rPr>
                <w:sz w:val="17"/>
              </w:rPr>
              <w:t>12,242</w:t>
            </w:r>
          </w:p>
        </w:tc>
        <w:tc>
          <w:tcPr>
            <w:tcW w:type="dxa" w:w="1440"/>
            <w:shd w:fill="FFDCE0" w:val="clear"/>
          </w:tcPr>
          <w:p>
            <w:r>
              <w:rPr>
                <w:b/>
                <w:color w:val="C00000"/>
                <w:sz w:val="17"/>
              </w:rPr>
              <w:t>-4.0%</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9,916</w:t>
            </w:r>
          </w:p>
        </w:tc>
        <w:tc>
          <w:tcPr>
            <w:tcW w:type="dxa" w:w="1440"/>
            <w:shd w:fill="FFDCE0" w:val="clear"/>
          </w:tcPr>
          <w:p>
            <w:r>
              <w:rPr>
                <w:b/>
                <w:sz w:val="17"/>
              </w:rPr>
              <w:t>11,087</w:t>
            </w:r>
          </w:p>
        </w:tc>
        <w:tc>
          <w:tcPr>
            <w:tcW w:type="dxa" w:w="1440"/>
            <w:shd w:fill="FFDCE0" w:val="clear"/>
          </w:tcPr>
          <w:p>
            <w:r>
              <w:rPr>
                <w:sz w:val="17"/>
              </w:rPr>
              <w:t>12,258</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BOAC (BANK OF AFRICA CÔTE D'IVOIRE)**</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463,80 milliards FCFA, BOAC s'impose comme l'une des valeurs bancaires les plus capitalisées de la BRVM, ce qui lui confère une liquidité relative et une visibilité institutionnelle appréciables. Le BPA de 888 FCFA par action signifie que chaque titre génère près de 888 FCFA de bénéfice net, un niveau élevé qui traduit la forte rentabilité de la banque. Le PER de 13,1x se situe légèrement au-dessus de la moyenne du marché BRVM (8-12x), ce qui indique que les investisseurs acceptent une prime modérée pour la qualité de la signature BOAC, sans pour autant tomber dans une surévaluation manifeste. Le P/B de 3,64x montre que le marché valorise la banque à plus de trois fois ses fonds propres comptables, une prime de croissance justifiée par un ROE de 27,9% largement supérieur au coût des fonds propres. En revanche, l'EV/EBITDA de 26,6x apparaît très exigeant (&gt;15x), signalant que la valeur d'entreprise intègre déjà une bonne partie des anticipations de croissance — un point de vigilance pour les investisseurs en quête de marges de sécurité.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BOAC affiche une performance remarquable de +31,09%, avec une dernière séance en hausse de +1,09%, confirmant une dynamique haussière solide et bien ancrée. Le titre a évolué dans un range large de 8 585 FCFA (plus bas) à 13 450 FCFA (plus haut), soit une amplitude de près de 57%, ce qui témoigne d'une forte volatilité intra-période malgré une tendance directionnelle claire. Le cours actuel de 11 595 FCFA se situe dans la partie médiane-haute de ce range, suggérant une consolidation après le pic atteint. Les statistiques descriptives révèlent une moyenne de 10 420 FCFA supérieure à la médiane de 9 732 FCFA, ce qui indique une distribution légèrement tirée vers le haut par les récents sommets, cohérente avec le skewness positif de 0,440 (distribution symétrique à légèrement asymétrique à droite). L'écart-type de 1 595 FCFA avec un coefficient de variation de 15,3% traduit une dispersion modérée du cours autour de sa moyenne. Le kurtosis de -1,404 (platykurtique) signale une distribution aplatie avec un risque de pics extrêmes relativement faible, ce qui est rassurant pour la gestion du risque. Enfin, la volatilité annualisée de 27,9% place le titre dans la catégorie des valeurs à volatilité modérée (15-30%), ce qui reste acceptable pour une action bancaire de premier plan.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12 099,75 FCFA et la MM50 à 11 812,5 FCFA, toutes deux supérieures au cours actuel de 11 595 FCFA, ce qui place le titre en position de repli sous ses moyennes court et moyen terme. Cependant, la MM20 reste au-dessus de la MM50, conservant une configuration haussière de fond, ce qui justifie la décision technique d'**Achat** malgré le repli actuel — le titre évolue dans une phase de correction au sein d'une tendance haussière plus large.</w:t>
      </w:r>
    </w:p>
    <w:p>
      <w:pPr>
        <w:spacing w:after="120" w:line="276" w:lineRule="auto"/>
      </w:pPr>
      <w:r>
        <w:t>**Bandes de Bollinger** : Le cours actuel de 11 595 FCFA se situe entre la borne inférieure (11 115,28 FCFA) et la borne supérieure (13 084,22 FCFA), plus proche de la borne basse, ce qui indique une pression vendeuse récente mais sans rupture des supports. La largeur des bandes reflète une volatilité encore présente, et la décision **Neutre** suggère que le titre n'est ni en zone de survente extrême ni en zone de surachat, offrant un point d'entrée potentiel pour les investisseurs patients.</w:t>
      </w:r>
    </w:p>
    <w:p>
      <w:pPr>
        <w:spacing w:after="120" w:line="276" w:lineRule="auto"/>
      </w:pPr>
      <w:r>
        <w:t>**MACD** : La valeur du MACD (-176,38) est nettement inférieure à son signal (-21,683), générant un histogramme négatif qui confirme un momentum baissier à court terme. La décision de **Vente** émise par cet indicateur signale que la pression baissière domine actuellement, et une convergence haussière du MACD vers son signal serait nécessaire pour envisager un retournement.</w:t>
      </w:r>
    </w:p>
    <w:p>
      <w:pPr>
        <w:spacing w:after="120" w:line="276" w:lineRule="auto"/>
      </w:pPr>
      <w:r>
        <w:t>**RSI** : À 32,0, le RSI se situe juste au-dessus du seuil de survente (30), ce qui indique que le titre approche d'une zone de rebond potentiel sans y être encore entré. La décision **Neutre** reflète cette position charnière : un RSI sous 30 déclencherait un signal d'achat technique, mais pour l'instant la prudence reste de mise.</w:t>
      </w:r>
    </w:p>
    <w:p>
      <w:pPr>
        <w:spacing w:after="120" w:line="276" w:lineRule="auto"/>
      </w:pPr>
      <w:r>
        <w:t>**Stochastique** : Le %K (46,77) est supérieur au %D (28,73), ce qui constitue un croisement haussier potentiel en zone neutre, suggérant un début de redressement du momentum. La décision **Neutre** est cohérente avec cette configuration qui n'est ni franchement haussière ni baissière, mais qui penche légèrement vers un rebond.</w:t>
      </w:r>
    </w:p>
    <w:p>
      <w:pPr>
        <w:spacing w:after="120" w:line="276" w:lineRule="auto"/>
      </w:pPr>
      <w:r>
        <w:t>**Conclusion technique** : Les indicateurs techniques présentent un tableau mitigé — le MACD est baissier, le RSI est proche de la survente, les Bandes de Bollinger et le Stochastique sont neutres, tandis que les Moyennes Mobiles conservent une orientation haussière de fond. Cette divergence suggère que le titre traverse une phase de consolidation corrective au sein d'une tendance haussière plus large, avec un potentiel de rebond technique à court terme si le RSI franchit la zone de survente et que le MACD se retourne.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BOAC a réalisé un Produit Net Bancaire (PNB) de 73 545 millions FCFA, en légère hausse de +1,1% par rapport à 2024 (72 724 millions), avec un résultat net de 35 540 millions FCFA en progression de +10,9% sur un an. Le ROE s'établit à 27,91% (excellent, &gt;15%) et le ROA à 3,22%, confirmant la forte capacité de la banque à générer des profits sur ses fonds propres et ses actifs. Le coefficient d'exploitation de 36,70% est excellent (&lt;50%), témoignant d'une grande efficacité opérationnelle, tandis que le coût du risque de 6,67% reste modéré et en amélioration (provisions de -4 902 millions contre -6 791 millions en 2024, soit -27,8%). La structure bilancielle affiche des dépôts clientèle de 850 548 millions FCFA pour des créances clientèle de 430 433 millions, soit un ratio de transformation de 50,6% — la banque collecte deux fois plus qu'elle ne prête, ce qui traduit une politique de crédit prudente mais aussi un potentiel de croissance du crédit important. Les capitaux propres de 127 340 millions FCFA pour un total bilan de 1 103 306 millions donnent une autonomie financière de 11,54%, typique du modèle bancaire (effet de levier élevé), avec une solvabilité générale de 113,05% (&gt;1, donc solvable).</w:t>
      </w:r>
    </w:p>
    <w:p>
      <w:pPr>
        <w:spacing w:after="120" w:line="276" w:lineRule="auto"/>
      </w:pPr>
      <w:r>
        <w:t>**Estimations basées sur les rapports trimestriels** : Le rapport du T1 2026 (publié le 31/03/2026) indique un PNB de 18 960 millions FCFA (+3,09% sur un an) et un résultat net de 10 801 millions (+0,91%), avec un coefficient d'exploitation stable à 35,68%. Point d'attention : le coût net du risque bondit de +314,75% (-652 vs -157 millions), une dégradation marquée mais sur des montants encore modestes. Les dépôts clientèle bondissent de +21,44% (923 307 millions) tandis que les crédits nets restent quasi stables (-0,29% à 442 169 millions), creusant davantage l'écart de transformation. Sur la base de ce T1 2026, on peut estimer que l'exercice 2026 devrait afficher une croissance modérée du PNB (autour de +2-3%) et un résultat net en légère progression, sous réserve que la hausse du coût du risque ne se confirme pas sur les trimestres suivants. Le rapport annuel 2025 (publié le 31/12/2025) confirme la solidité fondamentale avec une recommandation d'**ACHAT**, soulignant la croissance rentable, l'amélioration du coût du risque et un dividende en hausse (684 FCFA/action au titre de 2024, soit un rendement d'environ 5,9% au cours actuel). Le rapport du T3 2025 (publié le 30/09/2025) faisait état d'un PNB cumulé de 53 494 millions (+0,23%) et d'un résultat net de 26 632 millions (+1,29%), avec une recommandation de **CONSERVER**. En synthèse, BOAC présente des fondamentaux solides (ROE élevé, efficacité opérationnelle, dividende attractif) mais fait face à un ralentissement de la croissance du PNB et à une vigilance sur le coût du risque, ce qui justifie une recommandation fondamentale de **CONSERVER** à court terme, avec un biais positif à moyen terme si la croissance du crédit reprend.</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BOAC (Partie 0) apparaît raisonnable avec un PER de 13,1x légèrement supérieur à la moyenne du marché, un P/B de 3,64x justifié par un ROE de 27,9%, mais un EV/EBITDA de 26,6x très exigeant qui limite la marge de sécurité. Le comportement du cours (Partie 1) est haussier sur 100 jours (+31,09%) avec une volatilité modérée (27,9%) et une distribution platykurtique (kurtosis -1,404) qui réduit le risque de pics extrêmes, mais le repli récent sous les moyennes mobiles suggère une consolidation en cours. Les signaux techniques (Partie 2) sont divergents : le MACD est baissier, le RSI proche de la survente, tandis que les Moyennes Mobiles conservent une orientation haussière et que le Stochastique amorce un croisement haussier — cette configuration plaide pour une phase de consolidation avant une reprise potentielle. Les fondamentaux (Partie 3) restent solides avec un ROE de 27,9%, un coefficient d'exploitation de 36,7% et un dividende attractif, mais le ralentissement de la croissance du PNB (+1,1% en 2025, +3,09% au T1 2026) et la hausse du coût du risque au T1 2026 (+314,75%) appellent à la prudence. Les prédictions IA (J+1 à J+10) anticipent une légère baisse du cours de 11 488 FCFA à 11 313 FCFA, ce qui confirme la phase de consolidation à court terme sans remettre en cause la tendance haussière de fond. **Recommandation finale : CONSERVER** — la convergence entre une valorisation correcte, des fondamentaux solides mais en ralentissement, des signaux techniques mitigés et des prédictions baissières à court terme ne justifie pas un achat agressif, mais la qualité de la signature et le dividende protègent contre une vente. Le niveau de confiance est **Moyen** (les indicateurs sont divergents) et le risque global est **Moyen** (volatilité modérée, mais EV/EBITDA élevé et coût du risque en hausse). L'horizon d'investissement optimal est le **moyen terme (3-12 mois)**, le temps que la consolidation technique s'achève et que la croissance du crédit reprenne, avec un potentiel de retour vers les 13 000 FCFA si les fondamentaux se confirment.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172.66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6,469 titres</w:t>
            </w:r>
          </w:p>
        </w:tc>
        <w:tc>
          <w:tcPr>
            <w:tcW w:type="dxa" w:w="2268"/>
            <w:shd w:fill="FFF2CC" w:val="clear"/>
          </w:tcPr>
          <w:p>
            <w:r>
              <w:rPr>
                <w:b/>
                <w:color w:val="503200"/>
                <w:sz w:val="16"/>
              </w:rPr>
              <w:t xml:space="preserve">Cours actuel : </w:t>
            </w:r>
            <w:r>
              <w:rPr>
                <w:color w:val="000000"/>
                <w:sz w:val="17"/>
              </w:rPr>
              <w:t>6,290 FCFA</w:t>
            </w:r>
          </w:p>
          <w:p>
            <w:r>
              <w:rPr>
                <w:b/>
                <w:color w:val="503200"/>
                <w:sz w:val="16"/>
              </w:rPr>
              <w:t xml:space="preserve">Var. 100 jours : </w:t>
            </w:r>
            <w:r>
              <w:rPr>
                <w:b/>
                <w:color w:val="007800"/>
                <w:sz w:val="17"/>
              </w:rPr>
              <w:t>+33.83%</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14.30% (Moyenne) — μ=5,531 FCFA, σ=791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β=1.4363 (Agressif) — Cov=0.000099, Var(idx)=0.000069, ρ=0.442,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6,469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σ_j=2.70%/j (Stable) — Vol. annualisée≈42.8%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2026-09-28</w:t>
            </w:r>
          </w:p>
        </w:tc>
        <w:tc>
          <w:tcPr>
            <w:tcW w:type="dxa" w:w="1440"/>
            <w:shd w:fill="C6EFCE" w:val="clear"/>
          </w:tcPr>
          <w:p>
            <w:r>
              <w:rPr>
                <w:sz w:val="17"/>
              </w:rPr>
              <w:t>6,111</w:t>
            </w:r>
          </w:p>
        </w:tc>
        <w:tc>
          <w:tcPr>
            <w:tcW w:type="dxa" w:w="1440"/>
            <w:shd w:fill="C6EFCE" w:val="clear"/>
          </w:tcPr>
          <w:p>
            <w:r>
              <w:rPr>
                <w:b/>
                <w:sz w:val="17"/>
              </w:rPr>
              <w:t>6,475</w:t>
            </w:r>
          </w:p>
        </w:tc>
        <w:tc>
          <w:tcPr>
            <w:tcW w:type="dxa" w:w="1440"/>
            <w:shd w:fill="C6EFCE" w:val="clear"/>
          </w:tcPr>
          <w:p>
            <w:r>
              <w:rPr>
                <w:sz w:val="17"/>
              </w:rPr>
              <w:t>6,839</w:t>
            </w:r>
          </w:p>
        </w:tc>
        <w:tc>
          <w:tcPr>
            <w:tcW w:type="dxa" w:w="1440"/>
            <w:shd w:fill="C6EFCE" w:val="clear"/>
          </w:tcPr>
          <w:p>
            <w:r>
              <w:rPr>
                <w:b/>
                <w:color w:val="008000"/>
                <w:sz w:val="17"/>
              </w:rPr>
              <w:t>+2.9%</w:t>
            </w:r>
          </w:p>
        </w:tc>
      </w:tr>
      <w:tr>
        <w:tc>
          <w:tcPr>
            <w:tcW w:type="dxa" w:w="1440"/>
            <w:shd w:fill="C6EFCE" w:val="clear"/>
          </w:tcPr>
          <w:p>
            <w:r>
              <w:rPr>
                <w:sz w:val="17"/>
              </w:rPr>
              <w:t>J+2  Moyenne</w:t>
            </w:r>
          </w:p>
        </w:tc>
        <w:tc>
          <w:tcPr>
            <w:tcW w:type="dxa" w:w="1440"/>
            <w:shd w:fill="C6EFCE" w:val="clear"/>
          </w:tcPr>
          <w:p>
            <w:r>
              <w:rPr>
                <w:sz w:val="17"/>
              </w:rPr>
              <w:t>2026-09-29</w:t>
            </w:r>
          </w:p>
        </w:tc>
        <w:tc>
          <w:tcPr>
            <w:tcW w:type="dxa" w:w="1440"/>
            <w:shd w:fill="C6EFCE" w:val="clear"/>
          </w:tcPr>
          <w:p>
            <w:r>
              <w:rPr>
                <w:sz w:val="17"/>
              </w:rPr>
              <w:t>6,018</w:t>
            </w:r>
          </w:p>
        </w:tc>
        <w:tc>
          <w:tcPr>
            <w:tcW w:type="dxa" w:w="1440"/>
            <w:shd w:fill="C6EFCE" w:val="clear"/>
          </w:tcPr>
          <w:p>
            <w:r>
              <w:rPr>
                <w:b/>
                <w:sz w:val="17"/>
              </w:rPr>
              <w:t>6,538</w:t>
            </w:r>
          </w:p>
        </w:tc>
        <w:tc>
          <w:tcPr>
            <w:tcW w:type="dxa" w:w="1440"/>
            <w:shd w:fill="C6EFCE" w:val="clear"/>
          </w:tcPr>
          <w:p>
            <w:r>
              <w:rPr>
                <w:sz w:val="17"/>
              </w:rPr>
              <w:t>7,058</w:t>
            </w:r>
          </w:p>
        </w:tc>
        <w:tc>
          <w:tcPr>
            <w:tcW w:type="dxa" w:w="1440"/>
            <w:shd w:fill="C6EFCE" w:val="clear"/>
          </w:tcPr>
          <w:p>
            <w:r>
              <w:rPr>
                <w:b/>
                <w:color w:val="008000"/>
                <w:sz w:val="17"/>
              </w:rPr>
              <w:t>+3.9%</w:t>
            </w:r>
          </w:p>
        </w:tc>
      </w:tr>
      <w:tr>
        <w:tc>
          <w:tcPr>
            <w:tcW w:type="dxa" w:w="1440"/>
            <w:shd w:fill="C6EFCE" w:val="clear"/>
          </w:tcPr>
          <w:p>
            <w:r>
              <w:rPr>
                <w:sz w:val="17"/>
              </w:rPr>
              <w:t>J+3  Moyenne</w:t>
            </w:r>
          </w:p>
        </w:tc>
        <w:tc>
          <w:tcPr>
            <w:tcW w:type="dxa" w:w="1440"/>
            <w:shd w:fill="C6EFCE" w:val="clear"/>
          </w:tcPr>
          <w:p>
            <w:r>
              <w:rPr>
                <w:sz w:val="17"/>
              </w:rPr>
              <w:t>2026-09-30</w:t>
            </w:r>
          </w:p>
        </w:tc>
        <w:tc>
          <w:tcPr>
            <w:tcW w:type="dxa" w:w="1440"/>
            <w:shd w:fill="C6EFCE" w:val="clear"/>
          </w:tcPr>
          <w:p>
            <w:r>
              <w:rPr>
                <w:sz w:val="17"/>
              </w:rPr>
              <w:t>5,930</w:t>
            </w:r>
          </w:p>
        </w:tc>
        <w:tc>
          <w:tcPr>
            <w:tcW w:type="dxa" w:w="1440"/>
            <w:shd w:fill="C6EFCE" w:val="clear"/>
          </w:tcPr>
          <w:p>
            <w:r>
              <w:rPr>
                <w:b/>
                <w:sz w:val="17"/>
              </w:rPr>
              <w:t>6,569</w:t>
            </w:r>
          </w:p>
        </w:tc>
        <w:tc>
          <w:tcPr>
            <w:tcW w:type="dxa" w:w="1440"/>
            <w:shd w:fill="C6EFCE" w:val="clear"/>
          </w:tcPr>
          <w:p>
            <w:r>
              <w:rPr>
                <w:sz w:val="17"/>
              </w:rPr>
              <w:t>7,209</w:t>
            </w:r>
          </w:p>
        </w:tc>
        <w:tc>
          <w:tcPr>
            <w:tcW w:type="dxa" w:w="1440"/>
            <w:shd w:fill="C6EFCE" w:val="clear"/>
          </w:tcPr>
          <w:p>
            <w:r>
              <w:rPr>
                <w:b/>
                <w:color w:val="008000"/>
                <w:sz w:val="17"/>
              </w:rPr>
              <w:t>+4.4%</w:t>
            </w:r>
          </w:p>
        </w:tc>
      </w:tr>
      <w:tr>
        <w:tc>
          <w:tcPr>
            <w:tcW w:type="dxa" w:w="1440"/>
            <w:shd w:fill="C6EFCE" w:val="clear"/>
          </w:tcPr>
          <w:p>
            <w:r>
              <w:rPr>
                <w:sz w:val="17"/>
              </w:rPr>
              <w:t>J+4  ⭐</w:t>
            </w:r>
          </w:p>
        </w:tc>
        <w:tc>
          <w:tcPr>
            <w:tcW w:type="dxa" w:w="1440"/>
            <w:shd w:fill="C6EFCE" w:val="clear"/>
          </w:tcPr>
          <w:p>
            <w:r>
              <w:rPr>
                <w:sz w:val="17"/>
              </w:rPr>
              <w:t>2026-10-01</w:t>
            </w:r>
          </w:p>
        </w:tc>
        <w:tc>
          <w:tcPr>
            <w:tcW w:type="dxa" w:w="1440"/>
            <w:shd w:fill="C6EFCE" w:val="clear"/>
          </w:tcPr>
          <w:p>
            <w:r>
              <w:rPr>
                <w:sz w:val="17"/>
              </w:rPr>
              <w:t>5,862</w:t>
            </w:r>
          </w:p>
        </w:tc>
        <w:tc>
          <w:tcPr>
            <w:tcW w:type="dxa" w:w="1440"/>
            <w:shd w:fill="C6EFCE" w:val="clear"/>
          </w:tcPr>
          <w:p>
            <w:r>
              <w:rPr>
                <w:b/>
                <w:sz w:val="17"/>
              </w:rPr>
              <w:t>6,605</w:t>
            </w:r>
          </w:p>
        </w:tc>
        <w:tc>
          <w:tcPr>
            <w:tcW w:type="dxa" w:w="1440"/>
            <w:shd w:fill="C6EFCE" w:val="clear"/>
          </w:tcPr>
          <w:p>
            <w:r>
              <w:rPr>
                <w:sz w:val="17"/>
              </w:rPr>
              <w:t>7,347</w:t>
            </w:r>
          </w:p>
        </w:tc>
        <w:tc>
          <w:tcPr>
            <w:tcW w:type="dxa" w:w="1440"/>
            <w:shd w:fill="C6EFCE" w:val="clear"/>
          </w:tcPr>
          <w:p>
            <w:r>
              <w:rPr>
                <w:b/>
                <w:color w:val="008000"/>
                <w:sz w:val="17"/>
              </w:rPr>
              <w:t>+5.0%</w:t>
            </w:r>
          </w:p>
        </w:tc>
      </w:tr>
      <w:tr>
        <w:tc>
          <w:tcPr>
            <w:tcW w:type="dxa" w:w="1440"/>
            <w:shd w:fill="C6EFCE" w:val="clear"/>
          </w:tcPr>
          <w:p>
            <w:r>
              <w:rPr>
                <w:sz w:val="17"/>
              </w:rPr>
              <w:t>J+5  ⭐</w:t>
            </w:r>
          </w:p>
        </w:tc>
        <w:tc>
          <w:tcPr>
            <w:tcW w:type="dxa" w:w="1440"/>
            <w:shd w:fill="C6EFCE" w:val="clear"/>
          </w:tcPr>
          <w:p>
            <w:r>
              <w:rPr>
                <w:sz w:val="17"/>
              </w:rPr>
              <w:t>2026-10-02</w:t>
            </w:r>
          </w:p>
        </w:tc>
        <w:tc>
          <w:tcPr>
            <w:tcW w:type="dxa" w:w="1440"/>
            <w:shd w:fill="C6EFCE" w:val="clear"/>
          </w:tcPr>
          <w:p>
            <w:r>
              <w:rPr>
                <w:sz w:val="17"/>
              </w:rPr>
              <w:t>5,811</w:t>
            </w:r>
          </w:p>
        </w:tc>
        <w:tc>
          <w:tcPr>
            <w:tcW w:type="dxa" w:w="1440"/>
            <w:shd w:fill="C6EFCE" w:val="clear"/>
          </w:tcPr>
          <w:p>
            <w:r>
              <w:rPr>
                <w:b/>
                <w:sz w:val="17"/>
              </w:rPr>
              <w:t>6,647</w:t>
            </w:r>
          </w:p>
        </w:tc>
        <w:tc>
          <w:tcPr>
            <w:tcW w:type="dxa" w:w="1440"/>
            <w:shd w:fill="C6EFCE" w:val="clear"/>
          </w:tcPr>
          <w:p>
            <w:r>
              <w:rPr>
                <w:sz w:val="17"/>
              </w:rPr>
              <w:t>7,483</w:t>
            </w:r>
          </w:p>
        </w:tc>
        <w:tc>
          <w:tcPr>
            <w:tcW w:type="dxa" w:w="1440"/>
            <w:shd w:fill="C6EFCE" w:val="clear"/>
          </w:tcPr>
          <w:p>
            <w:r>
              <w:rPr>
                <w:b/>
                <w:color w:val="008000"/>
                <w:sz w:val="17"/>
              </w:rPr>
              <w:t>+5.7%</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5,771</w:t>
            </w:r>
          </w:p>
        </w:tc>
        <w:tc>
          <w:tcPr>
            <w:tcW w:type="dxa" w:w="1440"/>
            <w:shd w:fill="C6EFCE" w:val="clear"/>
          </w:tcPr>
          <w:p>
            <w:r>
              <w:rPr>
                <w:b/>
                <w:sz w:val="17"/>
              </w:rPr>
              <w:t>6,693</w:t>
            </w:r>
          </w:p>
        </w:tc>
        <w:tc>
          <w:tcPr>
            <w:tcW w:type="dxa" w:w="1440"/>
            <w:shd w:fill="C6EFCE" w:val="clear"/>
          </w:tcPr>
          <w:p>
            <w:r>
              <w:rPr>
                <w:sz w:val="17"/>
              </w:rPr>
              <w:t>7,614</w:t>
            </w:r>
          </w:p>
        </w:tc>
        <w:tc>
          <w:tcPr>
            <w:tcW w:type="dxa" w:w="1440"/>
            <w:shd w:fill="C6EFCE" w:val="clear"/>
          </w:tcPr>
          <w:p>
            <w:r>
              <w:rPr>
                <w:b/>
                <w:color w:val="008000"/>
                <w:sz w:val="17"/>
              </w:rPr>
              <w:t>+6.4%</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5,735</w:t>
            </w:r>
          </w:p>
        </w:tc>
        <w:tc>
          <w:tcPr>
            <w:tcW w:type="dxa" w:w="1440"/>
            <w:shd w:fill="C6EFCE" w:val="clear"/>
          </w:tcPr>
          <w:p>
            <w:r>
              <w:rPr>
                <w:b/>
                <w:sz w:val="17"/>
              </w:rPr>
              <w:t>6,738</w:t>
            </w:r>
          </w:p>
        </w:tc>
        <w:tc>
          <w:tcPr>
            <w:tcW w:type="dxa" w:w="1440"/>
            <w:shd w:fill="C6EFCE" w:val="clear"/>
          </w:tcPr>
          <w:p>
            <w:r>
              <w:rPr>
                <w:sz w:val="17"/>
              </w:rPr>
              <w:t>7,740</w:t>
            </w:r>
          </w:p>
        </w:tc>
        <w:tc>
          <w:tcPr>
            <w:tcW w:type="dxa" w:w="1440"/>
            <w:shd w:fill="C6EFCE" w:val="clear"/>
          </w:tcPr>
          <w:p>
            <w:r>
              <w:rPr>
                <w:b/>
                <w:color w:val="008000"/>
                <w:sz w:val="17"/>
              </w:rPr>
              <w:t>+7.1%</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5,702</w:t>
            </w:r>
          </w:p>
        </w:tc>
        <w:tc>
          <w:tcPr>
            <w:tcW w:type="dxa" w:w="1440"/>
            <w:shd w:fill="C6EFCE" w:val="clear"/>
          </w:tcPr>
          <w:p>
            <w:r>
              <w:rPr>
                <w:b/>
                <w:sz w:val="17"/>
              </w:rPr>
              <w:t>6,781</w:t>
            </w:r>
          </w:p>
        </w:tc>
        <w:tc>
          <w:tcPr>
            <w:tcW w:type="dxa" w:w="1440"/>
            <w:shd w:fill="C6EFCE" w:val="clear"/>
          </w:tcPr>
          <w:p>
            <w:r>
              <w:rPr>
                <w:sz w:val="17"/>
              </w:rPr>
              <w:t>7,859</w:t>
            </w:r>
          </w:p>
        </w:tc>
        <w:tc>
          <w:tcPr>
            <w:tcW w:type="dxa" w:w="1440"/>
            <w:shd w:fill="C6EFCE" w:val="clear"/>
          </w:tcPr>
          <w:p>
            <w:r>
              <w:rPr>
                <w:b/>
                <w:color w:val="008000"/>
                <w:sz w:val="17"/>
              </w:rPr>
              <w:t>+7.8%</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5,671</w:t>
            </w:r>
          </w:p>
        </w:tc>
        <w:tc>
          <w:tcPr>
            <w:tcW w:type="dxa" w:w="1440"/>
            <w:shd w:fill="C6EFCE" w:val="clear"/>
          </w:tcPr>
          <w:p>
            <w:r>
              <w:rPr>
                <w:b/>
                <w:sz w:val="17"/>
              </w:rPr>
              <w:t>6,821</w:t>
            </w:r>
          </w:p>
        </w:tc>
        <w:tc>
          <w:tcPr>
            <w:tcW w:type="dxa" w:w="1440"/>
            <w:shd w:fill="C6EFCE" w:val="clear"/>
          </w:tcPr>
          <w:p>
            <w:r>
              <w:rPr>
                <w:sz w:val="17"/>
              </w:rPr>
              <w:t>7,972</w:t>
            </w:r>
          </w:p>
        </w:tc>
        <w:tc>
          <w:tcPr>
            <w:tcW w:type="dxa" w:w="1440"/>
            <w:shd w:fill="C6EFCE" w:val="clear"/>
          </w:tcPr>
          <w:p>
            <w:r>
              <w:rPr>
                <w:b/>
                <w:color w:val="008000"/>
                <w:sz w:val="17"/>
              </w:rPr>
              <w:t>+8.4%</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5,640</w:t>
            </w:r>
          </w:p>
        </w:tc>
        <w:tc>
          <w:tcPr>
            <w:tcW w:type="dxa" w:w="1440"/>
            <w:shd w:fill="C6EFCE" w:val="clear"/>
          </w:tcPr>
          <w:p>
            <w:r>
              <w:rPr>
                <w:b/>
                <w:sz w:val="17"/>
              </w:rPr>
              <w:t>6,860</w:t>
            </w:r>
          </w:p>
        </w:tc>
        <w:tc>
          <w:tcPr>
            <w:tcW w:type="dxa" w:w="1440"/>
            <w:shd w:fill="C6EFCE" w:val="clear"/>
          </w:tcPr>
          <w:p>
            <w:r>
              <w:rPr>
                <w:sz w:val="17"/>
              </w:rPr>
              <w:t>8,079</w:t>
            </w:r>
          </w:p>
        </w:tc>
        <w:tc>
          <w:tcPr>
            <w:tcW w:type="dxa" w:w="1440"/>
            <w:shd w:fill="C6EFCE" w:val="clear"/>
          </w:tcPr>
          <w:p>
            <w:r>
              <w:rPr>
                <w:b/>
                <w:color w:val="008000"/>
                <w:sz w:val="17"/>
              </w:rPr>
              <w:t>+9.1%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172,66 milliards FCFA, BOA Mali se positionne comme une valeur de taille intermédiaire sur la BRVM, représentant un acteur bancaire significatif du compartiment financier régional. Le BPA de 404 FCFA/action indique que chaque titre génère près de 404 FCFA de bénéfice net, ce qui, rapporté au cours actuel de 6 290 FCFA, confère un PER de 15,6x — légèrement supérieur à la moyenne BRVM (8-12x), suggérant que le marché intègre déjà une prime de qualité et de croissance. Le P/B de 3,47x traduit une valorisation nettement supérieure à la valeur comptable (2-4x = prime de croissance accordée), ce qui est cohérent avec la rentabilité élevée de la banque (ROE &gt;22%). L'EV/EBITDA de 8,1x, dans la fourchette raisonnable de 5-10x, indique que la valeur totale de l'entreprise reste proportionnée à sa capacité opérationnelle. Globalement, la valorisation apparaît modérément tendue mais justifiée par les fondamentaux.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BOAM affiche une performance remarquable de +33,83%, avec une dernière séance en forte hausse de +6,97%, témoignant d'un momentum haussier vigoureux. Le titre a évolué dans un range large de 4 425 FCFA (plus bas) à 7 195 FCFA (plus haut), soit une amplitude de 62,6%, reflétant une forte volatilité intra-période. Le cours actuel de 6 290 FCFA se situe au-dessus de la moyenne (5 531 FCFA) et de la médiane (5 588 FCFA), confirmant la tendance haussière récente. L'écart faible entre moyenne et médiane (57 FCFA) indique une distribution globalement symétrique, corroborée par un skewness de 0,427 (distribution symétrique). L'écart-type de 795 FCFA avec un coefficient de variation de 14,4% traduit une dispersion modérée du cours autour de sa moyenne. Le kurtosis de -0,991 (mésokurtique) suggère une distribution proche de la normale, sans risque excessif de pics extrêmes. La volatilité annualisée de 42,8% classe le titre dans la catégorie **élevée** (&gt;30%), ce qui est typique des valeurs bancaires africaines mais implique une gestion rigoureuse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(6 594,25 FCFA) et la MM50 (6 193,30 FCFA) encadrent le cours actuel (6 290 FCFA), qui se situe entre les deux. La MM20 est supérieure à la MM50, confirmant une configuration haussière de court terme, bien que le cours soit légèrement sous la MM20. La décision technique est **Achat**, soutenue par la dynamique positive des moyennes.</w:t>
      </w:r>
    </w:p>
    <w:p>
      <w:pPr>
        <w:spacing w:after="120" w:line="276" w:lineRule="auto"/>
      </w:pPr>
      <w:r>
        <w:t>**Bandes de Bollinger** : Le cours (6 290 FCFA) évolue dans la partie médiane de la bande, entre la borne inférieure (5 649,42 FCFA) et supérieure (7 539,08 FCFA). La largeur de la bande (1 889,66 FCFA) reflète une volatilité élevée. La décision est **Neutre**, le cours n'étant ni en zone de surachat ni de survente.</w:t>
      </w:r>
    </w:p>
    <w:p>
      <w:pPr>
        <w:spacing w:after="120" w:line="276" w:lineRule="auto"/>
      </w:pPr>
      <w:r>
        <w:t>**MACD** : La valeur du MACD (-47,464) est inférieure à son signal (101,517), générant une divergence baissière et une décision de **Vente**. Ce signal suggère un essoufflement du momentum haussier malgré la récente progression du cours.</w:t>
      </w:r>
    </w:p>
    <w:p>
      <w:pPr>
        <w:spacing w:after="120" w:line="276" w:lineRule="auto"/>
      </w:pPr>
      <w:r>
        <w:t>**RSI** : À 39,895, le RSI se situe en zone neutre basse (30-70), sans signal de survente (&lt;30) ni de surachat (&gt;70). La décision est **Neutre**, indiquant une absence de pression directionnelle forte.</w:t>
      </w:r>
    </w:p>
    <w:p>
      <w:pPr>
        <w:spacing w:after="120" w:line="276" w:lineRule="auto"/>
      </w:pPr>
      <w:r>
        <w:t>**Stochastique** : Le %K (47,536) est supérieur au %D (23,768), avec un croisement potentiellement haussier en formation. La décision reste **Neutre**, le signal n'étant pas encore confirmé.</w:t>
      </w:r>
    </w:p>
    <w:p>
      <w:pPr>
        <w:spacing w:after="120" w:line="276" w:lineRule="auto"/>
      </w:pPr>
      <w:r>
        <w:t>**Conclusion technique** : Les indicateurs présentent une configuration mitigée. Les moyennes mobiles et le stochastique suggèrent une dynamique haussière, tandis que le MACD émet un signal baissier et que le RSI et les Bollinger restent neutres. Cette divergence plaide pour une prudence à court terme, malgré la tendance de fond positive.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BOA Mali affiche un Produit Net Bancaire (PNB) de 37,996 milliards FCFA, en croissance de 5,08% sur un an, confirmant la dynamique commerciale de la banque. Le résultat net s'établit à 11,081 milliards FCFA, avec une marge nette de 29,16% et un ROE exceptionnel de 22,24% (&gt;15% = excellent), témoignant d'une rentabilité des fonds propres remarquable. Le ROA de 1,87% reste solide pour le secteur bancaire. Le coefficient d'exploitation de 63,14% (&gt;60%) indique une efficacité opérationnelle perfectible, bien que proche du seuil de performance. Le coût du risque, mesuré à 43,39% des charges financières, demeure élevé et constitue un point de vigilance majeur. La structure financière montre une autonomie financière faible (8,40%) et une dépendance aux dépôts clientèle (502,89 milliards FCFA) comme principale ressource, avec un ratio de transformation dépôts/crédits de 1,98x (dépôts/créances), signalant une surliquidité relative.</w:t>
      </w:r>
    </w:p>
    <w:p>
      <w:pPr>
        <w:spacing w:after="120" w:line="276" w:lineRule="auto"/>
      </w:pPr>
      <w:r>
        <w:t>**Estimations basées sur les rapports trimestriels** : Le rapport du T1 2026 (publié le 31/12/2026) révèle un PNB de 10,322 milliards FCFA, en hausse de +22,97% sur un an, marquant une accélération significative. Le rapport du S1 2026 (publié le 31/12/2026) confirme cette tendance avec un PNB de 21,987 milliards FCFA (+17,5% sur un an). Sur cette base, on estime que l'exercice 2026 devrait enregistrer un PNB annuel compris entre 42 et 44 milliards FCFA, soit une croissance de 10-15% par rapport à 2025. Le rapport du T3 2025 (30/09/2025) indiquait déjà un résultat net cumulé de 9,16 milliards FCFA (+26,2%), laissant présager un résultat net annuel 2025 supérieur à 11 milliards FCFA, ce qui est confirmé par les données structurées. Les rapports antérieurs (S1 2025, T1 2025) montrent une résilience constante malgré un contexte sécuritaire et inflationniste difficile, avec une amélioration du coût du risque (-32,7% au S1 2025).</w:t>
      </w:r>
    </w:p>
    <w:p>
      <w:pPr>
        <w:spacing w:after="120" w:line="276" w:lineRule="auto"/>
      </w:pPr>
      <w:r>
        <w:t>**Recommandation fondamentale** : BOA Mali présente des fondamentaux solides, portés par une rentabilité élevée (ROE &gt;22%), une croissance du PNB accélérée en 2026 (+17,5% au S1) et une gestion prudente des risques. Les principaux risques identifiés sont le coût du risque élevé (43,39%), la dépendance aux dépôts clientèle et l'exposition au contexte macroéconomique malien (insécurité, inflation). La valorisation (PER 15,6x) intègre déjà une prime de qualité, mais la dynamique bénéficiaire justifie une position **Conserver** avec un biais positif.</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BOAM (PER 15,6x, P/B 3,47x, EV/EBITDA 8,1x) apparaît modérément tendue mais justifiée par une rentabilité exceptionnelle (ROE 22,24%) et une croissance accélérée du PNB en 2026 (+17,5% au S1). Le comportement du cours sur 100 jours est nettement haussier (+33,83%), avec une volatilité élevée (42,8%) et une distribution symétrique (skewness 0,427, kurtosis -0,991), sans risque excessif de pics extrêmes. Les signaux techniques sont divergents : les moyennes mobiles et le stochastique sont haussiers, mais le MACD est baissier et le RSI/Bollinger sont neutres, suggérant une consolidation possible à court terme. Les fondamentaux sont solides, avec un ROE &gt;22%, une marge nette de 29,16% et une croissance du PNB confirmée par les rapports T1 2026 (+22,97%) et S1 2026 (+17,5%). Les prédictions IA (J+1 à J+10) anticipent une poursuite de la hausse vers 6 647 FCFA (+5,7% depuis 6 290 FCFA), confirmant la tendance de fond. **Recommandation finale : CONSERVER avec biais ACHAT**. La convergence entre fondamentaux solides, prédictions haussières et valorisation raisonnable justifie cette position, malgré les signaux techniques mitigés à court terme. **Niveau de confiance : Moyen** (divergence technique). **Niveau de risque : Moyen** (volatilité élevée, contexte macroéconomique). **Horizon d'investissement : Moyen terme (3-12 mois)**, le temps que la croissance bénéficiaire se matérialise et que les indicateurs techniques se réalignent.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106.70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9,001 titres</w:t>
            </w:r>
          </w:p>
        </w:tc>
        <w:tc>
          <w:tcPr>
            <w:tcW w:type="dxa" w:w="2268"/>
            <w:shd w:fill="FFF2CC" w:val="clear"/>
          </w:tcPr>
          <w:p>
            <w:r>
              <w:rPr>
                <w:b/>
                <w:color w:val="503200"/>
                <w:sz w:val="16"/>
              </w:rPr>
              <w:t xml:space="preserve">Cours actuel : </w:t>
            </w:r>
            <w:r>
              <w:rPr>
                <w:color w:val="000000"/>
                <w:sz w:val="17"/>
              </w:rPr>
              <w:t>5,130 FCFA</w:t>
            </w:r>
          </w:p>
          <w:p>
            <w:r>
              <w:rPr>
                <w:b/>
                <w:color w:val="503200"/>
                <w:sz w:val="16"/>
              </w:rPr>
              <w:t xml:space="preserve">Var. 100 jours : </w:t>
            </w:r>
            <w:r>
              <w:rPr>
                <w:b/>
                <w:color w:val="007800"/>
                <w:sz w:val="17"/>
              </w:rPr>
              <w:t>+41.32%</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3,395 FCFA</w:t>
            </w:r>
          </w:p>
          <w:p>
            <w:r>
              <w:rPr>
                <w:b/>
                <w:color w:val="503200"/>
                <w:sz w:val="16"/>
              </w:rPr>
              <w:t xml:space="preserve">Volatilité ann. : </w:t>
            </w:r>
            <w:r>
              <w:rPr>
                <w:color w:val="000000"/>
                <w:sz w:val="17"/>
              </w:rPr>
              <w:t>38.9%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16.67% (Élevée) — μ=4,581 FCFA, σ=764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β=1.3460 (Agressif) — Cov=0.000093, Var(idx)=0.000069, ρ=0.456,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9,001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σ_j=2.45%/j (Stable) — Vol. annualisée≈38.9%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2026-09-28</w:t>
            </w:r>
          </w:p>
        </w:tc>
        <w:tc>
          <w:tcPr>
            <w:tcW w:type="dxa" w:w="1440"/>
            <w:shd w:fill="FFDCE0" w:val="clear"/>
          </w:tcPr>
          <w:p>
            <w:r>
              <w:rPr>
                <w:sz w:val="17"/>
              </w:rPr>
              <w:t>4,697</w:t>
            </w:r>
          </w:p>
        </w:tc>
        <w:tc>
          <w:tcPr>
            <w:tcW w:type="dxa" w:w="1440"/>
            <w:shd w:fill="FFDCE0" w:val="clear"/>
          </w:tcPr>
          <w:p>
            <w:r>
              <w:rPr>
                <w:b/>
                <w:sz w:val="17"/>
              </w:rPr>
              <w:t>4,924</w:t>
            </w:r>
          </w:p>
        </w:tc>
        <w:tc>
          <w:tcPr>
            <w:tcW w:type="dxa" w:w="1440"/>
            <w:shd w:fill="FFDCE0" w:val="clear"/>
          </w:tcPr>
          <w:p>
            <w:r>
              <w:rPr>
                <w:sz w:val="17"/>
              </w:rPr>
              <w:t>5,151</w:t>
            </w:r>
          </w:p>
        </w:tc>
        <w:tc>
          <w:tcPr>
            <w:tcW w:type="dxa" w:w="1440"/>
            <w:shd w:fill="FFDCE0" w:val="clear"/>
          </w:tcPr>
          <w:p>
            <w:r>
              <w:rPr>
                <w:b/>
                <w:color w:val="C00000"/>
                <w:sz w:val="17"/>
              </w:rPr>
              <w:t>-4.0%</w:t>
            </w:r>
          </w:p>
        </w:tc>
      </w:tr>
      <w:tr>
        <w:tc>
          <w:tcPr>
            <w:tcW w:type="dxa" w:w="1440"/>
            <w:shd w:fill="FFDCE0" w:val="clear"/>
          </w:tcPr>
          <w:p>
            <w:r>
              <w:rPr>
                <w:sz w:val="17"/>
              </w:rPr>
              <w:t>J+2  ⭐</w:t>
            </w:r>
          </w:p>
        </w:tc>
        <w:tc>
          <w:tcPr>
            <w:tcW w:type="dxa" w:w="1440"/>
            <w:shd w:fill="FFDCE0" w:val="clear"/>
          </w:tcPr>
          <w:p>
            <w:r>
              <w:rPr>
                <w:sz w:val="17"/>
              </w:rPr>
              <w:t>2026-09-29</w:t>
            </w:r>
          </w:p>
        </w:tc>
        <w:tc>
          <w:tcPr>
            <w:tcW w:type="dxa" w:w="1440"/>
            <w:shd w:fill="FFDCE0" w:val="clear"/>
          </w:tcPr>
          <w:p>
            <w:r>
              <w:rPr>
                <w:sz w:val="17"/>
              </w:rPr>
              <w:t>4,641</w:t>
            </w:r>
          </w:p>
        </w:tc>
        <w:tc>
          <w:tcPr>
            <w:tcW w:type="dxa" w:w="1440"/>
            <w:shd w:fill="FFDCE0" w:val="clear"/>
          </w:tcPr>
          <w:p>
            <w:r>
              <w:rPr>
                <w:b/>
                <w:sz w:val="17"/>
              </w:rPr>
              <w:t>4,965</w:t>
            </w:r>
          </w:p>
        </w:tc>
        <w:tc>
          <w:tcPr>
            <w:tcW w:type="dxa" w:w="1440"/>
            <w:shd w:fill="FFDCE0" w:val="clear"/>
          </w:tcPr>
          <w:p>
            <w:r>
              <w:rPr>
                <w:sz w:val="17"/>
              </w:rPr>
              <w:t>5,289</w:t>
            </w:r>
          </w:p>
        </w:tc>
        <w:tc>
          <w:tcPr>
            <w:tcW w:type="dxa" w:w="1440"/>
            <w:shd w:fill="FFDCE0" w:val="clear"/>
          </w:tcPr>
          <w:p>
            <w:r>
              <w:rPr>
                <w:b/>
                <w:color w:val="C00000"/>
                <w:sz w:val="17"/>
              </w:rPr>
              <w:t>-3.2%</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4,575</w:t>
            </w:r>
          </w:p>
        </w:tc>
        <w:tc>
          <w:tcPr>
            <w:tcW w:type="dxa" w:w="1440"/>
            <w:shd w:fill="FFDCE0" w:val="clear"/>
          </w:tcPr>
          <w:p>
            <w:r>
              <w:rPr>
                <w:b/>
                <w:sz w:val="17"/>
              </w:rPr>
              <w:t>4,973</w:t>
            </w:r>
          </w:p>
        </w:tc>
        <w:tc>
          <w:tcPr>
            <w:tcW w:type="dxa" w:w="1440"/>
            <w:shd w:fill="FFDCE0" w:val="clear"/>
          </w:tcPr>
          <w:p>
            <w:r>
              <w:rPr>
                <w:sz w:val="17"/>
              </w:rPr>
              <w:t>5,370</w:t>
            </w:r>
          </w:p>
        </w:tc>
        <w:tc>
          <w:tcPr>
            <w:tcW w:type="dxa" w:w="1440"/>
            <w:shd w:fill="FFDCE0" w:val="clear"/>
          </w:tcPr>
          <w:p>
            <w:r>
              <w:rPr>
                <w:b/>
                <w:color w:val="C00000"/>
                <w:sz w:val="17"/>
              </w:rPr>
              <w:t>-3.1%</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4,516</w:t>
            </w:r>
          </w:p>
        </w:tc>
        <w:tc>
          <w:tcPr>
            <w:tcW w:type="dxa" w:w="1440"/>
            <w:shd w:fill="FFDCE0" w:val="clear"/>
          </w:tcPr>
          <w:p>
            <w:r>
              <w:rPr>
                <w:b/>
                <w:sz w:val="17"/>
              </w:rPr>
              <w:t>4,976</w:t>
            </w:r>
          </w:p>
        </w:tc>
        <w:tc>
          <w:tcPr>
            <w:tcW w:type="dxa" w:w="1440"/>
            <w:shd w:fill="FFDCE0" w:val="clear"/>
          </w:tcPr>
          <w:p>
            <w:r>
              <w:rPr>
                <w:sz w:val="17"/>
              </w:rPr>
              <w:t>5,435</w:t>
            </w:r>
          </w:p>
        </w:tc>
        <w:tc>
          <w:tcPr>
            <w:tcW w:type="dxa" w:w="1440"/>
            <w:shd w:fill="FFDCE0" w:val="clear"/>
          </w:tcPr>
          <w:p>
            <w:r>
              <w:rPr>
                <w:b/>
                <w:color w:val="C00000"/>
                <w:sz w:val="17"/>
              </w:rPr>
              <w:t>-3.0%</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4,465</w:t>
            </w:r>
          </w:p>
        </w:tc>
        <w:tc>
          <w:tcPr>
            <w:tcW w:type="dxa" w:w="1440"/>
            <w:shd w:fill="FFDCE0" w:val="clear"/>
          </w:tcPr>
          <w:p>
            <w:r>
              <w:rPr>
                <w:b/>
                <w:sz w:val="17"/>
              </w:rPr>
              <w:t>4,978</w:t>
            </w:r>
          </w:p>
        </w:tc>
        <w:tc>
          <w:tcPr>
            <w:tcW w:type="dxa" w:w="1440"/>
            <w:shd w:fill="FFDCE0" w:val="clear"/>
          </w:tcPr>
          <w:p>
            <w:r>
              <w:rPr>
                <w:sz w:val="17"/>
              </w:rPr>
              <w:t>5,492</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4,418</w:t>
            </w:r>
          </w:p>
        </w:tc>
        <w:tc>
          <w:tcPr>
            <w:tcW w:type="dxa" w:w="1440"/>
            <w:shd w:fill="FFDCE0" w:val="clear"/>
          </w:tcPr>
          <w:p>
            <w:r>
              <w:rPr>
                <w:b/>
                <w:sz w:val="17"/>
              </w:rPr>
              <w:t>4,981</w:t>
            </w:r>
          </w:p>
        </w:tc>
        <w:tc>
          <w:tcPr>
            <w:tcW w:type="dxa" w:w="1440"/>
            <w:shd w:fill="FFDCE0" w:val="clear"/>
          </w:tcPr>
          <w:p>
            <w:r>
              <w:rPr>
                <w:sz w:val="17"/>
              </w:rPr>
              <w:t>5,545</w:t>
            </w:r>
          </w:p>
        </w:tc>
        <w:tc>
          <w:tcPr>
            <w:tcW w:type="dxa" w:w="1440"/>
            <w:shd w:fill="FFDCE0" w:val="clear"/>
          </w:tcPr>
          <w:p>
            <w:r>
              <w:rPr>
                <w:b/>
                <w:color w:val="C00000"/>
                <w:sz w:val="17"/>
              </w:rPr>
              <w:t>-2.9%</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4,375</w:t>
            </w:r>
          </w:p>
        </w:tc>
        <w:tc>
          <w:tcPr>
            <w:tcW w:type="dxa" w:w="1440"/>
            <w:shd w:fill="FFDCE0" w:val="clear"/>
          </w:tcPr>
          <w:p>
            <w:r>
              <w:rPr>
                <w:b/>
                <w:sz w:val="17"/>
              </w:rPr>
              <w:t>4,984</w:t>
            </w:r>
          </w:p>
        </w:tc>
        <w:tc>
          <w:tcPr>
            <w:tcW w:type="dxa" w:w="1440"/>
            <w:shd w:fill="FFDCE0" w:val="clear"/>
          </w:tcPr>
          <w:p>
            <w:r>
              <w:rPr>
                <w:sz w:val="17"/>
              </w:rPr>
              <w:t>5,593</w:t>
            </w:r>
          </w:p>
        </w:tc>
        <w:tc>
          <w:tcPr>
            <w:tcW w:type="dxa" w:w="1440"/>
            <w:shd w:fill="FFDCE0" w:val="clear"/>
          </w:tcPr>
          <w:p>
            <w:r>
              <w:rPr>
                <w:b/>
                <w:color w:val="C00000"/>
                <w:sz w:val="17"/>
              </w:rPr>
              <w:t>-2.8%</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4,336</w:t>
            </w:r>
          </w:p>
        </w:tc>
        <w:tc>
          <w:tcPr>
            <w:tcW w:type="dxa" w:w="1440"/>
            <w:shd w:fill="FFDCE0" w:val="clear"/>
          </w:tcPr>
          <w:p>
            <w:r>
              <w:rPr>
                <w:b/>
                <w:sz w:val="17"/>
              </w:rPr>
              <w:t>4,987</w:t>
            </w:r>
          </w:p>
        </w:tc>
        <w:tc>
          <w:tcPr>
            <w:tcW w:type="dxa" w:w="1440"/>
            <w:shd w:fill="FFDCE0" w:val="clear"/>
          </w:tcPr>
          <w:p>
            <w:r>
              <w:rPr>
                <w:sz w:val="17"/>
              </w:rPr>
              <w:t>5,638</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4,299</w:t>
            </w:r>
          </w:p>
        </w:tc>
        <w:tc>
          <w:tcPr>
            <w:tcW w:type="dxa" w:w="1440"/>
            <w:shd w:fill="FFDCE0" w:val="clear"/>
          </w:tcPr>
          <w:p>
            <w:r>
              <w:rPr>
                <w:b/>
                <w:sz w:val="17"/>
              </w:rPr>
              <w:t>4,990</w:t>
            </w:r>
          </w:p>
        </w:tc>
        <w:tc>
          <w:tcPr>
            <w:tcW w:type="dxa" w:w="1440"/>
            <w:shd w:fill="FFDCE0" w:val="clear"/>
          </w:tcPr>
          <w:p>
            <w:r>
              <w:rPr>
                <w:sz w:val="17"/>
              </w:rPr>
              <w:t>5,681</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4,264</w:t>
            </w:r>
          </w:p>
        </w:tc>
        <w:tc>
          <w:tcPr>
            <w:tcW w:type="dxa" w:w="1440"/>
            <w:shd w:fill="FFDCE0" w:val="clear"/>
          </w:tcPr>
          <w:p>
            <w:r>
              <w:rPr>
                <w:b/>
                <w:sz w:val="17"/>
              </w:rPr>
              <w:t>4,993</w:t>
            </w:r>
          </w:p>
        </w:tc>
        <w:tc>
          <w:tcPr>
            <w:tcW w:type="dxa" w:w="1440"/>
            <w:shd w:fill="FFDCE0" w:val="clear"/>
          </w:tcPr>
          <w:p>
            <w:r>
              <w:rPr>
                <w:sz w:val="17"/>
              </w:rPr>
              <w:t>5,722</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 RAPPORT D'ANALYSE FINANCIÈRE — BOAN (Bank of Africa Niger)</w:t>
        <w:br/>
        <w:t>**Bourse Régionale des Valeurs Mobilières (BRVM) | Secteur : Banque | Cours de référence : 5 130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106,70 Mds FCFA, BOAN se positionne comme une valeur de taille intermédiaire sur la BRVM, loin des mastodontes bancaires régionaux comme SGBCI ou BOAB, ce qui traduit sa dimension essentiellement nationale (Niger). Le BPA de 20 FCFA/action signifie que chaque titre génère théoriquement 20 FCFA de bénéfice net, un niveau très faible qui, rapporté au cours de 5 130 FCFA, aboutit à un PER de 260,9x — un niveau aberrant comparé à la moyenne BRVM (~8-12x) et qui signale que le marché paie environ 260 fois les bénéfices actuels, soit une anticipation massive d'un rebond futur plutôt qu'une valorisation sur les résultats présents. Le P/B de 2,96x indique que le marché valorise la banque à près de 3 fois ses fonds propres comptables (36,06 Mds FCFA), une prime de croissance qui contraste fortement avec la rentabilité effective (ROE de 1,13%). Enfin, l'EV/EBITDA de 39,6x, très supérieur au seuil de 15x généralement considéré comme exigeant, confirme que la valeur d'entreprise intègre des attentes de redressement opérationnel très fortes, ce qui rend le titre particulièrement sensible à toute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BOAN affiche une performance spectaculaire de +41,32%, avec une dernière séance en hausse de +7,32%, portant le cours à 5 130 FCFA. Le titre a évolué dans un range très large, entre un plus bas de 3 395 FCFA et un plus haut de 5 645 FCFA, soit une amplitude de plus de 66%, ce qui témoigne d'une tendance nettement haussière mais ponctuée de fortes corrections. La moyenne (4 581 FCFA) se situe en dessous de la médiane (4 785 FCFA), ce qui indique une distribution légèrement asymétrique à gauche : les périodes de cours élevés ont été plus longues que les pics baissiers, mais quelques séances de forte baisse ont tiré la moyenne vers le bas. L'écart-type de 767 FCFA avec un coefficient de variation de 16,8% traduit une dispersion modérée du cours autour de sa moyenne, tandis que le kurtosis de -1,659 (distribution platykurtique) signale une absence de pics extrêmes et une distribution aplatie — donc un risque de mouvements brutaux relativement contenu. Le skewness de -0,195, proche de zéro, confirme une distribution quasi symétrique, sans biais marqué vers les rendements extrêmes. Avec une volatilité annualisée de 38,9%, le titre se classe dans la catégorie des valeurs à volatilité élevée (&gt;30%), ce qui est cohérent avec la nature spéculative de la valeur et son exposition au risque pays nigérien.</w:t>
      </w:r>
    </w:p>
    <w:p>
      <w:pPr>
        <w:spacing w:after="120" w:line="276" w:lineRule="auto"/>
      </w:pPr>
      <w:r>
        <w:t>---</w:t>
      </w:r>
    </w:p>
    <w:p>
      <w:pPr>
        <w:spacing w:after="120" w:line="276" w:lineRule="auto"/>
      </w:pPr>
      <w:r>
        <w:t>## PARTIE 2 : ANALYSE TECHNIQUE DÉTAILLÉE</w:t>
      </w:r>
    </w:p>
    <w:p>
      <w:pPr>
        <w:spacing w:after="120" w:line="276" w:lineRule="auto"/>
      </w:pPr>
      <w:r>
        <w:t>**Moyennes Mobiles** : La MM20 (5 313 FCFA) et la MM50 (5 279,4 FCFA) sont toutes deux supérieures au cours actuel (5 130 FCFA), ce qui place le titre en position de faiblesse relative à court terme malgré la hausse récente. La MM20 étant légèrement au-dessus de la MM50, la configuration reste haussière de fond, ce qui justifie la décision « Achat » mais avec prudence, le cours devant reconquérir ces niveaux pour confirmer.</w:t>
      </w:r>
    </w:p>
    <w:p>
      <w:pPr>
        <w:spacing w:after="120" w:line="276" w:lineRule="auto"/>
      </w:pPr>
      <w:r>
        <w:t>**Bandes de Bollinger** : Le cours (5 130 FCFA) se situe dans la moitié inférieure de la bande, entre la borne inférieure (4 763,76 FCFA) et la borne supérieure (5 862,24 FCFA), sans atteindre les extrêmes. Cette position médiane, couplée à une largeur de bande importante, traduit une volatilité élevée sans signal directionnel fort, d'où la décision « Neutre ».</w:t>
      </w:r>
    </w:p>
    <w:p>
      <w:pPr>
        <w:spacing w:after="120" w:line="276" w:lineRule="auto"/>
      </w:pPr>
      <w:r>
        <w:t>**MACD** : La valeur du MACD (-84,787) est nettement inférieure à son signal (-6,062), avec un histogramme négatif, ce qui indique un momentum baissier persistant malgré la hausse du jour. Cette divergence négative justifie pleinement la décision « Vente » à court terme, le croisement étant défavorable.</w:t>
      </w:r>
    </w:p>
    <w:p>
      <w:pPr>
        <w:spacing w:after="120" w:line="276" w:lineRule="auto"/>
      </w:pPr>
      <w:r>
        <w:t>**RSI** : À 41,322, le RSI se situe en zone neutre basse (30-70), sans atteindre la zone de survente (&lt;30). Cela suggère que le titre n'est ni suracheté ni survendu, avec une légère pression baissière résiduelle, ce qui explique la décision « Neutre ».</w:t>
      </w:r>
    </w:p>
    <w:p>
      <w:pPr>
        <w:spacing w:after="120" w:line="276" w:lineRule="auto"/>
      </w:pPr>
      <w:r>
        <w:t>**Stochastique** : Le %K (55,502) est supérieur au %D (25,837), avec un croisement haussier en cours de formation depuis la zone basse. Cette configuration est positive à court terme mais reste fragile, justifiant la décision « Neutre » en attendant confirmation.</w:t>
      </w:r>
    </w:p>
    <w:p>
      <w:pPr>
        <w:spacing w:after="120" w:line="276" w:lineRule="auto"/>
      </w:pPr>
      <w:r>
        <w:t>**Conclusion technique** : Les indicateurs sont globalement divergents — les moyennes mobiles restent haussières de fond, le stochastique amorce un rebond, mais le MACD est franchement baissier et le RSI neutre. Le titre se trouve dans une phase de consolidation après sa forte hausse, avec un biais baissier à court terme mais un potentiel de reprise si le cours reconquiert la MM20 (5 313 FCFA). La prudence domine.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BOAN a enregistré un Produit Net Bancaire (équivalent du chiffre d'affaires pour une banque) de 21 125 M FCFA, en léger repli de -1,2% sur un an, et un résultat net de seulement 409 M FCFA, en effondrement de -91,8% par rapport aux 5 002 M FCFA de 2024. Cette chute spectaculaire se traduit par un ROE de 1,13% (très loin du seuil de 15% considéré comme excellent) et un ROA de 0,14%, des niveaux catastrophiques. Le coefficient d'exploitation s'établit à 74,37%, très au-dessus du seuil de 60% qui distingue une banque efficace, et le coût du risque rapporté aux charges financières atteint 67,30%, signalant un portefeuille de crédits très dégradé. La structure financière reste fragile avec une autonomie financière de 12,36% (bien en dessous des 30% sains) et un ratio d'endettement de 178,61%, tandis que la trésorerie nette est négative à -43 516 M FCFA. Les dépôts clientèle (183 280 M FCFA) couvrent les créances clientèle (128 447 M FCFA), soit un ratio de transformation de 70%, mais la qualité des actifs demeure le point noir avec un taux de créances en souffrance de 24% (contre 12% en moyenne UEMOA).</w:t>
      </w:r>
    </w:p>
    <w:p>
      <w:pPr>
        <w:spacing w:after="120" w:line="276" w:lineRule="auto"/>
      </w:pPr>
      <w:r>
        <w:t>**Estimations basées sur les rapports trimestriels** : Le rapport du T1 2026 (publié le 31 mars 2026, analysé le 5 septembre 2026) marque un début de redressement avec un PNB de 5 170 M FCFA (+7,9%), un résultat net de 1 467,3 M FCFA (+28,9%) et un coefficient d'exploitation ramené à 56,2% (contre 66,8% un an plus tôt). Le rapport du 2nd semestre 2025 (daté du 31 décembre 2025) confirme la contraction volontaire des crédits (-20,9%) et la provision exceptionnelle de 4,8 Mds FCFA liée au risque sectoriel. Sur la base de ces éléments, on estime que l'exercice 2026 pourrait afficher un PNB en hausse d'environ 6-8% (objectif budgétaire de 22 327 M FCFA, soit +6,4%) et un résultat net en forte progression, la direction visant une multiplication par 6 du résultat (objectif de 7 280 M FCFA de résultat avant impôts). Toutefois, ces projections restent conditionnées à la réduction du coût du risque (objectif : -65,7% à -2 060 M FCFA) et à la normalisation du contexte géopolitique nigérien. La recommandation fondamentale est donc **CONSERVER avec prudence** : la solidité bilancielle (ratio de solvabilité de 14,06%, liquidité de 123,95%) et le soutien du groupe BOA constituent des atouts, mais la rentabilité actuelle est trop faible pour justifier une exposition agressive.</w:t>
      </w:r>
    </w:p>
    <w:p>
      <w:pPr>
        <w:spacing w:after="120" w:line="276" w:lineRule="auto"/>
      </w:pPr>
      <w:r>
        <w:t>---</w:t>
      </w:r>
    </w:p>
    <w:p>
      <w:pPr>
        <w:spacing w:after="120" w:line="276" w:lineRule="auto"/>
      </w:pPr>
      <w:r>
        <w:t>## PARTIE 4 : CONCLUSION D'INVESTISSEMENT</w:t>
      </w:r>
    </w:p>
    <w:p>
      <w:pPr>
        <w:spacing w:after="120" w:line="276" w:lineRule="auto"/>
      </w:pPr>
      <w:r>
        <w:t>La valorisation (Partie 0) apparaît très tendue : le PER de 260,9x, le P/B de 2,96x et l'EV/EBITDA de 39,6x intègrent déjà une anticipation massive de redressement, ce qui laisse peu de marge d'erreur et expose le titre à une correction sévère en cas de déception. Le comportement du cours (Partie 1) est paradoxal : la performance de +41,32% sur 100 jours et la volatilité élevée (38,9%) témoignent d'un fort appétit spéculatif, mais la distribution platykurtique (kurtosis -1,659) et symétrique (skewness -0,195) suggère l'absence de pics extrêmes, ce qui est rassurant sur la stabilité relative des mouvements. Les signaux techniques (Partie 2) sont mitigés : les moyennes mobiles restent haussières de fond mais le MACD est baissier et le RSI neutre, dessinant une consolidation incertaine. Les fondamentaux (Partie 3) demeurent très dégradés pour 2025 (ROE de 1,13%, résultat net de 409 M FCFA), mais le T1 2026 (résultat net +28,9%, coefficient d'exploitation à 56,2%) et les objectifs budgétaires 2026 (+6,4% de PNB, réduction du coût du risque) laissent entrevoir un rebond crédible. Les prédictions IA (J+1 à J+10) anticipent une légère baisse vers 4 924-4 978 FCFA, ce qui contredit la hausse récente et confirme la phase de consolidation technique. **Synthèse globale** : la convergence entre une valorisation excessive, des signaux techniques mitigés et des fondamentaux en cours de redressement mais encore fragiles plaide pour une **recommandation CONSERVER**, avec un niveau de confiance **Moyen** et un risque global **Élevé** (exposition au risque pays nigérien, qualité des actifs dégradée, valorisation spéculative). L'horizon d'investissement optimal est le **moyen terme (3-12 mois)**, le temps que les trimestres 2026 confirment la trajectoire de redressement amorcée au T1, avec un suivi rapproché des indicateurs de coût du risque et de rentabilité.</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291.60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11,155 titres</w:t>
            </w:r>
          </w:p>
        </w:tc>
        <w:tc>
          <w:tcPr>
            <w:tcW w:type="dxa" w:w="2268"/>
            <w:shd w:fill="FFF2CC" w:val="clear"/>
          </w:tcPr>
          <w:p>
            <w:r>
              <w:rPr>
                <w:b/>
                <w:color w:val="503200"/>
                <w:sz w:val="16"/>
              </w:rPr>
              <w:t xml:space="preserve">Cours actuel : </w:t>
            </w:r>
            <w:r>
              <w:rPr>
                <w:color w:val="000000"/>
                <w:sz w:val="17"/>
              </w:rPr>
              <w:t>8,100 FCFA</w:t>
            </w:r>
          </w:p>
          <w:p>
            <w:r>
              <w:rPr>
                <w:b/>
                <w:color w:val="503200"/>
                <w:sz w:val="16"/>
              </w:rPr>
              <w:t xml:space="preserve">Var. 100 jours : </w:t>
            </w:r>
            <w:r>
              <w:rPr>
                <w:b/>
                <w:color w:val="007800"/>
                <w:sz w:val="17"/>
              </w:rPr>
              <w:t>+14.08%</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26.8%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4.79% (Faible) — μ=7,692 FCFA, σ=369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β=0.5665 (Défensif) — Cov=0.000039, Var(idx)=0.000069, ρ=0.279,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11,155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σ_j=1.69%/j (Stable) — Vol. annualisée≈26.8%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7,715</w:t>
            </w:r>
          </w:p>
        </w:tc>
        <w:tc>
          <w:tcPr>
            <w:tcW w:type="dxa" w:w="1440"/>
            <w:shd w:fill="FAFAFA" w:val="clear"/>
          </w:tcPr>
          <w:p>
            <w:r>
              <w:rPr>
                <w:b/>
                <w:sz w:val="17"/>
              </w:rPr>
              <w:t>7,957</w:t>
            </w:r>
          </w:p>
        </w:tc>
        <w:tc>
          <w:tcPr>
            <w:tcW w:type="dxa" w:w="1440"/>
            <w:shd w:fill="FAFAFA" w:val="clear"/>
          </w:tcPr>
          <w:p>
            <w:r>
              <w:rPr>
                <w:sz w:val="17"/>
              </w:rPr>
              <w:t>8,199</w:t>
            </w:r>
          </w:p>
        </w:tc>
        <w:tc>
          <w:tcPr>
            <w:tcW w:type="dxa" w:w="1440"/>
            <w:shd w:fill="FAFAFA" w:val="clear"/>
          </w:tcPr>
          <w:p>
            <w:r>
              <w:rPr>
                <w:b/>
                <w:color w:val="C00000"/>
                <w:sz w:val="17"/>
              </w:rPr>
              <w:t>-1.8%</w:t>
            </w:r>
          </w:p>
        </w:tc>
      </w:tr>
      <w:tr>
        <w:tc>
          <w:tcPr>
            <w:tcW w:type="dxa" w:w="1440"/>
            <w:shd w:fill="FFDCE0" w:val="clear"/>
          </w:tcPr>
          <w:p>
            <w:r>
              <w:rPr>
                <w:sz w:val="17"/>
              </w:rPr>
              <w:t>J+2  ⭐⭐⭐</w:t>
            </w:r>
          </w:p>
        </w:tc>
        <w:tc>
          <w:tcPr>
            <w:tcW w:type="dxa" w:w="1440"/>
            <w:shd w:fill="FFDCE0" w:val="clear"/>
          </w:tcPr>
          <w:p>
            <w:r>
              <w:rPr>
                <w:sz w:val="17"/>
              </w:rPr>
              <w:t>2026-09-29</w:t>
            </w:r>
          </w:p>
        </w:tc>
        <w:tc>
          <w:tcPr>
            <w:tcW w:type="dxa" w:w="1440"/>
            <w:shd w:fill="FFDCE0" w:val="clear"/>
          </w:tcPr>
          <w:p>
            <w:r>
              <w:rPr>
                <w:sz w:val="17"/>
              </w:rPr>
              <w:t>7,594</w:t>
            </w:r>
          </w:p>
        </w:tc>
        <w:tc>
          <w:tcPr>
            <w:tcW w:type="dxa" w:w="1440"/>
            <w:shd w:fill="FFDCE0" w:val="clear"/>
          </w:tcPr>
          <w:p>
            <w:r>
              <w:rPr>
                <w:b/>
                <w:sz w:val="17"/>
              </w:rPr>
              <w:t>7,936</w:t>
            </w:r>
          </w:p>
        </w:tc>
        <w:tc>
          <w:tcPr>
            <w:tcW w:type="dxa" w:w="1440"/>
            <w:shd w:fill="FFDCE0" w:val="clear"/>
          </w:tcPr>
          <w:p>
            <w:r>
              <w:rPr>
                <w:sz w:val="17"/>
              </w:rPr>
              <w:t>8,278</w:t>
            </w:r>
          </w:p>
        </w:tc>
        <w:tc>
          <w:tcPr>
            <w:tcW w:type="dxa" w:w="1440"/>
            <w:shd w:fill="FFDCE0"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7,484</w:t>
            </w:r>
          </w:p>
        </w:tc>
        <w:tc>
          <w:tcPr>
            <w:tcW w:type="dxa" w:w="1440"/>
            <w:shd w:fill="FFDCE0" w:val="clear"/>
          </w:tcPr>
          <w:p>
            <w:r>
              <w:rPr>
                <w:b/>
                <w:sz w:val="17"/>
              </w:rPr>
              <w:t>7,901</w:t>
            </w:r>
          </w:p>
        </w:tc>
        <w:tc>
          <w:tcPr>
            <w:tcW w:type="dxa" w:w="1440"/>
            <w:shd w:fill="FFDCE0" w:val="clear"/>
          </w:tcPr>
          <w:p>
            <w:r>
              <w:rPr>
                <w:sz w:val="17"/>
              </w:rPr>
              <w:t>8,318</w:t>
            </w:r>
          </w:p>
        </w:tc>
        <w:tc>
          <w:tcPr>
            <w:tcW w:type="dxa" w:w="1440"/>
            <w:shd w:fill="FFDCE0" w:val="clear"/>
          </w:tcPr>
          <w:p>
            <w:r>
              <w:rPr>
                <w:b/>
                <w:color w:val="C00000"/>
                <w:sz w:val="17"/>
              </w:rPr>
              <w:t>-2.5%</w:t>
            </w:r>
          </w:p>
        </w:tc>
      </w:tr>
      <w:tr>
        <w:tc>
          <w:tcPr>
            <w:tcW w:type="dxa" w:w="1440"/>
            <w:shd w:fill="FFDCE0" w:val="clear"/>
          </w:tcPr>
          <w:p>
            <w:r>
              <w:rPr>
                <w:sz w:val="17"/>
              </w:rPr>
              <w:t>J+4  Moyenne</w:t>
            </w:r>
          </w:p>
        </w:tc>
        <w:tc>
          <w:tcPr>
            <w:tcW w:type="dxa" w:w="1440"/>
            <w:shd w:fill="FFDCE0" w:val="clear"/>
          </w:tcPr>
          <w:p>
            <w:r>
              <w:rPr>
                <w:sz w:val="17"/>
              </w:rPr>
              <w:t>2026-10-01</w:t>
            </w:r>
          </w:p>
        </w:tc>
        <w:tc>
          <w:tcPr>
            <w:tcW w:type="dxa" w:w="1440"/>
            <w:shd w:fill="FFDCE0" w:val="clear"/>
          </w:tcPr>
          <w:p>
            <w:r>
              <w:rPr>
                <w:sz w:val="17"/>
              </w:rPr>
              <w:t>7,394</w:t>
            </w:r>
          </w:p>
        </w:tc>
        <w:tc>
          <w:tcPr>
            <w:tcW w:type="dxa" w:w="1440"/>
            <w:shd w:fill="FFDCE0" w:val="clear"/>
          </w:tcPr>
          <w:p>
            <w:r>
              <w:rPr>
                <w:b/>
                <w:sz w:val="17"/>
              </w:rPr>
              <w:t>7,873</w:t>
            </w:r>
          </w:p>
        </w:tc>
        <w:tc>
          <w:tcPr>
            <w:tcW w:type="dxa" w:w="1440"/>
            <w:shd w:fill="FFDCE0" w:val="clear"/>
          </w:tcPr>
          <w:p>
            <w:r>
              <w:rPr>
                <w:sz w:val="17"/>
              </w:rPr>
              <w:t>8,353</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2026-10-02</w:t>
            </w:r>
          </w:p>
        </w:tc>
        <w:tc>
          <w:tcPr>
            <w:tcW w:type="dxa" w:w="1440"/>
            <w:shd w:fill="FFDCE0" w:val="clear"/>
          </w:tcPr>
          <w:p>
            <w:r>
              <w:rPr>
                <w:sz w:val="17"/>
              </w:rPr>
              <w:t>7,315</w:t>
            </w:r>
          </w:p>
        </w:tc>
        <w:tc>
          <w:tcPr>
            <w:tcW w:type="dxa" w:w="1440"/>
            <w:shd w:fill="FFDCE0" w:val="clear"/>
          </w:tcPr>
          <w:p>
            <w:r>
              <w:rPr>
                <w:b/>
                <w:sz w:val="17"/>
              </w:rPr>
              <w:t>7,849</w:t>
            </w:r>
          </w:p>
        </w:tc>
        <w:tc>
          <w:tcPr>
            <w:tcW w:type="dxa" w:w="1440"/>
            <w:shd w:fill="FFDCE0" w:val="clear"/>
          </w:tcPr>
          <w:p>
            <w:r>
              <w:rPr>
                <w:sz w:val="17"/>
              </w:rPr>
              <w:t>8,384</w:t>
            </w:r>
          </w:p>
        </w:tc>
        <w:tc>
          <w:tcPr>
            <w:tcW w:type="dxa" w:w="1440"/>
            <w:shd w:fill="FFDCE0" w:val="clear"/>
          </w:tcPr>
          <w:p>
            <w:r>
              <w:rPr>
                <w:b/>
                <w:color w:val="C00000"/>
                <w:sz w:val="17"/>
              </w:rPr>
              <w:t>-3.1%</w:t>
            </w:r>
          </w:p>
        </w:tc>
      </w:tr>
      <w:tr>
        <w:tc>
          <w:tcPr>
            <w:tcW w:type="dxa" w:w="1440"/>
            <w:shd w:fill="FFDCE0" w:val="clear"/>
          </w:tcPr>
          <w:p>
            <w:r>
              <w:rPr>
                <w:sz w:val="17"/>
              </w:rPr>
              <w:t>J+6  Moyenne</w:t>
            </w:r>
          </w:p>
        </w:tc>
        <w:tc>
          <w:tcPr>
            <w:tcW w:type="dxa" w:w="1440"/>
            <w:shd w:fill="FFDCE0" w:val="clear"/>
          </w:tcPr>
          <w:p>
            <w:r>
              <w:rPr>
                <w:sz w:val="17"/>
              </w:rPr>
              <w:t>2026-10-05</w:t>
            </w:r>
          </w:p>
        </w:tc>
        <w:tc>
          <w:tcPr>
            <w:tcW w:type="dxa" w:w="1440"/>
            <w:shd w:fill="FFDCE0" w:val="clear"/>
          </w:tcPr>
          <w:p>
            <w:r>
              <w:rPr>
                <w:sz w:val="17"/>
              </w:rPr>
              <w:t>7,242</w:t>
            </w:r>
          </w:p>
        </w:tc>
        <w:tc>
          <w:tcPr>
            <w:tcW w:type="dxa" w:w="1440"/>
            <w:shd w:fill="FFDCE0" w:val="clear"/>
          </w:tcPr>
          <w:p>
            <w:r>
              <w:rPr>
                <w:b/>
                <w:sz w:val="17"/>
              </w:rPr>
              <w:t>7,826</w:t>
            </w:r>
          </w:p>
        </w:tc>
        <w:tc>
          <w:tcPr>
            <w:tcW w:type="dxa" w:w="1440"/>
            <w:shd w:fill="FFDCE0" w:val="clear"/>
          </w:tcPr>
          <w:p>
            <w:r>
              <w:rPr>
                <w:sz w:val="17"/>
              </w:rPr>
              <w:t>8,410</w:t>
            </w:r>
          </w:p>
        </w:tc>
        <w:tc>
          <w:tcPr>
            <w:tcW w:type="dxa" w:w="1440"/>
            <w:shd w:fill="FFDCE0" w:val="clear"/>
          </w:tcPr>
          <w:p>
            <w:r>
              <w:rPr>
                <w:b/>
                <w:color w:val="C00000"/>
                <w:sz w:val="17"/>
              </w:rPr>
              <w:t>-3.4%</w:t>
            </w:r>
          </w:p>
        </w:tc>
      </w:tr>
      <w:tr>
        <w:tc>
          <w:tcPr>
            <w:tcW w:type="dxa" w:w="1440"/>
            <w:shd w:fill="FFDCE0" w:val="clear"/>
          </w:tcPr>
          <w:p>
            <w:r>
              <w:rPr>
                <w:sz w:val="17"/>
              </w:rPr>
              <w:t>J+7  Moyenne</w:t>
            </w:r>
          </w:p>
        </w:tc>
        <w:tc>
          <w:tcPr>
            <w:tcW w:type="dxa" w:w="1440"/>
            <w:shd w:fill="FFDCE0" w:val="clear"/>
          </w:tcPr>
          <w:p>
            <w:r>
              <w:rPr>
                <w:sz w:val="17"/>
              </w:rPr>
              <w:t>2026-10-06</w:t>
            </w:r>
          </w:p>
        </w:tc>
        <w:tc>
          <w:tcPr>
            <w:tcW w:type="dxa" w:w="1440"/>
            <w:shd w:fill="FFDCE0" w:val="clear"/>
          </w:tcPr>
          <w:p>
            <w:r>
              <w:rPr>
                <w:sz w:val="17"/>
              </w:rPr>
              <w:t>7,175</w:t>
            </w:r>
          </w:p>
        </w:tc>
        <w:tc>
          <w:tcPr>
            <w:tcW w:type="dxa" w:w="1440"/>
            <w:shd w:fill="FFDCE0" w:val="clear"/>
          </w:tcPr>
          <w:p>
            <w:r>
              <w:rPr>
                <w:b/>
                <w:sz w:val="17"/>
              </w:rPr>
              <w:t>7,804</w:t>
            </w:r>
          </w:p>
        </w:tc>
        <w:tc>
          <w:tcPr>
            <w:tcW w:type="dxa" w:w="1440"/>
            <w:shd w:fill="FFDCE0" w:val="clear"/>
          </w:tcPr>
          <w:p>
            <w:r>
              <w:rPr>
                <w:sz w:val="17"/>
              </w:rPr>
              <w:t>8,433</w:t>
            </w:r>
          </w:p>
        </w:tc>
        <w:tc>
          <w:tcPr>
            <w:tcW w:type="dxa" w:w="1440"/>
            <w:shd w:fill="FFDCE0" w:val="clear"/>
          </w:tcPr>
          <w:p>
            <w:r>
              <w:rPr>
                <w:b/>
                <w:color w:val="C00000"/>
                <w:sz w:val="17"/>
              </w:rPr>
              <w:t>-3.7%</w:t>
            </w:r>
          </w:p>
        </w:tc>
      </w:tr>
      <w:tr>
        <w:tc>
          <w:tcPr>
            <w:tcW w:type="dxa" w:w="1440"/>
            <w:shd w:fill="FFDCE0" w:val="clear"/>
          </w:tcPr>
          <w:p>
            <w:r>
              <w:rPr>
                <w:sz w:val="17"/>
              </w:rPr>
              <w:t>J+8  Moyenne</w:t>
            </w:r>
          </w:p>
        </w:tc>
        <w:tc>
          <w:tcPr>
            <w:tcW w:type="dxa" w:w="1440"/>
            <w:shd w:fill="FFDCE0" w:val="clear"/>
          </w:tcPr>
          <w:p>
            <w:r>
              <w:rPr>
                <w:sz w:val="17"/>
              </w:rPr>
              <w:t>2026-10-07</w:t>
            </w:r>
          </w:p>
        </w:tc>
        <w:tc>
          <w:tcPr>
            <w:tcW w:type="dxa" w:w="1440"/>
            <w:shd w:fill="FFDCE0" w:val="clear"/>
          </w:tcPr>
          <w:p>
            <w:r>
              <w:rPr>
                <w:sz w:val="17"/>
              </w:rPr>
              <w:t>7,112</w:t>
            </w:r>
          </w:p>
        </w:tc>
        <w:tc>
          <w:tcPr>
            <w:tcW w:type="dxa" w:w="1440"/>
            <w:shd w:fill="FFDCE0" w:val="clear"/>
          </w:tcPr>
          <w:p>
            <w:r>
              <w:rPr>
                <w:b/>
                <w:sz w:val="17"/>
              </w:rPr>
              <w:t>7,783</w:t>
            </w:r>
          </w:p>
        </w:tc>
        <w:tc>
          <w:tcPr>
            <w:tcW w:type="dxa" w:w="1440"/>
            <w:shd w:fill="FFDCE0" w:val="clear"/>
          </w:tcPr>
          <w:p>
            <w:r>
              <w:rPr>
                <w:sz w:val="17"/>
              </w:rPr>
              <w:t>8,453</w:t>
            </w:r>
          </w:p>
        </w:tc>
        <w:tc>
          <w:tcPr>
            <w:tcW w:type="dxa" w:w="1440"/>
            <w:shd w:fill="FFDCE0" w:val="clear"/>
          </w:tcPr>
          <w:p>
            <w:r>
              <w:rPr>
                <w:b/>
                <w:color w:val="C00000"/>
                <w:sz w:val="17"/>
              </w:rPr>
              <w:t>-3.9%</w:t>
            </w:r>
          </w:p>
        </w:tc>
      </w:tr>
      <w:tr>
        <w:tc>
          <w:tcPr>
            <w:tcW w:type="dxa" w:w="1440"/>
            <w:shd w:fill="FFDCE0" w:val="clear"/>
          </w:tcPr>
          <w:p>
            <w:r>
              <w:rPr>
                <w:sz w:val="17"/>
              </w:rPr>
              <w:t>J+9  Moyenne</w:t>
            </w:r>
          </w:p>
        </w:tc>
        <w:tc>
          <w:tcPr>
            <w:tcW w:type="dxa" w:w="1440"/>
            <w:shd w:fill="FFDCE0" w:val="clear"/>
          </w:tcPr>
          <w:p>
            <w:r>
              <w:rPr>
                <w:sz w:val="17"/>
              </w:rPr>
              <w:t>2026-10-08</w:t>
            </w:r>
          </w:p>
        </w:tc>
        <w:tc>
          <w:tcPr>
            <w:tcW w:type="dxa" w:w="1440"/>
            <w:shd w:fill="FFDCE0" w:val="clear"/>
          </w:tcPr>
          <w:p>
            <w:r>
              <w:rPr>
                <w:sz w:val="17"/>
              </w:rPr>
              <w:t>7,053</w:t>
            </w:r>
          </w:p>
        </w:tc>
        <w:tc>
          <w:tcPr>
            <w:tcW w:type="dxa" w:w="1440"/>
            <w:shd w:fill="FFDCE0" w:val="clear"/>
          </w:tcPr>
          <w:p>
            <w:r>
              <w:rPr>
                <w:b/>
                <w:sz w:val="17"/>
              </w:rPr>
              <w:t>7,762</w:t>
            </w:r>
          </w:p>
        </w:tc>
        <w:tc>
          <w:tcPr>
            <w:tcW w:type="dxa" w:w="1440"/>
            <w:shd w:fill="FFDCE0" w:val="clear"/>
          </w:tcPr>
          <w:p>
            <w:r>
              <w:rPr>
                <w:sz w:val="17"/>
              </w:rPr>
              <w:t>8,472</w:t>
            </w:r>
          </w:p>
        </w:tc>
        <w:tc>
          <w:tcPr>
            <w:tcW w:type="dxa" w:w="1440"/>
            <w:shd w:fill="FFDCE0" w:val="clear"/>
          </w:tcPr>
          <w:p>
            <w:r>
              <w:rPr>
                <w:b/>
                <w:color w:val="C00000"/>
                <w:sz w:val="17"/>
              </w:rPr>
              <w:t>-4.2%</w:t>
            </w:r>
          </w:p>
        </w:tc>
      </w:tr>
      <w:tr>
        <w:tc>
          <w:tcPr>
            <w:tcW w:type="dxa" w:w="1440"/>
            <w:shd w:fill="FFDCE0" w:val="clear"/>
          </w:tcPr>
          <w:p>
            <w:r>
              <w:rPr>
                <w:sz w:val="17"/>
              </w:rPr>
              <w:t>J+10  Moyenne</w:t>
            </w:r>
          </w:p>
        </w:tc>
        <w:tc>
          <w:tcPr>
            <w:tcW w:type="dxa" w:w="1440"/>
            <w:shd w:fill="FFDCE0" w:val="clear"/>
          </w:tcPr>
          <w:p>
            <w:r>
              <w:rPr>
                <w:sz w:val="17"/>
              </w:rPr>
              <w:t>2026-10-09</w:t>
            </w:r>
          </w:p>
        </w:tc>
        <w:tc>
          <w:tcPr>
            <w:tcW w:type="dxa" w:w="1440"/>
            <w:shd w:fill="FFDCE0" w:val="clear"/>
          </w:tcPr>
          <w:p>
            <w:r>
              <w:rPr>
                <w:sz w:val="17"/>
              </w:rPr>
              <w:t>6,997</w:t>
            </w:r>
          </w:p>
        </w:tc>
        <w:tc>
          <w:tcPr>
            <w:tcW w:type="dxa" w:w="1440"/>
            <w:shd w:fill="FFDCE0" w:val="clear"/>
          </w:tcPr>
          <w:p>
            <w:r>
              <w:rPr>
                <w:b/>
                <w:sz w:val="17"/>
              </w:rPr>
              <w:t>7,743</w:t>
            </w:r>
          </w:p>
        </w:tc>
        <w:tc>
          <w:tcPr>
            <w:tcW w:type="dxa" w:w="1440"/>
            <w:shd w:fill="FFDCE0" w:val="clear"/>
          </w:tcPr>
          <w:p>
            <w:r>
              <w:rPr>
                <w:sz w:val="17"/>
              </w:rPr>
              <w:t>8,489</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BANK OF AFRICA SÉNÉGAL (BOAS)**</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291,60 milliards FCFA, BOAS s'impose comme une valeur de premier plan de la cote BRVM, représentant un pilier du compartiment bancaire régional aux côtés de ses consœurs. Le BPA de 608 FCFA par action traduit une rentabilité unitaire solide, chaque titre générant près de 608 FCFA de bénéfice net. Le PER de 13,3x situe le titre légèrement au-dessus de la moyenne BRVM (8-12x), signalant une valorisation modérée mais non excessive, le marché acceptant de payer une prime pour la qualité de la croissance. Le P/B de 3,02x confirme cette prime de croissance : le marché valorise BOAS à trois fois ses fonds propres comptables, ce qui se justifie par un ROE de 22,69% nettement supérieur au coût des fonds propres. Enfin, l'EV/EBITDA de 8,6x, dans la fourchette raisonnable de 5-10x, indique que la valeur d'entreprise reste cohérente avec la capacité opérationnelle de génération de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BOAS affiche une performance remarquable de +14,08%, avec une accélération notable lors de la dernière séance (+4,38%), portant le cours à 8 100 FCFA. Le range de trading s'établit entre un plus bas de 7 100 FCFA et un plus haut de 8 500 FCFA, soit une amplitude de 19,7% qui témoigne d'une dynamique haussière soutenue. La tendance générale est clairement haussière, le cours actuel se situant à 95,3% de son plus haut sur la période. Les statistiques descriptives révèlent une moyenne de 7 692 FCFA légèrement supérieure à la médiane de 7 625 FCFA, avec un mode à 7 700 FCFA, indiquant une distribution légèrement asymétrique à droite. L'écart-type de 370 FCFA (CV=4,8%) traduit une dispersion modérée du cours, tandis que le kurtosis de -0,942 (mésokurtique) suggère une distribution proche de la normale, sans risque excessif de pics extrêmes. Le skewness positif de 0,530 indique davantage de journées sous la moyenne, mais compensées par des hausses ponctuelles fortes. La volatilité annualisée de 26,8% classe le titre dans la catégorie modérée (15-30%), offrant un profil risque/rendement équilibré.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(8 160 FCFA) et la MM50 (7 958,5 FCFA) encadrent le cours actuel de 8 100 FCFA, la MM20 se situant au-dessus de la MM50, confirmant une configuration haussière de court terme. Le cours évoluant entre ces deux moyennes, la décision technique est à l'**Achat**, la structure des moyennes mobiles restant positive.</w:t>
      </w:r>
    </w:p>
    <w:p>
      <w:pPr>
        <w:spacing w:after="120" w:line="276" w:lineRule="auto"/>
      </w:pPr>
      <w:r>
        <w:t>**Bandes de Bollinger** : Le cours (8 100 FCFA) se situe dans la partie médiane des bandes, entre la borne inférieure (7 786,57 FCFA) et la borne supérieure (8 533,43 FCFA), à environ 42% de la largeur totale. Cette position centrale, conjuguée à une volatilité modérée, justifie une décision **Neutre**, le titre n'étant ni en zone de survente ni de surachat technique.</w:t>
      </w:r>
    </w:p>
    <w:p>
      <w:pPr>
        <w:spacing w:after="120" w:line="276" w:lineRule="auto"/>
      </w:pPr>
      <w:r>
        <w:t>**MACD** : La valeur du MACD (-21,22) est nettement inférieure à son signal (39,155), générant une divergence baissière significative. Le momentum est négatif, bien que la récente hausse du cours (+4,38%) puisse amorcer un retournement. La décision technique reste **Vente** à court terme, le croisement MACD-Signal n'étant pas encore validé à la hausse.</w:t>
      </w:r>
    </w:p>
    <w:p>
      <w:pPr>
        <w:spacing w:after="120" w:line="276" w:lineRule="auto"/>
      </w:pPr>
      <w:r>
        <w:t>**RSI** : À 44,795, le RSI se situe en zone neutre (30-70), sans signal de surachat ni de survente. Cette position médiane indique un équilibre entre acheteurs et vendeurs, justifiant une décision **Neutre**, avec une légère prédisposition haussière si le RSI franchit la barre des 50.</w:t>
      </w:r>
    </w:p>
    <w:p>
      <w:pPr>
        <w:spacing w:after="120" w:line="276" w:lineRule="auto"/>
      </w:pPr>
      <w:r>
        <w:t>**Stochastique** : Le %K (64,286) est nettement supérieur au %D (26,667), générant un croisement haussier potentiel. Cette configuration suggère une reprise du momentum positif, bien que la décision reste **Neutre** en raison de la divergence avec le MACD.</w:t>
      </w:r>
    </w:p>
    <w:p>
      <w:pPr>
        <w:spacing w:after="120" w:line="276" w:lineRule="auto"/>
      </w:pPr>
      <w:r>
        <w:t>**Conclusion technique** : Les indicateurs présentent une divergence notable : les moyennes mobiles et le stochastique suggèrent une dynamique haussière, tandis que le MACD et le RSI plaident pour la prudence. La position centrale du cours dans les bandes de Bollinger et le RSI neutre confirment l'absence de signal directionnel fort. La convergence partielle des signaux (MM haussières, stochastique positif) face à la divergence du MACD invite à une posture attentiste, avec une légère inclinaison haussière à moyen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BOAS affiche des fondamentaux bancaires solides avec un Produit Net Bancaire (PNB) de 51,926 milliards FCFA, un résultat net de 21,905 milliards FCFA, un ROE de 22,69% (excellent, &gt;15%) et un ROA de 2,62%. Le coefficient d'exploitation de 44,02% confirme l'efficacité opérationnelle de la banque (&lt;60% = efficace, &lt;50% = excellente), tandis que le coût du risque de 23,31% des charges financières reste un point de vigilance, bien qu'en amélioration selon les rapports trimestriels. La structure financière montre une autonomie financière de 11,54% (inférieure au seuil de 30%, typique du modèle bancaire) et une solvabilité générale de 113,05% (&gt;1 = solvable), avec une capacité de remboursement de 1,54 an. Les dépôts clientèle (686,927 milliards FCFA) couvrent largement les créances clientèle (386,424 milliards FCFA), avec un ratio de transformation de 56,3%, indiquant une surliquidité relative. Les rapports trimestriels récents confirment la dynamique : au T1 2026 (rapport du 31 mars 2026), le PNB progresse de 6,82% à 12,580 milliards FCFA et le résultat net de 9,78% à 5,741 milliards FCFA, avec un coefficient d'exploitation amélioré à 42,1%. Le rapport du T3 2025 (30 septembre 2025) faisait déjà état d'un PNB de 37,44 milliards FCFA (+6,71%) et d'un résultat net de 16,37 milliards FCFA (+10,01%), avec un coût du risque en baisse à -0,5% du PNB. Sur la base du T1 2026, on peut estimer que l'exercice 2026 devrait enregistrer un PNB annuel d'environ 52-54 milliards FCFA et un résultat net de 22-24 milliards FCFA, confirmant la trajectoire de croissance. La recommandation fondamentale est **solide** : la banque affiche une rentabilité élevée, une efficacité opérationnelle en amélioration et une collecte de dépôts dynamique (+16,68% au T1 2026), bien que la concentration sur le marché sénégalais et le risque de crédit constituent des facteurs de surveillance.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BOAS (PER 13,3x, P/B 3,02x, EV/EBITDA 8,6x) indique une légère prime par rapport à la moyenne BRVM, justifiée par un ROE de 22,69% et une croissance soutenue, sans surévaluation manifeste. Le comportement du cours sur 100 jours (+14,08%, volatilité modérée de 26,8%, skewness positif, kurtosis mésokurtique) est favorable, avec une tendance haussière et une distribution sans risque excessif de pics. Les signaux techniques sont mitigés : les moyennes mobiles et le stochastique sont haussiers, mais le MACD baissier et le RSI neutre créent une divergence qui appelle à la prudence à court terme. Les fondamentaux sont solides : PNB de 51,926 milliards FCFA en 2025, résultat net de 21,905 milliards FCFA, ROE de 22,69%, coefficient d'exploitation de 44,02%, et les rapports trimestriels (T1 2026, T3 2025) confirment une croissance robuste avec une amélioration continue de l'efficacité et du coût du risque. Les prédictions IA (J+1 à J+10) anticipent une légère correction vers 7 849-7 957 FCFA, en contradiction avec la dynamique haussière récente mais cohérente avec le signal baissier du MACD. Sur la base de cette synthèse, la recommandation finale est **ACHAT**, avec un niveau de confiance **Moyen** et un risque global **Moyen**. La convergence entre valorisation raisonnable, fondamentaux solides et tendance de fond haussière l'emporte sur les signaux techniques baissiers à court terme et la correction anticipée par l'IA. L'horizon d'investissement optimal est le **moyen terme (3-12 mois)**, le temps que la correction technique s'achève et que la croissance fondamentale se matérialise dans les cours.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20.13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2,077 titres</w:t>
            </w:r>
          </w:p>
        </w:tc>
        <w:tc>
          <w:tcPr>
            <w:tcW w:type="dxa" w:w="2268"/>
            <w:shd w:fill="FFF2CC" w:val="clear"/>
          </w:tcPr>
          <w:p>
            <w:r>
              <w:rPr>
                <w:b/>
                <w:color w:val="503200"/>
                <w:sz w:val="16"/>
              </w:rPr>
              <w:t xml:space="preserve">Cours actuel : </w:t>
            </w:r>
            <w:r>
              <w:rPr>
                <w:color w:val="000000"/>
                <w:sz w:val="17"/>
              </w:rPr>
              <w:t>3,400 FCFA</w:t>
            </w:r>
          </w:p>
          <w:p>
            <w:r>
              <w:rPr>
                <w:b/>
                <w:color w:val="503200"/>
                <w:sz w:val="16"/>
              </w:rPr>
              <w:t xml:space="preserve">Var. 100 jours : </w:t>
            </w:r>
            <w:r>
              <w:rPr>
                <w:b/>
                <w:color w:val="B40000"/>
                <w:sz w:val="17"/>
              </w:rPr>
              <w:t>-6.98%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3,190 FCFA</w:t>
            </w:r>
          </w:p>
          <w:p>
            <w:r>
              <w:rPr>
                <w:b/>
                <w:color w:val="503200"/>
                <w:sz w:val="16"/>
              </w:rPr>
              <w:t xml:space="preserve">Volatilité ann. : </w:t>
            </w:r>
            <w:r>
              <w:rPr>
                <w:color w:val="000000"/>
                <w:sz w:val="17"/>
              </w:rPr>
              <w:t>46.0%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7.77% (Moyenne) — μ=3,686 FCFA, σ=287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β=0.4196 (Défensif) — Cov=0.000029, Var(idx)=0.000069, ρ=0.120,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σ_j=2.90%/j (Stable) — Vol. annualisée≈46.0%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3,252</w:t>
            </w:r>
          </w:p>
        </w:tc>
        <w:tc>
          <w:tcPr>
            <w:tcW w:type="dxa" w:w="1440"/>
            <w:shd w:fill="FAFAFA" w:val="clear"/>
          </w:tcPr>
          <w:p>
            <w:r>
              <w:rPr>
                <w:b/>
                <w:sz w:val="17"/>
              </w:rPr>
              <w:t>3,363</w:t>
            </w:r>
          </w:p>
        </w:tc>
        <w:tc>
          <w:tcPr>
            <w:tcW w:type="dxa" w:w="1440"/>
            <w:shd w:fill="FAFAFA" w:val="clear"/>
          </w:tcPr>
          <w:p>
            <w:r>
              <w:rPr>
                <w:sz w:val="17"/>
              </w:rPr>
              <w:t>3,474</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3,211</w:t>
            </w:r>
          </w:p>
        </w:tc>
        <w:tc>
          <w:tcPr>
            <w:tcW w:type="dxa" w:w="1440"/>
            <w:shd w:fill="FAFAFA" w:val="clear"/>
          </w:tcPr>
          <w:p>
            <w:r>
              <w:rPr>
                <w:b/>
                <w:sz w:val="17"/>
              </w:rPr>
              <w:t>3,368</w:t>
            </w:r>
          </w:p>
        </w:tc>
        <w:tc>
          <w:tcPr>
            <w:tcW w:type="dxa" w:w="1440"/>
            <w:shd w:fill="FAFAFA" w:val="clear"/>
          </w:tcPr>
          <w:p>
            <w:r>
              <w:rPr>
                <w:sz w:val="17"/>
              </w:rPr>
              <w:t>3,526</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3,162</w:t>
            </w:r>
          </w:p>
        </w:tc>
        <w:tc>
          <w:tcPr>
            <w:tcW w:type="dxa" w:w="1440"/>
            <w:shd w:fill="FAFAFA" w:val="clear"/>
          </w:tcPr>
          <w:p>
            <w:r>
              <w:rPr>
                <w:b/>
                <w:sz w:val="17"/>
              </w:rPr>
              <w:t>3,354</w:t>
            </w:r>
          </w:p>
        </w:tc>
        <w:tc>
          <w:tcPr>
            <w:tcW w:type="dxa" w:w="1440"/>
            <w:shd w:fill="FAFAFA" w:val="clear"/>
          </w:tcPr>
          <w:p>
            <w:r>
              <w:rPr>
                <w:sz w:val="17"/>
              </w:rPr>
              <w:t>3,546</w:t>
            </w:r>
          </w:p>
        </w:tc>
        <w:tc>
          <w:tcPr>
            <w:tcW w:type="dxa" w:w="1440"/>
            <w:shd w:fill="FAFAFA" w:val="clear"/>
          </w:tcPr>
          <w:p>
            <w:r>
              <w:rPr>
                <w:b/>
                <w:color w:val="C00000"/>
                <w:sz w:val="17"/>
              </w:rPr>
              <w:t>-1.4%</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3,111</w:t>
            </w:r>
          </w:p>
        </w:tc>
        <w:tc>
          <w:tcPr>
            <w:tcW w:type="dxa" w:w="1440"/>
            <w:shd w:fill="FFDCE0" w:val="clear"/>
          </w:tcPr>
          <w:p>
            <w:r>
              <w:rPr>
                <w:b/>
                <w:sz w:val="17"/>
              </w:rPr>
              <w:t>3,331</w:t>
            </w:r>
          </w:p>
        </w:tc>
        <w:tc>
          <w:tcPr>
            <w:tcW w:type="dxa" w:w="1440"/>
            <w:shd w:fill="FFDCE0" w:val="clear"/>
          </w:tcPr>
          <w:p>
            <w:r>
              <w:rPr>
                <w:sz w:val="17"/>
              </w:rPr>
              <w:t>3,551</w:t>
            </w:r>
          </w:p>
        </w:tc>
        <w:tc>
          <w:tcPr>
            <w:tcW w:type="dxa" w:w="1440"/>
            <w:shd w:fill="FFDCE0"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3,058</w:t>
            </w:r>
          </w:p>
        </w:tc>
        <w:tc>
          <w:tcPr>
            <w:tcW w:type="dxa" w:w="1440"/>
            <w:shd w:fill="FFDCE0" w:val="clear"/>
          </w:tcPr>
          <w:p>
            <w:r>
              <w:rPr>
                <w:b/>
                <w:sz w:val="17"/>
              </w:rPr>
              <w:t>3,303</w:t>
            </w:r>
          </w:p>
        </w:tc>
        <w:tc>
          <w:tcPr>
            <w:tcW w:type="dxa" w:w="1440"/>
            <w:shd w:fill="FFDCE0" w:val="clear"/>
          </w:tcPr>
          <w:p>
            <w:r>
              <w:rPr>
                <w:sz w:val="17"/>
              </w:rPr>
              <w:t>3,547</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3,008</w:t>
            </w:r>
          </w:p>
        </w:tc>
        <w:tc>
          <w:tcPr>
            <w:tcW w:type="dxa" w:w="1440"/>
            <w:shd w:fill="FFDCE0" w:val="clear"/>
          </w:tcPr>
          <w:p>
            <w:r>
              <w:rPr>
                <w:b/>
                <w:sz w:val="17"/>
              </w:rPr>
              <w:t>3,272</w:t>
            </w:r>
          </w:p>
        </w:tc>
        <w:tc>
          <w:tcPr>
            <w:tcW w:type="dxa" w:w="1440"/>
            <w:shd w:fill="FFDCE0" w:val="clear"/>
          </w:tcPr>
          <w:p>
            <w:r>
              <w:rPr>
                <w:sz w:val="17"/>
              </w:rPr>
              <w:t>3,537</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2,959</w:t>
            </w:r>
          </w:p>
        </w:tc>
        <w:tc>
          <w:tcPr>
            <w:tcW w:type="dxa" w:w="1440"/>
            <w:shd w:fill="FFDCE0" w:val="clear"/>
          </w:tcPr>
          <w:p>
            <w:r>
              <w:rPr>
                <w:b/>
                <w:sz w:val="17"/>
              </w:rPr>
              <w:t>3,243</w:t>
            </w:r>
          </w:p>
        </w:tc>
        <w:tc>
          <w:tcPr>
            <w:tcW w:type="dxa" w:w="1440"/>
            <w:shd w:fill="FFDCE0" w:val="clear"/>
          </w:tcPr>
          <w:p>
            <w:r>
              <w:rPr>
                <w:sz w:val="17"/>
              </w:rPr>
              <w:t>3,526</w:t>
            </w:r>
          </w:p>
        </w:tc>
        <w:tc>
          <w:tcPr>
            <w:tcW w:type="dxa" w:w="1440"/>
            <w:shd w:fill="FFDCE0" w:val="clear"/>
          </w:tcPr>
          <w:p>
            <w:r>
              <w:rPr>
                <w:b/>
                <w:color w:val="C00000"/>
                <w:sz w:val="17"/>
              </w:rPr>
              <w:t>-4.6%</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2,914</w:t>
            </w:r>
          </w:p>
        </w:tc>
        <w:tc>
          <w:tcPr>
            <w:tcW w:type="dxa" w:w="1440"/>
            <w:shd w:fill="FFDCE0" w:val="clear"/>
          </w:tcPr>
          <w:p>
            <w:r>
              <w:rPr>
                <w:b/>
                <w:sz w:val="17"/>
              </w:rPr>
              <w:t>3,215</w:t>
            </w:r>
          </w:p>
        </w:tc>
        <w:tc>
          <w:tcPr>
            <w:tcW w:type="dxa" w:w="1440"/>
            <w:shd w:fill="FFDCE0" w:val="clear"/>
          </w:tcPr>
          <w:p>
            <w:r>
              <w:rPr>
                <w:sz w:val="17"/>
              </w:rPr>
              <w:t>3,515</w:t>
            </w:r>
          </w:p>
        </w:tc>
        <w:tc>
          <w:tcPr>
            <w:tcW w:type="dxa" w:w="1440"/>
            <w:shd w:fill="FFDCE0" w:val="clear"/>
          </w:tcPr>
          <w:p>
            <w:r>
              <w:rPr>
                <w:b/>
                <w:color w:val="C00000"/>
                <w:sz w:val="17"/>
              </w:rPr>
              <w:t>-5.4%</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2,873</w:t>
            </w:r>
          </w:p>
        </w:tc>
        <w:tc>
          <w:tcPr>
            <w:tcW w:type="dxa" w:w="1440"/>
            <w:shd w:fill="FFDCE0" w:val="clear"/>
          </w:tcPr>
          <w:p>
            <w:r>
              <w:rPr>
                <w:b/>
                <w:sz w:val="17"/>
              </w:rPr>
              <w:t>3,189</w:t>
            </w:r>
          </w:p>
        </w:tc>
        <w:tc>
          <w:tcPr>
            <w:tcW w:type="dxa" w:w="1440"/>
            <w:shd w:fill="FFDCE0" w:val="clear"/>
          </w:tcPr>
          <w:p>
            <w:r>
              <w:rPr>
                <w:sz w:val="17"/>
              </w:rPr>
              <w:t>3,505</w:t>
            </w:r>
          </w:p>
        </w:tc>
        <w:tc>
          <w:tcPr>
            <w:tcW w:type="dxa" w:w="1440"/>
            <w:shd w:fill="FFDCE0" w:val="clear"/>
          </w:tcPr>
          <w:p>
            <w:r>
              <w:rPr>
                <w:b/>
                <w:color w:val="C00000"/>
                <w:sz w:val="17"/>
              </w:rPr>
              <w:t>-6.2%</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2,835</w:t>
            </w:r>
          </w:p>
        </w:tc>
        <w:tc>
          <w:tcPr>
            <w:tcW w:type="dxa" w:w="1440"/>
            <w:shd w:fill="FFDCE0" w:val="clear"/>
          </w:tcPr>
          <w:p>
            <w:r>
              <w:rPr>
                <w:b/>
                <w:sz w:val="17"/>
              </w:rPr>
              <w:t>3,166</w:t>
            </w:r>
          </w:p>
        </w:tc>
        <w:tc>
          <w:tcPr>
            <w:tcW w:type="dxa" w:w="1440"/>
            <w:shd w:fill="FFDCE0" w:val="clear"/>
          </w:tcPr>
          <w:p>
            <w:r>
              <w:rPr>
                <w:sz w:val="17"/>
              </w:rPr>
              <w:t>3,496</w:t>
            </w:r>
          </w:p>
        </w:tc>
        <w:tc>
          <w:tcPr>
            <w:tcW w:type="dxa" w:w="1440"/>
            <w:shd w:fill="FFDCE0" w:val="clear"/>
          </w:tcPr>
          <w:p>
            <w:r>
              <w:rPr>
                <w:b/>
                <w:color w:val="C00000"/>
                <w:sz w:val="17"/>
              </w:rPr>
              <w:t>-6.9%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Secteur Industriel**</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20,13 Mds FCFA, CABC se positionne comme une petite capitalisation sur le marché BRVM, ce qui implique une liquidité limitée et une sensibilité accrue aux mouvements de faible volume. Le BPA de 243 FCFA/action indique que chaque titre génère un bénéfice net de 243 FCFA, ce qui, rapporté au cours actuel de 3 400 FCFA, donne un PER de 14,0x — légèrement supérieur à la moyenne du marché BRVM (8-12x), suggérant que les investisseurs paient une prime modérée pour cette valeur. Le P/B de 2,15x montre que le marché valorise l'entreprise à plus du double de sa valeur comptable, traduisant une prime de croissance accordée par le marché. Enfin, l'EV/EBITDA de 7,0x situe la valeur d'entreprise (capitalisation + dette nette) à 7 fois la capacité opérationnelle, un niveau raisonnable qui indique que la société n'est ni surévaluée ni sous-évaluée sur le plan opérationnel.</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CABC a enregistré une variation totale de -6,98%, clôturant à 3 400 FCFA, mais avec un rebond spectaculaire de +6,25% lors de la dernière séance (J-1), signalant un regain d'intérêt acheteur à court terme. Le titre a évolué dans un range de trading de 1 310 FCFA, entre un plus haut de 4 500 FCFA et un plus bas de 3 190 FCFA, ce qui témoigne d'une volatilité significative sur la période. La tendance générale est baissière sur 100 jours, mais le rebond récent pourrait marquer une tentative de retournement. Les statistiques descriptives révèlent une moyenne de 3 686 FCFA supérieure à la médiane de 3 600 FCFA, avec un mode à 3 500 FCFA, indiquant une distribution asymétrique positivement (skewness de 0,968) — plus de journées de trading se sont situées sous la moyenne, ce qui est cohérent avec la tendance baissière. L'écart-type de 288 FCFA (CV de 7,8%) traduit une dispersion modérée du cours autour de sa moyenne, tandis que le kurtosis de 0,531 (mésokurtique) suggère une distribution proche de la normale, sans risque excessif de pics extrêmes. La volatilité annualisée de 46,0% classe le titre dans la catégorie des valeurs à volatilité élevée (&gt;30%), ce qui implique un risque de prix important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(3 434 FCFA) est inférieure à la MM50 (3 542,9 FCFA), et le cours actuel (3 400 FCFA) se situe sous ces deux moyennes, confirmant une configuration baissière. La décision technique est donc logiquement « Vente », car le prix évolue sous ses supports mobiles, signalant une pression vendeuse persistante.</w:t>
      </w:r>
    </w:p>
    <w:p>
      <w:pPr>
        <w:spacing w:after="120" w:line="276" w:lineRule="auto"/>
      </w:pPr>
      <w:r>
        <w:t>**Bandes de Bollinger** : Le cours (3 400 FCFA) se situe dans la partie inférieure de la bande, entre la borne inférieure (3 209,885 FCFA) et la borne supérieure (3 658,115 FCFA), sans atteindre les extrêmes. La décision est « Neutre », car le prix n'est ni en surachat ni en survente, et la volatilité semble contenue dans les bandes, sans signal directionnel fort.</w:t>
      </w:r>
    </w:p>
    <w:p>
      <w:pPr>
        <w:spacing w:after="120" w:line="276" w:lineRule="auto"/>
      </w:pPr>
      <w:r>
        <w:t>**MACD** : La valeur du MACD (-82,034) est inférieure à son signal (-69,938), avec un histogramme négatif, confirmant un momentum baissier. La décision est « Vente », car la divergence négative indique que la pression vendeuse reste dominante malgré le rebond récent.</w:t>
      </w:r>
    </w:p>
    <w:p>
      <w:pPr>
        <w:spacing w:after="120" w:line="276" w:lineRule="auto"/>
      </w:pPr>
      <w:r>
        <w:t>**RSI** : À 41,83, le RSI se situe dans la zone neutre (30-70), sans signal de surachat (&gt;70) ni de survente (&lt;30). La décision est « Neutre », car le titre n'est pas dans une zone extrême qui justifierait un retournement imminent.</w:t>
      </w:r>
    </w:p>
    <w:p>
      <w:pPr>
        <w:spacing w:after="120" w:line="276" w:lineRule="auto"/>
      </w:pPr>
      <w:r>
        <w:t>**Stochastique** : Le %K (67,742) est supérieur au %D (23,576), avec un croisement haussier récent, ce qui pourrait signaler un début de retournement à court terme. Cependant, la décision reste « Neutre », car le %K n'a pas encore franchi la zone de surachat (&gt;80) et le signal n'est pas confirmé.</w:t>
      </w:r>
    </w:p>
    <w:p>
      <w:pPr>
        <w:spacing w:after="120" w:line="276" w:lineRule="auto"/>
      </w:pPr>
      <w:r>
        <w:t>**Conclusion technique** : Les indicateurs techniques sont majoritairement baissiers (MM, MACD) ou neutres (Bollinger, RSI, Stochastique), avec un signal de vente dominant. Le rebond de +6,25% en J-1 et le croisement haussier du stochastique suggèrent une possible stabilisation à court terme, mais la tendance de fond reste fragile tant que le cours ne repasse pas au-dessus de la MM20 (3 434 FCFA) et de la MM50 (3 542,9 FCFA). La prudence est de mise, car la volatilité élevée (46%) expose le titre à des mouvements erratiques.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CABC a réalisé un chiffre d'affaires de 21 263 Mds FCFA, en croissance de +11,18% par rapport à 2024, portée par la demande en infrastructures électriques et télécoms. Le résultat net s'établit à 1 439 Mds FCFA, avec une marge nette de 6,77%, en amélioration par rapport aux exercices précédents. Le ROE (rentabilité des fonds propres) atteint 15,40%, un niveau excellent (&gt;15%), tandis que le ROA (rentabilité des actifs) est de 6,10%, reflétant une utilisation correcte des actifs. La structure financière est saine avec une autonomie financière de 39,58% (capitaux propres/total bilan) et une liquidité générale de 242,60%, bien au-dessus du seuil de 1. Cependant, le BFR (Besoin en Fonds de Roulement) de 7 186 Mds FCFA et les délais clients élevés (144,69 jours) et de stockage (152,12 jours) constituent des points de vigilance, car ils immobilisent du capital et exposent l'entreprise à un risque de trésorerie. Le flux opérationnel est négatif (-819,66 M FCFA) et le Free Cash Flow est de -982,71 M FCFA, ce qui signifie que l'entreprise consomme de la trésorerie malgré sa rentabilité comptable.</w:t>
      </w:r>
    </w:p>
    <w:p>
      <w:pPr>
        <w:spacing w:after="120" w:line="276" w:lineRule="auto"/>
      </w:pPr>
      <w:r>
        <w:t>**Estimations basées sur les rapports trimestriels** : Le rapport du 3ème trimestre 2025 (daté du 30 septembre 2025) indique un chiffre d'affaires cumulé de 16 630 M FCFA (+13,7% vs 9M 2024) et un résultat net de 1 329,5 M FCFA (+26,0%), avec une marge nette de 8,0%. Le rapport du 1er semestre 2025 (daté du 30 juin 2025) faisait état d'un résultat net de 851,5 M FCFA (+55,3%) et d'une marge nette de 7,9%. Sur la base de ces tendances, on peut estimer que l'exercice 2025 devrait clôturer avec un chiffre d'affaires supérieur à 21 Mds FCFA et un résultat net proche de 1,4 Md FCFA, confirmant la dynamique positive. Cependant, le rapport du T1 2026 (daté de 2026) signale une forte dégradation avec un chiffre d'affaires en baisse de -26,5% à 3 794 M FCFA et une perte nette de -221,7 M FCFA, due à une maintenance planifiée et à l'inflation des cours des métaux (+23%). La direction anticipe une normalisation dès le T2 2026, mais cet incident souligne la sensibilité de l'entreprise aux coûts des matières premières et aux aléas opérationnels.</w:t>
      </w:r>
    </w:p>
    <w:p>
      <w:pPr>
        <w:spacing w:after="120" w:line="276" w:lineRule="auto"/>
      </w:pPr>
      <w:r>
        <w:t>**Recommandation fondamentale** : CABC présente des fondamentaux solides (ROE &gt;15%, autonomie financière correcte, croissance du CA), mais des risques persistants (BFR élevé, flux opérationnel négatif, dépendance aux matières premières). La valorisation (PER 14x) semble raisonnable au regard de la croissance, mais la volatilité des résultats et les défis opérationnels incitent à la prudence. La recommandation fondamentale est **CONSERVER**, avec une surveillance active des marges et de la trésorerie.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CABC (PER 14,0x, P/B 2,15x, EV/EBITDA 7,0x) indique une légère prime par rapport au marché BRVM, mais reste justifiée par la croissance du chiffre d'affaires (+11,2% en 2025) et un ROE solide (15,4%). Le comportement du cours sur 100 jours est baissier (-6,98%), avec une volatilité élevée (46%) et une asymétrie positive (skewness 0,968), ce qui suggère que le titre a été davantage vendu que soutenu, mais le rebond de +6,25% en J-1 pourrait marquer un début de retournement. Les signaux techniques sont majoritairement baissiers (MM, MACD) mais neutres pour le RSI et le stochastique, avec un croisement haussier de ce dernier qui appelle à la prudence. Les fondamentaux sont mitigés : croissance et rentabilité en amélioration, mais BFR élevé et flux opérationnel négatif, avec un T1 2026 déficitaire qui pèse sur les perspectives. Les prédictions IA (J+1 à J+10) tablent sur une légère baisse du cours, de 3 363 FCFA à 3 303 FCFA, ce qui contredit le rebond récent et suggère une pression vendeuse persistante. Sur la base de cette synthèse, la recommandation finale est **CONSERVER**, avec un niveau de confiance **Moyen** et un risque global **Élevé** en raison de la volatilité et des incertitudes opérationnelles. L'horizon d'investissement optimal est le **moyen terme (3-12 mois)**, en attendant la confirmation d'un retour à la profitabilité durable et d'une amélioration des flux de trésorerie.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1008.00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1,613 titres</w:t>
            </w:r>
          </w:p>
        </w:tc>
        <w:tc>
          <w:tcPr>
            <w:tcW w:type="dxa" w:w="2268"/>
            <w:shd w:fill="FFF2CC" w:val="clear"/>
          </w:tcPr>
          <w:p>
            <w:r>
              <w:rPr>
                <w:b/>
                <w:color w:val="503200"/>
                <w:sz w:val="16"/>
              </w:rPr>
              <w:t xml:space="preserve">Cours actuel : </w:t>
            </w:r>
            <w:r>
              <w:rPr>
                <w:color w:val="000000"/>
                <w:sz w:val="17"/>
              </w:rPr>
              <w:t>31,500 FCFA</w:t>
            </w:r>
          </w:p>
          <w:p>
            <w:r>
              <w:rPr>
                <w:b/>
                <w:color w:val="503200"/>
                <w:sz w:val="16"/>
              </w:rPr>
              <w:t xml:space="preserve">Var. 100 jours : </w:t>
            </w:r>
            <w:r>
              <w:rPr>
                <w:b/>
                <w:color w:val="007800"/>
                <w:sz w:val="17"/>
              </w:rPr>
              <w:t>+93.85%</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16,250 FCFA</w:t>
            </w:r>
          </w:p>
          <w:p>
            <w:r>
              <w:rPr>
                <w:b/>
                <w:color w:val="503200"/>
                <w:sz w:val="16"/>
              </w:rPr>
              <w:t xml:space="preserve">Volatilité ann. : </w:t>
            </w:r>
            <w:r>
              <w:rPr>
                <w:color w:val="000000"/>
                <w:sz w:val="17"/>
              </w:rPr>
              <w:t>44.0%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19.06% (Élevée) — μ=26,026 FCFA, σ=4,959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β=1.5087 (Agressif) — Cov=0.000104, Var(idx)=0.000069, ρ=0.452,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1,613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σ_j=2.77%/j (Stable) — Vol. annualisée≈44.0%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28,707</w:t>
            </w:r>
          </w:p>
        </w:tc>
        <w:tc>
          <w:tcPr>
            <w:tcW w:type="dxa" w:w="1440"/>
            <w:shd w:fill="FFDCE0" w:val="clear"/>
          </w:tcPr>
          <w:p>
            <w:r>
              <w:rPr>
                <w:b/>
                <w:sz w:val="17"/>
              </w:rPr>
              <w:t>30,131</w:t>
            </w:r>
          </w:p>
        </w:tc>
        <w:tc>
          <w:tcPr>
            <w:tcW w:type="dxa" w:w="1440"/>
            <w:shd w:fill="FFDCE0" w:val="clear"/>
          </w:tcPr>
          <w:p>
            <w:r>
              <w:rPr>
                <w:sz w:val="17"/>
              </w:rPr>
              <w:t>31,555</w:t>
            </w:r>
          </w:p>
        </w:tc>
        <w:tc>
          <w:tcPr>
            <w:tcW w:type="dxa" w:w="1440"/>
            <w:shd w:fill="FFDCE0" w:val="clear"/>
          </w:tcPr>
          <w:p>
            <w:r>
              <w:rPr>
                <w:b/>
                <w:color w:val="C00000"/>
                <w:sz w:val="17"/>
              </w:rPr>
              <w:t>-4.3%</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27,478</w:t>
            </w:r>
          </w:p>
        </w:tc>
        <w:tc>
          <w:tcPr>
            <w:tcW w:type="dxa" w:w="1440"/>
            <w:shd w:fill="FFDCE0" w:val="clear"/>
          </w:tcPr>
          <w:p>
            <w:r>
              <w:rPr>
                <w:b/>
                <w:sz w:val="17"/>
              </w:rPr>
              <w:t>29,446</w:t>
            </w:r>
          </w:p>
        </w:tc>
        <w:tc>
          <w:tcPr>
            <w:tcW w:type="dxa" w:w="1440"/>
            <w:shd w:fill="FFDCE0" w:val="clear"/>
          </w:tcPr>
          <w:p>
            <w:r>
              <w:rPr>
                <w:sz w:val="17"/>
              </w:rPr>
              <w:t>31,413</w:t>
            </w:r>
          </w:p>
        </w:tc>
        <w:tc>
          <w:tcPr>
            <w:tcW w:type="dxa" w:w="1440"/>
            <w:shd w:fill="FFDCE0" w:val="clear"/>
          </w:tcPr>
          <w:p>
            <w:r>
              <w:rPr>
                <w:b/>
                <w:color w:val="C00000"/>
                <w:sz w:val="17"/>
              </w:rPr>
              <w:t>-6.5%</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26,779</w:t>
            </w:r>
          </w:p>
        </w:tc>
        <w:tc>
          <w:tcPr>
            <w:tcW w:type="dxa" w:w="1440"/>
            <w:shd w:fill="FFDCE0" w:val="clear"/>
          </w:tcPr>
          <w:p>
            <w:r>
              <w:rPr>
                <w:b/>
                <w:sz w:val="17"/>
              </w:rPr>
              <w:t>29,166</w:t>
            </w:r>
          </w:p>
        </w:tc>
        <w:tc>
          <w:tcPr>
            <w:tcW w:type="dxa" w:w="1440"/>
            <w:shd w:fill="FFDCE0" w:val="clear"/>
          </w:tcPr>
          <w:p>
            <w:r>
              <w:rPr>
                <w:sz w:val="17"/>
              </w:rPr>
              <w:t>31,553</w:t>
            </w:r>
          </w:p>
        </w:tc>
        <w:tc>
          <w:tcPr>
            <w:tcW w:type="dxa" w:w="1440"/>
            <w:shd w:fill="FFDCE0" w:val="clear"/>
          </w:tcPr>
          <w:p>
            <w:r>
              <w:rPr>
                <w:b/>
                <w:color w:val="C00000"/>
                <w:sz w:val="17"/>
              </w:rPr>
              <w:t>-7.4%</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26,245</w:t>
            </w:r>
          </w:p>
        </w:tc>
        <w:tc>
          <w:tcPr>
            <w:tcW w:type="dxa" w:w="1440"/>
            <w:shd w:fill="FFDCE0" w:val="clear"/>
          </w:tcPr>
          <w:p>
            <w:r>
              <w:rPr>
                <w:b/>
                <w:sz w:val="17"/>
              </w:rPr>
              <w:t>28,984</w:t>
            </w:r>
          </w:p>
        </w:tc>
        <w:tc>
          <w:tcPr>
            <w:tcW w:type="dxa" w:w="1440"/>
            <w:shd w:fill="FFDCE0" w:val="clear"/>
          </w:tcPr>
          <w:p>
            <w:r>
              <w:rPr>
                <w:sz w:val="17"/>
              </w:rPr>
              <w:t>31,724</w:t>
            </w:r>
          </w:p>
        </w:tc>
        <w:tc>
          <w:tcPr>
            <w:tcW w:type="dxa" w:w="1440"/>
            <w:shd w:fill="FFDCE0" w:val="clear"/>
          </w:tcPr>
          <w:p>
            <w:r>
              <w:rPr>
                <w:b/>
                <w:color w:val="C00000"/>
                <w:sz w:val="17"/>
              </w:rPr>
              <w:t>-8.0%</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25,770</w:t>
            </w:r>
          </w:p>
        </w:tc>
        <w:tc>
          <w:tcPr>
            <w:tcW w:type="dxa" w:w="1440"/>
            <w:shd w:fill="FFDCE0" w:val="clear"/>
          </w:tcPr>
          <w:p>
            <w:r>
              <w:rPr>
                <w:b/>
                <w:sz w:val="17"/>
              </w:rPr>
              <w:t>28,815</w:t>
            </w:r>
          </w:p>
        </w:tc>
        <w:tc>
          <w:tcPr>
            <w:tcW w:type="dxa" w:w="1440"/>
            <w:shd w:fill="FFDCE0" w:val="clear"/>
          </w:tcPr>
          <w:p>
            <w:r>
              <w:rPr>
                <w:sz w:val="17"/>
              </w:rPr>
              <w:t>31,860</w:t>
            </w:r>
          </w:p>
        </w:tc>
        <w:tc>
          <w:tcPr>
            <w:tcW w:type="dxa" w:w="1440"/>
            <w:shd w:fill="FFDCE0" w:val="clear"/>
          </w:tcPr>
          <w:p>
            <w:r>
              <w:rPr>
                <w:b/>
                <w:color w:val="C00000"/>
                <w:sz w:val="17"/>
              </w:rPr>
              <w:t>-8.5%</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25,350</w:t>
            </w:r>
          </w:p>
        </w:tc>
        <w:tc>
          <w:tcPr>
            <w:tcW w:type="dxa" w:w="1440"/>
            <w:shd w:fill="FFDCE0" w:val="clear"/>
          </w:tcPr>
          <w:p>
            <w:r>
              <w:rPr>
                <w:b/>
                <w:sz w:val="17"/>
              </w:rPr>
              <w:t>28,669</w:t>
            </w:r>
          </w:p>
        </w:tc>
        <w:tc>
          <w:tcPr>
            <w:tcW w:type="dxa" w:w="1440"/>
            <w:shd w:fill="FFDCE0" w:val="clear"/>
          </w:tcPr>
          <w:p>
            <w:r>
              <w:rPr>
                <w:sz w:val="17"/>
              </w:rPr>
              <w:t>31,987</w:t>
            </w:r>
          </w:p>
        </w:tc>
        <w:tc>
          <w:tcPr>
            <w:tcW w:type="dxa" w:w="1440"/>
            <w:shd w:fill="FFDCE0" w:val="clear"/>
          </w:tcPr>
          <w:p>
            <w:r>
              <w:rPr>
                <w:b/>
                <w:color w:val="C00000"/>
                <w:sz w:val="17"/>
              </w:rPr>
              <w:t>-9.0%</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24,974</w:t>
            </w:r>
          </w:p>
        </w:tc>
        <w:tc>
          <w:tcPr>
            <w:tcW w:type="dxa" w:w="1440"/>
            <w:shd w:fill="FFDCE0" w:val="clear"/>
          </w:tcPr>
          <w:p>
            <w:r>
              <w:rPr>
                <w:b/>
                <w:sz w:val="17"/>
              </w:rPr>
              <w:t>28,543</w:t>
            </w:r>
          </w:p>
        </w:tc>
        <w:tc>
          <w:tcPr>
            <w:tcW w:type="dxa" w:w="1440"/>
            <w:shd w:fill="FFDCE0" w:val="clear"/>
          </w:tcPr>
          <w:p>
            <w:r>
              <w:rPr>
                <w:sz w:val="17"/>
              </w:rPr>
              <w:t>32,112</w:t>
            </w:r>
          </w:p>
        </w:tc>
        <w:tc>
          <w:tcPr>
            <w:tcW w:type="dxa" w:w="1440"/>
            <w:shd w:fill="FFDCE0" w:val="clear"/>
          </w:tcPr>
          <w:p>
            <w:r>
              <w:rPr>
                <w:b/>
                <w:color w:val="C00000"/>
                <w:sz w:val="17"/>
              </w:rPr>
              <w:t>-9.4%</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24,633</w:t>
            </w:r>
          </w:p>
        </w:tc>
        <w:tc>
          <w:tcPr>
            <w:tcW w:type="dxa" w:w="1440"/>
            <w:shd w:fill="FFDCE0" w:val="clear"/>
          </w:tcPr>
          <w:p>
            <w:r>
              <w:rPr>
                <w:b/>
                <w:sz w:val="17"/>
              </w:rPr>
              <w:t>28,434</w:t>
            </w:r>
          </w:p>
        </w:tc>
        <w:tc>
          <w:tcPr>
            <w:tcW w:type="dxa" w:w="1440"/>
            <w:shd w:fill="FFDCE0" w:val="clear"/>
          </w:tcPr>
          <w:p>
            <w:r>
              <w:rPr>
                <w:sz w:val="17"/>
              </w:rPr>
              <w:t>32,235</w:t>
            </w:r>
          </w:p>
        </w:tc>
        <w:tc>
          <w:tcPr>
            <w:tcW w:type="dxa" w:w="1440"/>
            <w:shd w:fill="FFDCE0" w:val="clear"/>
          </w:tcPr>
          <w:p>
            <w:r>
              <w:rPr>
                <w:b/>
                <w:color w:val="C00000"/>
                <w:sz w:val="17"/>
              </w:rPr>
              <w:t>-9.7%</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24,320</w:t>
            </w:r>
          </w:p>
        </w:tc>
        <w:tc>
          <w:tcPr>
            <w:tcW w:type="dxa" w:w="1440"/>
            <w:shd w:fill="FFDCE0" w:val="clear"/>
          </w:tcPr>
          <w:p>
            <w:r>
              <w:rPr>
                <w:b/>
                <w:sz w:val="17"/>
              </w:rPr>
              <w:t>28,338</w:t>
            </w:r>
          </w:p>
        </w:tc>
        <w:tc>
          <w:tcPr>
            <w:tcW w:type="dxa" w:w="1440"/>
            <w:shd w:fill="FFDCE0" w:val="clear"/>
          </w:tcPr>
          <w:p>
            <w:r>
              <w:rPr>
                <w:sz w:val="17"/>
              </w:rPr>
              <w:t>32,356</w:t>
            </w:r>
          </w:p>
        </w:tc>
        <w:tc>
          <w:tcPr>
            <w:tcW w:type="dxa" w:w="1440"/>
            <w:shd w:fill="FFDCE0" w:val="clear"/>
          </w:tcPr>
          <w:p>
            <w:r>
              <w:rPr>
                <w:b/>
                <w:color w:val="C00000"/>
                <w:sz w:val="17"/>
              </w:rPr>
              <w:t>-10.0%</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24,031</w:t>
            </w:r>
          </w:p>
        </w:tc>
        <w:tc>
          <w:tcPr>
            <w:tcW w:type="dxa" w:w="1440"/>
            <w:shd w:fill="FFDCE0" w:val="clear"/>
          </w:tcPr>
          <w:p>
            <w:r>
              <w:rPr>
                <w:b/>
                <w:sz w:val="17"/>
              </w:rPr>
              <w:t>28,253</w:t>
            </w:r>
          </w:p>
        </w:tc>
        <w:tc>
          <w:tcPr>
            <w:tcW w:type="dxa" w:w="1440"/>
            <w:shd w:fill="FFDCE0" w:val="clear"/>
          </w:tcPr>
          <w:p>
            <w:r>
              <w:rPr>
                <w:sz w:val="17"/>
              </w:rPr>
              <w:t>32,476</w:t>
            </w:r>
          </w:p>
        </w:tc>
        <w:tc>
          <w:tcPr>
            <w:tcW w:type="dxa" w:w="1440"/>
            <w:shd w:fill="FFDCE0" w:val="clear"/>
          </w:tcPr>
          <w:p>
            <w:r>
              <w:rPr>
                <w:b/>
                <w:color w:val="C00000"/>
                <w:sz w:val="17"/>
              </w:rPr>
              <w:t>-10.3%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 📊 RAPPORT D'ANALYSE FINANCIÈRE — CORIS BANK INTERNATIONAL (CBIBF)</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Coris Bank International affiche une capitalisation boursière de **1 008 milliards FCFA**, un niveau qui la place parmi les valeurs les plus importantes de la cote BRVM, confirmant son statut de poids lourd du compartiment bancaire régional. Avec un **BPA de 2 047 FCFA/action**, chaque titre génère un bénéfice net substantiel, ce qui traduit une rentabilité par action solide. Le **PER de 15,4x** se situe au-dessus de la moyenne du marché BRVM (généralement comprise entre 8 et 12x), signalant que les investisseurs acceptent de payer une prime pour cette valeur de croissance — une prime justifiée par la dynamique bénéficiaire exceptionnelle (+36,6% en 2025). L'**EV/EBITDA de 11,4x**, dans la fourchette 10-15x, confirme une valorisation élevée mais cohérente avec le profil de croissance et la qualité opérationnelle de la banque. Le ratio P/B n'étant pas fourni dans les données, il n'est pas commenté ici ; l'absence de cette donnée ne remet toutefois pas en cause la lecture globale : le titre se paie à un prix premium, mais adossé à des fondamentaux robustes.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 enregistré une **progression spectaculaire de +93,85%**, avec une dernière séance en hausse de **+3,96%**, portant le cours actuel à **31 500 FCFA**. Le range de trading est particulièrement large, oscillant entre un plus bas de **16 250 FCFA** et un plus haut de **34 450 FCFA**, soit un écart de plus de 18 000 FCFA qui témoigne d'une dynamique haussière puissante mais aussi d'une forte amplitude. La tendance générale est clairement **haussière**, le cours actuel se maintenant à environ 94% de son plus haut historique sur la période. Les statistiques descriptives révèlent une **moyenne de 26 026 FCFA** légèrement inférieure à la **médiane de 27 350 FCFA**, ce qui indique une distribution légèrement asymétrique à gauche (quelques séances de forte baisse ont tiré la moyenne vers le bas), cohérente avec le **skewness de -0,133** qualifié de symétrique. L'**écart-type de 4 984 FCFA** avec un **coefficient de variation de 19,2%** traduit une dispersion modérée du cours autour de sa moyenne. Le **kurtosis de -1,000** (mésokurtique) suggère une distribution proche de la normale, sans risque excessif de pics extrêmes. Enfin, la **volatilité annualisée de 44,0%** classe ce titre dans la catégorie **élevée** (&gt;30%), ce qui implique un risque de marché significatif mais aussi un potentiel de gain attractif pour les investisseurs avertis.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**32 572,75 FCFA** et la MM50 à **30 004,8 FCFA**, toutes deux supérieures au cours actuel de 31 500 FCFA pour la MM20, mais la MM50 reste en dessous. Le croisement haussier (MM20 &gt; MM50) et la position du cours au-dessus de la MM50 confirment une **tendance de fond haussière**, justifiant la décision technique **Achat**.</w:t>
      </w:r>
    </w:p>
    <w:p>
      <w:pPr>
        <w:spacing w:after="120" w:line="276" w:lineRule="auto"/>
      </w:pPr>
      <w:r>
        <w:t>**Bandes de Bollinger** : Le cours (31 500 FCFA) se situe entre la borne inférieure (29 197,69 FCFA) et la borne supérieure (35 947,81 FCFA), plus proche de la borne basse que de la haute. Cette position médiane, dans un contexte de bandes relativement larges, traduit une **volatilité élevée sans signal directionnel fort**, d'où la décision **Neutre**.</w:t>
      </w:r>
    </w:p>
    <w:p>
      <w:pPr>
        <w:spacing w:after="120" w:line="276" w:lineRule="auto"/>
      </w:pPr>
      <w:r>
        <w:t>**MACD** : La valeur du MACD (362,67) est nettement inférieure à son signal (917,81), générant un **croisement baissier** qui indique un essoufflement du momentum haussier. Cette divergence négative justifie la décision technique **Vente** à court terme.</w:t>
      </w:r>
    </w:p>
    <w:p>
      <w:pPr>
        <w:spacing w:after="120" w:line="276" w:lineRule="auto"/>
      </w:pPr>
      <w:r>
        <w:t>**RSI** : À **42,39**, le RSI se situe dans la zone neutre (30-70), sans signal de surachat ni de survente. Cette position médiane reflète un **équilibre entre acheteurs et vendeurs**, justifiant la décision **Neutre**.</w:t>
      </w:r>
    </w:p>
    <w:p>
      <w:pPr>
        <w:spacing w:after="120" w:line="276" w:lineRule="auto"/>
      </w:pPr>
      <w:r>
        <w:t>**Stochastique** : Le %K (48,92) est supérieur au %D (25,69), ce qui pourrait suggérer un début de croisement haussier, mais les deux indicateurs restent en zone basse. La décision reste **Neutre**, le signal n'étant pas encore confirmé.</w:t>
      </w:r>
    </w:p>
    <w:p>
      <w:pPr>
        <w:spacing w:after="120" w:line="276" w:lineRule="auto"/>
      </w:pPr>
      <w:r>
        <w:t>**Conclusion technique** : Les indicateurs techniques présentent un tableau **mitigé**. Si la tendance de fond reste haussière (MM20 &gt; MM50, cours &gt; MM50), le MACD baissier et la position médiane du RSI et du stochastique suggèrent une **phase de consolidation** après la forte hausse récente. Le titre pourrait connaître une respiration avant de reprendre sa trajectoire ascendante, ce qui offre potentiellement un point d'entrée pour les investisseurs de moyen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Coris Bank International a réalisé un **Produit Net Bancaire (PNB) de 138,986 milliards FCFA**, en croissance de **+6,11%** sur un an, confirmant la dynamique commerciale de la banque. Le **résultat net s'établit à 65,495 milliards FCFA**, en progression remarquable de **+36,6%** par rapport à 2024 (47,937 milliards FCFA), porté par une amélioration significative du coût du risque (-59,3%) et une bonne maîtrise des charges. La **marge nette de 47,12%** et la **marge opérationnelle de 51,77%** témoignent d'une rentabilité élevée. Le **ROA de 2,18%** et la **rotation des actifs de 4,64%** reflètent une utilisation efficace du bilan. Le **coefficient d'exploitation de 36,39%**, très inférieur au seuil de 60%, confirme l'**excellente efficacité opérationnelle** de la banque. Le **coût du risque** (provisions/charges financières) reste un point de vigilance, mais son amélioration en 2025 est notable. Le **ratio dépôts/crédits** s'établit à 2 015,3/1 327,0 = **1,52**, indiquant une surliquidité et une politique de crédit sélective.</w:t>
      </w:r>
    </w:p>
    <w:p>
      <w:pPr>
        <w:spacing w:after="120" w:line="276" w:lineRule="auto"/>
      </w:pPr>
      <w:r>
        <w:t>**Évolution temporelle** : L'analyse des rapports trimestriels révèle une **accélération progressive** de la performance. Au **T1 2025** (rapport du 31/03/2025), le PNB atteignait 28,7 milliards FCFA (+2,80%) et le résultat net 17,6 milliards FCFA (+5,89%). Au **S1 2025** (rapport du 30/06/2025), le PNB progressait à 65,1 milliards FCFA (+8,75%) mais le résultat net stagnait à 33,8 milliards FCFA (+0,66%) en raison d'une flambée du coût du risque (+61,75%). Au **T3 2025** (rapport du 30/09/2025), la tendance s'inversait avec un PNB de 101,3 milliards FCFA (+9,65%) et un résultat net de 52,9 milliards FCFA (+6,25%), confirmant la **maîtrise retrouvée des risques**. Le **rapport annuel 2024** (publié le 31/12/2024) avait montré une année difficile avec un résultat net en baisse de -25,4% à 47,9 milliards FCFA, victime d'un coût du risque explosif (+72,5%). L'exercice 2025 marque donc un **net redressement**.</w:t>
      </w:r>
    </w:p>
    <w:p>
      <w:pPr>
        <w:spacing w:after="120" w:line="276" w:lineRule="auto"/>
      </w:pPr>
      <w:r>
        <w:t>**Estimations basées sur les rapports trimestriels** : Le **rapport T1 2026** (publié en 2026) révèle une **accélération spectaculaire** : PNB de 36,8 milliards FCFA (+28,5%), résultat net de 21,5 milliards FCFA (+22,2%), et surtout une **collecte de dépôts de 2 365,1 milliards FCFA (+37,9%)**. Sur cette base, on peut **estimer** que l'exercice 2026 devrait afficher un PNB supérieur à 150 milliards FCFA et un résultat net dépassant les 75 milliards FCFA, confirmant la trajectoire de croissance. La **marge nette de 58,4%** au T1 2026 (contre 47,1% en 2025) suggère une amélioration continue de la rentabilité.</w:t>
      </w:r>
    </w:p>
    <w:p>
      <w:pPr>
        <w:spacing w:after="120" w:line="276" w:lineRule="auto"/>
      </w:pPr>
      <w:r>
        <w:t>**Recommandation fondamentale** : La banque présente une **solidité financière remarquable**, avec une croissance soutenue, une efficacité opérationnelle excellente et une gestion des risques en nette amélioration. Les principaux risques identifiés sont l'**exposition au contexte sécuritaire et politique burkinabè** et la **concentration géographique**. Néanmoins, la notation **AA/AI avec perspective stable** (Bloomfield) et le renforcement de la gouvernance (administrateurs indépendants) confortent la confiance. La recommandation fondamentale est **ACHAT**, avec un potentiel de revalorisation lié à la poursuite de la croissance.</w:t>
      </w:r>
    </w:p>
    <w:p>
      <w:pPr>
        <w:spacing w:after="120" w:line="276" w:lineRule="auto"/>
      </w:pPr>
      <w:r>
        <w:t>---</w:t>
      </w:r>
    </w:p>
    <w:p>
      <w:pPr>
        <w:spacing w:after="120" w:line="276" w:lineRule="auto"/>
      </w:pPr>
      <w:r>
        <w:t>## PARTIE 4 : CONCLUSION D'INVESTISSEMENT</w:t>
      </w:r>
    </w:p>
    <w:p>
      <w:pPr>
        <w:spacing w:after="120" w:line="276" w:lineRule="auto"/>
      </w:pPr>
      <w:r>
        <w:t>**Synthèse globale** : La valorisation (Partie 0) affiche un **PER de 15,4x** et un **EV/EBITDA de 11,4x**, soit une **prime par rapport à la moyenne du marché BRVM**, mais justifiée par une croissance bénéficiaire exceptionnelle (+36,6% en 2025) et des perspectives solides. Le comportement du cours (Partie 1) est **haussier sur 100 jours (+93,85%)**, avec une volatilité élevée (44%) et des statistiques descriptives (kurtosis -1,0, skewness -0,13) qui indiquent une distribution proche de la normale, sans risque excessif de pics extrêmes. Les signaux techniques (Partie 2) sont **mitigés** : tendance de fond haussière (MM20 &gt; MM50) mais MACD baissier et RSI neutre, suggérant une **consolidation à court terme**. Les fondamentaux (Partie 3) sont **excellents** : PNB de 139 milliards FCFA en 2025, résultat net de 65,5 milliards FCFA, coefficient d'exploitation de 36,4%, et un T1 2026 qui accélère (+28,5% de PNB). Les **prédictions IA** (J+1 à J+10) anticipent une **baisse progressive** de 30 131 FCFA à 28 815 FCFA, ce qui **contredit** la tendance haussière de fond mais **confirme** la phase de consolidation technique.</w:t>
      </w:r>
    </w:p>
    <w:p>
      <w:pPr>
        <w:spacing w:after="120" w:line="276" w:lineRule="auto"/>
      </w:pPr>
      <w:r>
        <w:t>**Recommandation finale** : **ACHAT** (avec un biais positif à moyen terme). La convergence entre des fondamentaux solides, une valorisation premium justifiée et une tendance de fond haussière l'emporte sur les signaux techniques baissiers à court terme et les prédictions IA de repli. Le niveau de confiance est **Moyen** (en raison de la divergence entre technique et fondamental) et le niveau de risque global est **Moyen à Élevé** (volatilité de 44%, exposition géographique). L'horizon d'investissement optimal est le **moyen terme (3-12 mois)**, le temps que la consolidation technique s'achève et que la croissance bénéficiaire se matérialise dans les cours. Les investisseurs à court terme privilégieront la prudence, tandis que les investisseurs de long terme pourront accumuler le titre sur les replis vers 29 000-30 000 FCFA.</w:t>
      </w:r>
    </w:p>
    <w:p>
      <w:pPr>
        <w:spacing w:after="120" w:line="276" w:lineRule="auto"/>
      </w:pPr>
      <w:r>
        <w:t>---</w:t>
      </w:r>
    </w:p>
    <w:p>
      <w:pPr>
        <w:spacing w:after="120" w:line="276" w:lineRule="auto"/>
      </w:pPr>
      <w:r>
        <w:t>*Rapport généré le 27 septembre 2026 — Sources : BRVM, états financiers CBIBF 2024-2025, rapports trimestriels T1 2025 à T1 2026, analyses techniques et prédictions IA.*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282.03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3,698 titres</w:t>
            </w:r>
          </w:p>
        </w:tc>
        <w:tc>
          <w:tcPr>
            <w:tcW w:type="dxa" w:w="2268"/>
            <w:shd w:fill="FFF2CC" w:val="clear"/>
          </w:tcPr>
          <w:p>
            <w:r>
              <w:rPr>
                <w:b/>
                <w:color w:val="503200"/>
                <w:sz w:val="16"/>
              </w:rPr>
              <w:t xml:space="preserve">Cours actuel : </w:t>
            </w:r>
            <w:r>
              <w:rPr>
                <w:color w:val="000000"/>
                <w:sz w:val="17"/>
              </w:rPr>
              <w:t>1,555 FCFA</w:t>
            </w:r>
          </w:p>
          <w:p>
            <w:r>
              <w:rPr>
                <w:b/>
                <w:color w:val="503200"/>
                <w:sz w:val="16"/>
              </w:rPr>
              <w:t xml:space="preserve">Var. 100 jours : </w:t>
            </w:r>
            <w:r>
              <w:rPr>
                <w:b/>
                <w:color w:val="007800"/>
                <w:sz w:val="17"/>
              </w:rPr>
              <w:t>+8.74%</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6.64% (Moyenne) — μ=1,626 FCFA, σ=108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β=1.2207 (Agressif) — Cov=0.000084, Var(idx)=0.000069, ρ=0.336,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3,698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1,489</w:t>
            </w:r>
          </w:p>
        </w:tc>
        <w:tc>
          <w:tcPr>
            <w:tcW w:type="dxa" w:w="1440"/>
            <w:shd w:fill="FAFAFA" w:val="clear"/>
          </w:tcPr>
          <w:p>
            <w:r>
              <w:rPr>
                <w:b/>
                <w:sz w:val="17"/>
              </w:rPr>
              <w:t>1,554</w:t>
            </w:r>
          </w:p>
        </w:tc>
        <w:tc>
          <w:tcPr>
            <w:tcW w:type="dxa" w:w="1440"/>
            <w:shd w:fill="FAFAFA" w:val="clear"/>
          </w:tcPr>
          <w:p>
            <w:r>
              <w:rPr>
                <w:sz w:val="17"/>
              </w:rPr>
              <w:t>1,618</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1,470</w:t>
            </w:r>
          </w:p>
        </w:tc>
        <w:tc>
          <w:tcPr>
            <w:tcW w:type="dxa" w:w="1440"/>
            <w:shd w:fill="FAFAFA" w:val="clear"/>
          </w:tcPr>
          <w:p>
            <w:r>
              <w:rPr>
                <w:b/>
                <w:sz w:val="17"/>
              </w:rPr>
              <w:t>1,561</w:t>
            </w:r>
          </w:p>
        </w:tc>
        <w:tc>
          <w:tcPr>
            <w:tcW w:type="dxa" w:w="1440"/>
            <w:shd w:fill="FAFAFA" w:val="clear"/>
          </w:tcPr>
          <w:p>
            <w:r>
              <w:rPr>
                <w:sz w:val="17"/>
              </w:rPr>
              <w:t>1,652</w:t>
            </w:r>
          </w:p>
        </w:tc>
        <w:tc>
          <w:tcPr>
            <w:tcW w:type="dxa" w:w="1440"/>
            <w:shd w:fill="FAFAFA" w:val="clear"/>
          </w:tcPr>
          <w:p>
            <w:r>
              <w:rPr>
                <w:b/>
                <w:color w:val="008000"/>
                <w:sz w:val="17"/>
              </w:rPr>
              <w:t>+0.4%</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1,455</w:t>
            </w:r>
          </w:p>
        </w:tc>
        <w:tc>
          <w:tcPr>
            <w:tcW w:type="dxa" w:w="1440"/>
            <w:shd w:fill="FAFAFA" w:val="clear"/>
          </w:tcPr>
          <w:p>
            <w:r>
              <w:rPr>
                <w:b/>
                <w:sz w:val="17"/>
              </w:rPr>
              <w:t>1,568</w:t>
            </w:r>
          </w:p>
        </w:tc>
        <w:tc>
          <w:tcPr>
            <w:tcW w:type="dxa" w:w="1440"/>
            <w:shd w:fill="FAFAFA" w:val="clear"/>
          </w:tcPr>
          <w:p>
            <w:r>
              <w:rPr>
                <w:sz w:val="17"/>
              </w:rPr>
              <w:t>1,680</w:t>
            </w:r>
          </w:p>
        </w:tc>
        <w:tc>
          <w:tcPr>
            <w:tcW w:type="dxa" w:w="1440"/>
            <w:shd w:fill="FAFAFA" w:val="clear"/>
          </w:tcPr>
          <w:p>
            <w:r>
              <w:rPr>
                <w:b/>
                <w:color w:val="008000"/>
                <w:sz w:val="17"/>
              </w:rPr>
              <w:t>+0.8%</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1,444</w:t>
            </w:r>
          </w:p>
        </w:tc>
        <w:tc>
          <w:tcPr>
            <w:tcW w:type="dxa" w:w="1440"/>
            <w:shd w:fill="FAFAFA" w:val="clear"/>
          </w:tcPr>
          <w:p>
            <w:r>
              <w:rPr>
                <w:b/>
                <w:sz w:val="17"/>
              </w:rPr>
              <w:t>1,574</w:t>
            </w:r>
          </w:p>
        </w:tc>
        <w:tc>
          <w:tcPr>
            <w:tcW w:type="dxa" w:w="1440"/>
            <w:shd w:fill="FAFAFA" w:val="clear"/>
          </w:tcPr>
          <w:p>
            <w:r>
              <w:rPr>
                <w:sz w:val="17"/>
              </w:rPr>
              <w:t>1,704</w:t>
            </w:r>
          </w:p>
        </w:tc>
        <w:tc>
          <w:tcPr>
            <w:tcW w:type="dxa" w:w="1440"/>
            <w:shd w:fill="FAFAFA" w:val="clear"/>
          </w:tcPr>
          <w:p>
            <w:r>
              <w:rPr>
                <w:b/>
                <w:color w:val="008000"/>
                <w:sz w:val="17"/>
              </w:rPr>
              <w:t>+1.2%</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1,434</w:t>
            </w:r>
          </w:p>
        </w:tc>
        <w:tc>
          <w:tcPr>
            <w:tcW w:type="dxa" w:w="1440"/>
            <w:shd w:fill="FAFAFA" w:val="clear"/>
          </w:tcPr>
          <w:p>
            <w:r>
              <w:rPr>
                <w:b/>
                <w:sz w:val="17"/>
              </w:rPr>
              <w:t>1,581</w:t>
            </w:r>
          </w:p>
        </w:tc>
        <w:tc>
          <w:tcPr>
            <w:tcW w:type="dxa" w:w="1440"/>
            <w:shd w:fill="FAFAFA" w:val="clear"/>
          </w:tcPr>
          <w:p>
            <w:r>
              <w:rPr>
                <w:sz w:val="17"/>
              </w:rPr>
              <w:t>1,727</w:t>
            </w:r>
          </w:p>
        </w:tc>
        <w:tc>
          <w:tcPr>
            <w:tcW w:type="dxa" w:w="1440"/>
            <w:shd w:fill="FAFAFA" w:val="clear"/>
          </w:tcPr>
          <w:p>
            <w:r>
              <w:rPr>
                <w:b/>
                <w:color w:val="008000"/>
                <w:sz w:val="17"/>
              </w:rPr>
              <w:t>+1.7%</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1,426</w:t>
            </w:r>
          </w:p>
        </w:tc>
        <w:tc>
          <w:tcPr>
            <w:tcW w:type="dxa" w:w="1440"/>
            <w:shd w:fill="C6EFCE" w:val="clear"/>
          </w:tcPr>
          <w:p>
            <w:r>
              <w:rPr>
                <w:b/>
                <w:sz w:val="17"/>
              </w:rPr>
              <w:t>1,587</w:t>
            </w:r>
          </w:p>
        </w:tc>
        <w:tc>
          <w:tcPr>
            <w:tcW w:type="dxa" w:w="1440"/>
            <w:shd w:fill="C6EFCE" w:val="clear"/>
          </w:tcPr>
          <w:p>
            <w:r>
              <w:rPr>
                <w:sz w:val="17"/>
              </w:rPr>
              <w:t>1,748</w:t>
            </w:r>
          </w:p>
        </w:tc>
        <w:tc>
          <w:tcPr>
            <w:tcW w:type="dxa" w:w="1440"/>
            <w:shd w:fill="C6EFCE" w:val="clear"/>
          </w:tcPr>
          <w:p>
            <w:r>
              <w:rPr>
                <w:b/>
                <w:color w:val="008000"/>
                <w:sz w:val="17"/>
              </w:rPr>
              <w:t>+2.1%</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1,419</w:t>
            </w:r>
          </w:p>
        </w:tc>
        <w:tc>
          <w:tcPr>
            <w:tcW w:type="dxa" w:w="1440"/>
            <w:shd w:fill="C6EFCE" w:val="clear"/>
          </w:tcPr>
          <w:p>
            <w:r>
              <w:rPr>
                <w:b/>
                <w:sz w:val="17"/>
              </w:rPr>
              <w:t>1,594</w:t>
            </w:r>
          </w:p>
        </w:tc>
        <w:tc>
          <w:tcPr>
            <w:tcW w:type="dxa" w:w="1440"/>
            <w:shd w:fill="C6EFCE" w:val="clear"/>
          </w:tcPr>
          <w:p>
            <w:r>
              <w:rPr>
                <w:sz w:val="17"/>
              </w:rPr>
              <w:t>1,768</w:t>
            </w:r>
          </w:p>
        </w:tc>
        <w:tc>
          <w:tcPr>
            <w:tcW w:type="dxa" w:w="1440"/>
            <w:shd w:fill="C6EFCE" w:val="clear"/>
          </w:tcPr>
          <w:p>
            <w:r>
              <w:rPr>
                <w:b/>
                <w:color w:val="008000"/>
                <w:sz w:val="17"/>
              </w:rPr>
              <w:t>+2.5%</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1,413</w:t>
            </w:r>
          </w:p>
        </w:tc>
        <w:tc>
          <w:tcPr>
            <w:tcW w:type="dxa" w:w="1440"/>
            <w:shd w:fill="C6EFCE" w:val="clear"/>
          </w:tcPr>
          <w:p>
            <w:r>
              <w:rPr>
                <w:b/>
                <w:sz w:val="17"/>
              </w:rPr>
              <w:t>1,600</w:t>
            </w:r>
          </w:p>
        </w:tc>
        <w:tc>
          <w:tcPr>
            <w:tcW w:type="dxa" w:w="1440"/>
            <w:shd w:fill="C6EFCE" w:val="clear"/>
          </w:tcPr>
          <w:p>
            <w:r>
              <w:rPr>
                <w:sz w:val="17"/>
              </w:rPr>
              <w:t>1,787</w:t>
            </w:r>
          </w:p>
        </w:tc>
        <w:tc>
          <w:tcPr>
            <w:tcW w:type="dxa" w:w="1440"/>
            <w:shd w:fill="C6EFCE" w:val="clear"/>
          </w:tcPr>
          <w:p>
            <w:r>
              <w:rPr>
                <w:b/>
                <w:color w:val="008000"/>
                <w:sz w:val="17"/>
              </w:rPr>
              <w:t>+2.9%</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1,407</w:t>
            </w:r>
          </w:p>
        </w:tc>
        <w:tc>
          <w:tcPr>
            <w:tcW w:type="dxa" w:w="1440"/>
            <w:shd w:fill="C6EFCE" w:val="clear"/>
          </w:tcPr>
          <w:p>
            <w:r>
              <w:rPr>
                <w:b/>
                <w:sz w:val="17"/>
              </w:rPr>
              <w:t>1,606</w:t>
            </w:r>
          </w:p>
        </w:tc>
        <w:tc>
          <w:tcPr>
            <w:tcW w:type="dxa" w:w="1440"/>
            <w:shd w:fill="C6EFCE" w:val="clear"/>
          </w:tcPr>
          <w:p>
            <w:r>
              <w:rPr>
                <w:sz w:val="17"/>
              </w:rPr>
              <w:t>1,806</w:t>
            </w:r>
          </w:p>
        </w:tc>
        <w:tc>
          <w:tcPr>
            <w:tcW w:type="dxa" w:w="1440"/>
            <w:shd w:fill="C6EFCE" w:val="clear"/>
          </w:tcPr>
          <w:p>
            <w:r>
              <w:rPr>
                <w:b/>
                <w:color w:val="008000"/>
                <w:sz w:val="17"/>
              </w:rPr>
              <w:t>+3.3%</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1,401</w:t>
            </w:r>
          </w:p>
        </w:tc>
        <w:tc>
          <w:tcPr>
            <w:tcW w:type="dxa" w:w="1440"/>
            <w:shd w:fill="C6EFCE" w:val="clear"/>
          </w:tcPr>
          <w:p>
            <w:r>
              <w:rPr>
                <w:b/>
                <w:sz w:val="17"/>
              </w:rPr>
              <w:t>1,612</w:t>
            </w:r>
          </w:p>
        </w:tc>
        <w:tc>
          <w:tcPr>
            <w:tcW w:type="dxa" w:w="1440"/>
            <w:shd w:fill="C6EFCE" w:val="clear"/>
          </w:tcPr>
          <w:p>
            <w:r>
              <w:rPr>
                <w:sz w:val="17"/>
              </w:rPr>
              <w:t>1,823</w:t>
            </w:r>
          </w:p>
        </w:tc>
        <w:tc>
          <w:tcPr>
            <w:tcW w:type="dxa" w:w="1440"/>
            <w:shd w:fill="C6EFCE" w:val="clear"/>
          </w:tcPr>
          <w:p>
            <w:r>
              <w:rPr>
                <w:b/>
                <w:color w:val="008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*BRVM — Secteur Automobile &amp; Distribution | Cours de référence : 1 555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282,03 milliards FCFA, CFAC figure parmi les valeurs les plus importantes de la cote BRVM, ce qui témoigne de son statut de leader du marché automobile ivoirien. Le BPA de 26 FCFA/action signifie que chaque titre génère 26 FCFA de bénéfice net, un niveau modeste au regard du cours actuel. Le PER de 60,1x traduit une valorisation très exigeante : les investisseurs paient plus de 60 fois les bénéfices, soit un multiple cinq à sept fois supérieur à la moyenne BRVM (~8-12x), ce qui intègre déjà une forte anticipation de croissance future. Le P/B de 14,50x confirme cette prime spectaculaire, le marché valorisant l'entreprise à plus de 14 fois sa valeur comptable, signe d'une confiance excessive ou d'une sous-capitalisation comptable. Enfin, l'EV/EBITDA de 30,6x (contre un seuil d'alerte de 15x) indique que la valeur d'entreprise est très supérieure à la capacité opérationnelle de génération de cash, renforçant le diagnostic de surévaluation relative.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CFAC affiche une progression totale de +8,74%, avec une dernière séance en hausse de +0,97%, signalant un léger regain de dynamisme après une phase de correction. Le titre a évolué dans un range de 500 FCFA, entre un plus bas de 1 325 FCFA et un plus haut de 1 825 FCFA, ce qui témoigne d'une amplitude de trading significative. La tendance générale reste haussière sur la période, mais le cours actuel (1 555 FCFA) se situe en retrait de 14,8% par rapport au sommet, suggérant une phase de consolidation baissière depuis le pic. Les statistiques descriptives révèlent une moyenne de 1 626 FCFA légèrement inférieure à la médiane de 1 642 FCFA, avec un mode à 1 600 FCFA : cet écart modéré indique une distribution quasi symétrique, bien que le skewness de -0,600 (asymétrie négative) signale davantage de journées de cotation au-dessus de la moyenne, typique d'un titre ayant connu un pic suivi d'un repli. L'écart-type de 108 FCFA (CV de 6,7%) traduit une dispersion modérée autour de la moyenne, tandis que le kurtosis de -0,242 (mésokurtique) indique une distribution proche de la normale, sans risque excessif de pics extrêmes. La volatilité annualisée de 48,0% classe le titre dans la catégorie des valeurs à volatilité élevée (&gt;30%), ce qui implique un risque de marché non négligeable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(1 671,5 FCFA) et la MM50 (1 672,7 FCFA) sont quasi confondues et toutes deux nettement supérieures au cours actuel (1 555 FCFA), ce qui place le titre en position baissière sous ses moyennes. Cette configuration de "death cross" latent (MM20 sous MM50 de manière imminente) justifie la décision de vente, le cours évoluant sous ses supports dynamiques.</w:t>
      </w:r>
    </w:p>
    <w:p>
      <w:pPr>
        <w:spacing w:after="120" w:line="276" w:lineRule="auto"/>
      </w:pPr>
      <w:r>
        <w:t>**Bandes de Bollinger** : Le cours (1 555 FCFA) se situe dans la moitié inférieure de la bande, entre la borne inférieure (1 512,387 FCFA) et la borne supérieure (1 830,613 FCFA), sans atteindre les extrêmes. Cette position médiane-basse, couplée à une largeur de bande élevée (318 FCFA), traduit une volatilité importante mais sans signal de retournement imminent, d'où la décision neutre.</w:t>
      </w:r>
    </w:p>
    <w:p>
      <w:pPr>
        <w:spacing w:after="120" w:line="276" w:lineRule="auto"/>
      </w:pPr>
      <w:r>
        <w:t>**MACD** : La valeur du MACD (-38,689) est nettement inférieure à son signal (-17,61), avec un histogramme négatif, confirmant un momentum baissier toujours actif. La divergence négative persistante justifie la décision de vente, le croisement baissier n'ayant pas encore été invalidé.</w:t>
      </w:r>
    </w:p>
    <w:p>
      <w:pPr>
        <w:spacing w:after="120" w:line="276" w:lineRule="auto"/>
      </w:pPr>
      <w:r>
        <w:t>**RSI** : À 27,711, le RSI se situe en zone de survente (&lt;30), ce qui constitue un signal d'achat technique classique. Cette configuration suggère que la pression vendeuse pourrait s'essouffler et qu'un rebond technique est probable à court terme, en contradiction avec les autres indicateurs.</w:t>
      </w:r>
    </w:p>
    <w:p>
      <w:pPr>
        <w:spacing w:after="120" w:line="276" w:lineRule="auto"/>
      </w:pPr>
      <w:r>
        <w:t>**Stochastique** : Le %K (30,0) est supérieur au %D (17,692), avec un croisement haussier en zone basse, ce qui constitue un signal précoce de retournement. La décision reste neutre car le %K demeure sous le seuil de 20-30, mais la dynamique haussière du croisement mérite d'être surveillée.</w:t>
      </w:r>
    </w:p>
    <w:p>
      <w:pPr>
        <w:spacing w:after="120" w:line="276" w:lineRule="auto"/>
      </w:pPr>
      <w:r>
        <w:t>**Conclusion technique** : Les indicateurs présentent une divergence notable : les moyennes mobiles et le MACD confirment une tendance baissière de fond, tandis que le RSI en survente et le croisement haussier du stochastique suggèrent un rebond technique imminent. Cette configuration contradictoire plaide pour une prudence accrue, le titre pouvant connaître un sursaut à court terme sans pour autant inverser sa tendance baissière de moyen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(états financiers annuels) révèlent un chiffre d'affaires de 158,313 milliards FCFA, en baisse de -12,13% par rapport à 2023, et un résultat net de 4,693 milliards FCFA, en recul de -26,7%. Le ROE ressort à 24,13% (excellent, &gt;15%) et le ROA à 5,52%, tandis que la marge nette se contracte à 2,96% (contre 3,6% en 2023) et la marge opérationnelle à 4,96%. Sur le plan structurel, l'autonomie financière est faible (22,88%, &lt;30%), la liquidité générale insuffisante (93,63%, &lt;1), et la trésorerie nette négative (-624,20 millions FCFA), conséquence d'investissements lourds (-8,741 milliards FCFA) et d'un dividende de 3,2 milliards FCFA. Le BFR est négatif (-3,482 milliards FCFA), ce qui est favorable, mais le délai client de 36,64 jours et la durée de stockage de 88,35 jours immobilisent du capital. Le rapport du T3 2025 (daté du 30/09/2025) marque un net redressement : CA de 43,580 milliards FCFA (+18,3%), résultat net de 1,489 milliard FCFA (+38,1%), marge nette de 3,42% et part de marché de 41,7%. Le rapport S1 2025 (30/06/2025) confirme cette dynamique avec un CA de 91,182 milliards FCFA (+18,4%) et un résultat net de 5,420 milliards FCFA (+152,7%), soit une marge nette de 5,9%. Sur la base de ces rapports trimestriels, on estime que l'exercice 2025 devrait afficher un CA annuel compris entre 175 et 185 milliards FCFA et un résultat net de 8 à 9 milliards FCFA, en nette amélioration par rapport à 2024. Le rapport annuel 2024 (daté du 31/12/2024) souligne les perspectives stratégiques : développement du réseau (showroom à Cocody), diversification (SHACMAN, LOVOL, BYD pour l'e-mobilité) et digitalisation. La recommandation fondamentale est donc positive sur le moyen terme, portée par le redressement opérationnel, mais la valorisation boursière actuelle (PER 60x) intègre déjà largement cette reprise, limitant le potentiel de surperformance.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très exigeante : PER de 60,1x, P/B de 14,50x et EV/EBITDA de 30,6x traduisent une surévaluation manifeste par rapport aux moyennes du marché BRVM, les investisseurs payant une prime spéculative pour un titre dont les bénéfices restent modestes. Le comportement du cours (Partie 1) montre une tendance haussière sur 100 jours (+8,74%) mais un repli de 14,8% depuis le sommet, avec une volatilité élevée (48%) et une asymétrie négative (skewness -0,600) signalant une pression vendeuse récente. Les signaux techniques (Partie 2) sont divergents : baissiers pour les MM et le MACD, haussiers pour le RSI (survente) et le stochastique (croisement), ce qui suggère un rebond technique possible mais fragile. Les fondamentaux (Partie 3) sont en nette amélioration : les rapports T1, S1 et T3 2025 (datés respectivement du 31/03/2025, 30/06/2025 et 30/09/2025) confirment un redressement spectaculaire du CA (+18,3% au T3) et du résultat net (+38,1%), avec une marge nette remontée à 3,42%, ce qui devrait porter l'exercice 2025 vers un résultat net de 8-9 milliards FCFA. Les prédictions IA (J+1 à J+10) anticipent une trajectoire haussière modérée de 1 554 à 1 581 FCFA (+1,7% sur 10 jours), confirmant le rebond technique sans pour autant inverser la tendance baissière de moyen terme. Sur la base de cette synthèse, la recommandation finale est **CONSERVER** avec un niveau de confiance **Moyen** et un risque global **Élevé**. La convergence entre le redressement fondamental et le rebond technique à court terme justifie le maintien en portefeuille, mais la surévaluation flagrante (PER 60x) et la volatilité élevée (48%) limitent le potentiel de hausse et exposent à un risque de correction. L'horizon d'investissement optimal est **moyen terme (3-12 mois)**, le temps que les résultats 2025 se matérialisent et que la valorisation se normalise.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360.64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7,201 titres</w:t>
            </w:r>
          </w:p>
        </w:tc>
        <w:tc>
          <w:tcPr>
            <w:tcW w:type="dxa" w:w="2268"/>
            <w:shd w:fill="FFF2CC" w:val="clear"/>
          </w:tcPr>
          <w:p>
            <w:r>
              <w:rPr>
                <w:b/>
                <w:color w:val="503200"/>
                <w:sz w:val="16"/>
              </w:rPr>
              <w:t xml:space="preserve">Cours actuel : </w:t>
            </w:r>
            <w:r>
              <w:rPr>
                <w:color w:val="000000"/>
                <w:sz w:val="17"/>
              </w:rPr>
              <w:t>6,440 FCFA</w:t>
            </w:r>
          </w:p>
          <w:p>
            <w:r>
              <w:rPr>
                <w:b/>
                <w:color w:val="503200"/>
                <w:sz w:val="16"/>
              </w:rPr>
              <w:t xml:space="preserve">Var. 100 jours : </w:t>
            </w:r>
            <w:r>
              <w:rPr>
                <w:b/>
                <w:color w:val="007800"/>
                <w:sz w:val="17"/>
              </w:rPr>
              <w:t>+102.20%</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3,010 FCFA</w:t>
            </w:r>
          </w:p>
          <w:p>
            <w:r>
              <w:rPr>
                <w:b/>
                <w:color w:val="503200"/>
                <w:sz w:val="16"/>
              </w:rPr>
              <w:t xml:space="preserve">Volatilité ann. : </w:t>
            </w:r>
            <w:r>
              <w:rPr>
                <w:color w:val="000000"/>
                <w:sz w:val="17"/>
              </w:rPr>
              <w:t>51.9%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20.97% (Élevée) — μ=5,313 FCFA, σ=1,114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β=0.7850 (Défensif) — Cov=0.000054, Var(idx)=0.000069, ρ=0.199,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7,201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σ_j=3.27%/j (Modérée) — Vol. annualisée≈51.9%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5,907</w:t>
            </w:r>
          </w:p>
        </w:tc>
        <w:tc>
          <w:tcPr>
            <w:tcW w:type="dxa" w:w="1440"/>
            <w:shd w:fill="FFDCE0" w:val="clear"/>
          </w:tcPr>
          <w:p>
            <w:r>
              <w:rPr>
                <w:b/>
                <w:sz w:val="17"/>
              </w:rPr>
              <w:t>6,282</w:t>
            </w:r>
          </w:p>
        </w:tc>
        <w:tc>
          <w:tcPr>
            <w:tcW w:type="dxa" w:w="1440"/>
            <w:shd w:fill="FFDCE0" w:val="clear"/>
          </w:tcPr>
          <w:p>
            <w:r>
              <w:rPr>
                <w:sz w:val="17"/>
              </w:rPr>
              <w:t>6,656</w:t>
            </w:r>
          </w:p>
        </w:tc>
        <w:tc>
          <w:tcPr>
            <w:tcW w:type="dxa" w:w="1440"/>
            <w:shd w:fill="FFDCE0" w:val="clear"/>
          </w:tcPr>
          <w:p>
            <w:r>
              <w:rPr>
                <w:b/>
                <w:color w:val="C00000"/>
                <w:sz w:val="17"/>
              </w:rPr>
              <w:t>-2.5%</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5,660</w:t>
            </w:r>
          </w:p>
        </w:tc>
        <w:tc>
          <w:tcPr>
            <w:tcW w:type="dxa" w:w="1440"/>
            <w:shd w:fill="FFDCE0" w:val="clear"/>
          </w:tcPr>
          <w:p>
            <w:r>
              <w:rPr>
                <w:b/>
                <w:sz w:val="17"/>
              </w:rPr>
              <w:t>6,181</w:t>
            </w:r>
          </w:p>
        </w:tc>
        <w:tc>
          <w:tcPr>
            <w:tcW w:type="dxa" w:w="1440"/>
            <w:shd w:fill="FFDCE0" w:val="clear"/>
          </w:tcPr>
          <w:p>
            <w:r>
              <w:rPr>
                <w:sz w:val="17"/>
              </w:rPr>
              <w:t>6,702</w:t>
            </w:r>
          </w:p>
        </w:tc>
        <w:tc>
          <w:tcPr>
            <w:tcW w:type="dxa" w:w="1440"/>
            <w:shd w:fill="FFDCE0" w:val="clear"/>
          </w:tcPr>
          <w:p>
            <w:r>
              <w:rPr>
                <w:b/>
                <w:color w:val="C00000"/>
                <w:sz w:val="17"/>
              </w:rPr>
              <w:t>-4.0%</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5,460</w:t>
            </w:r>
          </w:p>
        </w:tc>
        <w:tc>
          <w:tcPr>
            <w:tcW w:type="dxa" w:w="1440"/>
            <w:shd w:fill="FFDCE0" w:val="clear"/>
          </w:tcPr>
          <w:p>
            <w:r>
              <w:rPr>
                <w:b/>
                <w:sz w:val="17"/>
              </w:rPr>
              <w:t>6,089</w:t>
            </w:r>
          </w:p>
        </w:tc>
        <w:tc>
          <w:tcPr>
            <w:tcW w:type="dxa" w:w="1440"/>
            <w:shd w:fill="FFDCE0" w:val="clear"/>
          </w:tcPr>
          <w:p>
            <w:r>
              <w:rPr>
                <w:sz w:val="17"/>
              </w:rPr>
              <w:t>6,718</w:t>
            </w:r>
          </w:p>
        </w:tc>
        <w:tc>
          <w:tcPr>
            <w:tcW w:type="dxa" w:w="1440"/>
            <w:shd w:fill="FFDCE0" w:val="clear"/>
          </w:tcPr>
          <w:p>
            <w:r>
              <w:rPr>
                <w:b/>
                <w:color w:val="C00000"/>
                <w:sz w:val="17"/>
              </w:rPr>
              <w:t>-5.4%</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5,321</w:t>
            </w:r>
          </w:p>
        </w:tc>
        <w:tc>
          <w:tcPr>
            <w:tcW w:type="dxa" w:w="1440"/>
            <w:shd w:fill="FFDCE0" w:val="clear"/>
          </w:tcPr>
          <w:p>
            <w:r>
              <w:rPr>
                <w:b/>
                <w:sz w:val="17"/>
              </w:rPr>
              <w:t>6,042</w:t>
            </w:r>
          </w:p>
        </w:tc>
        <w:tc>
          <w:tcPr>
            <w:tcW w:type="dxa" w:w="1440"/>
            <w:shd w:fill="FFDCE0" w:val="clear"/>
          </w:tcPr>
          <w:p>
            <w:r>
              <w:rPr>
                <w:sz w:val="17"/>
              </w:rPr>
              <w:t>6,762</w:t>
            </w:r>
          </w:p>
        </w:tc>
        <w:tc>
          <w:tcPr>
            <w:tcW w:type="dxa" w:w="1440"/>
            <w:shd w:fill="FFDCE0" w:val="clear"/>
          </w:tcPr>
          <w:p>
            <w:r>
              <w:rPr>
                <w:b/>
                <w:color w:val="C00000"/>
                <w:sz w:val="17"/>
              </w:rPr>
              <w:t>-6.2%</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5,209</w:t>
            </w:r>
          </w:p>
        </w:tc>
        <w:tc>
          <w:tcPr>
            <w:tcW w:type="dxa" w:w="1440"/>
            <w:shd w:fill="FFDCE0" w:val="clear"/>
          </w:tcPr>
          <w:p>
            <w:r>
              <w:rPr>
                <w:b/>
                <w:sz w:val="17"/>
              </w:rPr>
              <w:t>6,011</w:t>
            </w:r>
          </w:p>
        </w:tc>
        <w:tc>
          <w:tcPr>
            <w:tcW w:type="dxa" w:w="1440"/>
            <w:shd w:fill="FFDCE0" w:val="clear"/>
          </w:tcPr>
          <w:p>
            <w:r>
              <w:rPr>
                <w:sz w:val="17"/>
              </w:rPr>
              <w:t>6,812</w:t>
            </w:r>
          </w:p>
        </w:tc>
        <w:tc>
          <w:tcPr>
            <w:tcW w:type="dxa" w:w="1440"/>
            <w:shd w:fill="FFDCE0" w:val="clear"/>
          </w:tcPr>
          <w:p>
            <w:r>
              <w:rPr>
                <w:b/>
                <w:color w:val="C00000"/>
                <w:sz w:val="17"/>
              </w:rPr>
              <w:t>-6.7%</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5,111</w:t>
            </w:r>
          </w:p>
        </w:tc>
        <w:tc>
          <w:tcPr>
            <w:tcW w:type="dxa" w:w="1440"/>
            <w:shd w:fill="FFDCE0" w:val="clear"/>
          </w:tcPr>
          <w:p>
            <w:r>
              <w:rPr>
                <w:b/>
                <w:sz w:val="17"/>
              </w:rPr>
              <w:t>5,985</w:t>
            </w:r>
          </w:p>
        </w:tc>
        <w:tc>
          <w:tcPr>
            <w:tcW w:type="dxa" w:w="1440"/>
            <w:shd w:fill="FFDCE0" w:val="clear"/>
          </w:tcPr>
          <w:p>
            <w:r>
              <w:rPr>
                <w:sz w:val="17"/>
              </w:rPr>
              <w:t>6,860</w:t>
            </w:r>
          </w:p>
        </w:tc>
        <w:tc>
          <w:tcPr>
            <w:tcW w:type="dxa" w:w="1440"/>
            <w:shd w:fill="FFDCE0" w:val="clear"/>
          </w:tcPr>
          <w:p>
            <w:r>
              <w:rPr>
                <w:b/>
                <w:color w:val="C00000"/>
                <w:sz w:val="17"/>
              </w:rPr>
              <w:t>-7.1%</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5,024</w:t>
            </w:r>
          </w:p>
        </w:tc>
        <w:tc>
          <w:tcPr>
            <w:tcW w:type="dxa" w:w="1440"/>
            <w:shd w:fill="FFDCE0" w:val="clear"/>
          </w:tcPr>
          <w:p>
            <w:r>
              <w:rPr>
                <w:b/>
                <w:sz w:val="17"/>
              </w:rPr>
              <w:t>5,965</w:t>
            </w:r>
          </w:p>
        </w:tc>
        <w:tc>
          <w:tcPr>
            <w:tcW w:type="dxa" w:w="1440"/>
            <w:shd w:fill="FFDCE0" w:val="clear"/>
          </w:tcPr>
          <w:p>
            <w:r>
              <w:rPr>
                <w:sz w:val="17"/>
              </w:rPr>
              <w:t>6,906</w:t>
            </w:r>
          </w:p>
        </w:tc>
        <w:tc>
          <w:tcPr>
            <w:tcW w:type="dxa" w:w="1440"/>
            <w:shd w:fill="FFDCE0" w:val="clear"/>
          </w:tcPr>
          <w:p>
            <w:r>
              <w:rPr>
                <w:b/>
                <w:color w:val="C00000"/>
                <w:sz w:val="17"/>
              </w:rPr>
              <w:t>-7.4%</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4,945</w:t>
            </w:r>
          </w:p>
        </w:tc>
        <w:tc>
          <w:tcPr>
            <w:tcW w:type="dxa" w:w="1440"/>
            <w:shd w:fill="FFDCE0" w:val="clear"/>
          </w:tcPr>
          <w:p>
            <w:r>
              <w:rPr>
                <w:b/>
                <w:sz w:val="17"/>
              </w:rPr>
              <w:t>5,949</w:t>
            </w:r>
          </w:p>
        </w:tc>
        <w:tc>
          <w:tcPr>
            <w:tcW w:type="dxa" w:w="1440"/>
            <w:shd w:fill="FFDCE0" w:val="clear"/>
          </w:tcPr>
          <w:p>
            <w:r>
              <w:rPr>
                <w:sz w:val="17"/>
              </w:rPr>
              <w:t>6,952</w:t>
            </w:r>
          </w:p>
        </w:tc>
        <w:tc>
          <w:tcPr>
            <w:tcW w:type="dxa" w:w="1440"/>
            <w:shd w:fill="FFDCE0" w:val="clear"/>
          </w:tcPr>
          <w:p>
            <w:r>
              <w:rPr>
                <w:b/>
                <w:color w:val="C00000"/>
                <w:sz w:val="17"/>
              </w:rPr>
              <w:t>-7.6%</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4,874</w:t>
            </w:r>
          </w:p>
        </w:tc>
        <w:tc>
          <w:tcPr>
            <w:tcW w:type="dxa" w:w="1440"/>
            <w:shd w:fill="FFDCE0" w:val="clear"/>
          </w:tcPr>
          <w:p>
            <w:r>
              <w:rPr>
                <w:b/>
                <w:sz w:val="17"/>
              </w:rPr>
              <w:t>5,937</w:t>
            </w:r>
          </w:p>
        </w:tc>
        <w:tc>
          <w:tcPr>
            <w:tcW w:type="dxa" w:w="1440"/>
            <w:shd w:fill="FFDCE0" w:val="clear"/>
          </w:tcPr>
          <w:p>
            <w:r>
              <w:rPr>
                <w:sz w:val="17"/>
              </w:rPr>
              <w:t>6,999</w:t>
            </w:r>
          </w:p>
        </w:tc>
        <w:tc>
          <w:tcPr>
            <w:tcW w:type="dxa" w:w="1440"/>
            <w:shd w:fill="FFDCE0" w:val="clear"/>
          </w:tcPr>
          <w:p>
            <w:r>
              <w:rPr>
                <w:b/>
                <w:color w:val="C00000"/>
                <w:sz w:val="17"/>
              </w:rPr>
              <w:t>-7.8%</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4,809</w:t>
            </w:r>
          </w:p>
        </w:tc>
        <w:tc>
          <w:tcPr>
            <w:tcW w:type="dxa" w:w="1440"/>
            <w:shd w:fill="FFDCE0" w:val="clear"/>
          </w:tcPr>
          <w:p>
            <w:r>
              <w:rPr>
                <w:b/>
                <w:sz w:val="17"/>
              </w:rPr>
              <w:t>5,927</w:t>
            </w:r>
          </w:p>
        </w:tc>
        <w:tc>
          <w:tcPr>
            <w:tcW w:type="dxa" w:w="1440"/>
            <w:shd w:fill="FFDCE0" w:val="clear"/>
          </w:tcPr>
          <w:p>
            <w:r>
              <w:rPr>
                <w:sz w:val="17"/>
              </w:rPr>
              <w:t>7,044</w:t>
            </w:r>
          </w:p>
        </w:tc>
        <w:tc>
          <w:tcPr>
            <w:tcW w:type="dxa" w:w="1440"/>
            <w:shd w:fill="FFDCE0" w:val="clear"/>
          </w:tcPr>
          <w:p>
            <w:r>
              <w:rPr>
                <w:b/>
                <w:color w:val="C00000"/>
                <w:sz w:val="17"/>
              </w:rPr>
              <w:t>-8.0%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*Bourse Régionale des Valeurs Mobilières (BRVM) — Secteur : Services publics / Électricité*</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360,64 milliards FCFA, la CIEC s'impose comme l'une des plus importantes capitalisations de la BRVM, ce qui témoigne de son statut d'entreprise stratégique dans le paysage boursier ouest-africain. Le BPA de 234 FCFA/action indique que chaque titre génère 234 FCFA de bénéfice net, un niveau qui, rapporté au cours actuel de 6 440 FCFA, se traduit par un PER de 27,5x — soit un multiple très supérieur à la moyenne du marché BRVM (8-12x), signalant que les investisseurs anticipent une forte croissance ou que le titre est surévalué. Le P/B de 10,03x confirme cette prime exigeante : le marché valorise la CIEC à plus de dix fois sa valeur comptable, ce qui est exceptionnel et reflète la confiance dans la rentabilité future ainsi que la faiblesse relative des fonds propres comptables (35,96 milliards FCFA) face à la capitalisation. Enfin, l'EV/EBITDA de 14,8x, dans la fourchette haute (10-15x), indique que la valeur d'entreprise incluant la dette est chèrement valorisée par rapport à la capacité opérationnelle de génération de cash, ce qui invite à la prudence malgré la qualité des fondamentaux.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CIEC a enregistré une variation spectaculaire de +102,20%, avec une dernière séance en hausse de +4,72%, portant le cours actuel à 6 440 FCFA. Le titre a évolué dans un range très large, entre un plus bas de 3 010 FCFA et un plus haut de 7 400 FCFA, soit un écart de plus de 145%, ce qui traduit une tendance générale nettement haussière mais ponctuée de corrections significatives. La moyenne du cours s'établit à 5 313 FCFA contre une médiane de 5 200 FCFA, un écart modéré qui suggère une légère asymétrie positive (le cours a passé plus de temps sous la moyenne, mais avec des pics élevés). L'écart-type de 1 120 FCFA avec un coefficient de variation de 21,1% indique une dispersion élevée du cours, confirmant une volatilité importante. Le kurtosis de -0,519 (mésokurtique) signifie que la distribution des rendements est proche d'une loi normale, sans risque excessif de pics extrêmes, tandis que le skewness de -0,154 (distribution symétrique) montre un équilibre entre les mouvements haussiers et baissiers. Enfin, la volatilité annualisée de 51,9% classe le titre dans la catégorie des valeurs à volatilité élevée (&gt;30%), ce qui implique un risque de marché significatif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6 718 FCFA et la MM50 à 6 074,3 FCFA, toutes deux supérieures au cours actuel de 6 440 FCFA. Cette configuration — cours sous les deux moyennes — est théoriquement baissière à court terme, mais la décision affichée est "Achat", probablement parce que la MM50 reste en tendance haussière et que le cours évolue encore dans une dynamique de fond positive. La position du cours entre les deux moyennes suggère une phase de consolidation après le rallye.</w:t>
      </w:r>
    </w:p>
    <w:p>
      <w:pPr>
        <w:spacing w:after="120" w:line="276" w:lineRule="auto"/>
      </w:pPr>
      <w:r>
        <w:t>**Bandes de Bollinger** : La borne supérieure est à 7 417,017 FCFA et la borne inférieure à 6 018,983 FCFA, avec un cours actuel de 6 440 FCFA qui se situe dans la moitié inférieure de la bande. La décision "Neutre" reflète l'absence de signal clair : le cours n'est ni en surachat (proche de la borne supérieure) ni en survente (proche de la borne inférieure), et la volatilité implicite reste modérée. Les bandes sont relativement larges, ce qui confirme la volatilité élevée du titre.</w:t>
      </w:r>
    </w:p>
    <w:p>
      <w:pPr>
        <w:spacing w:after="120" w:line="276" w:lineRule="auto"/>
      </w:pPr>
      <w:r>
        <w:t>**MACD** : La valeur du MACD est de 28,972 contre un signal à 152,483, soit une divergence négative marquée (MACD &lt; Signal). Cette configuration indique un momentum baissier à court terme, avec la décision "Vente" qui en découle. Le croisement baissier du MACD sous sa ligne de signal suggère que la dynamique haussière s'essouffle et qu'une correction est en cours.</w:t>
      </w:r>
    </w:p>
    <w:p>
      <w:pPr>
        <w:spacing w:after="120" w:line="276" w:lineRule="auto"/>
      </w:pPr>
      <w:r>
        <w:t>**RSI** : À 36,667, le RSI se situe dans la zone neutre basse (30-70), sans atteindre la zone de survente (&lt;30). La décision "Neutre" est justifiée : le titre n'est pas encore survendu, mais la pression baissière récente a ramené l'indicateur près du seuil critique, ce qui pourrait précéder un rebond technique si le support tient.</w:t>
      </w:r>
    </w:p>
    <w:p>
      <w:pPr>
        <w:spacing w:after="120" w:line="276" w:lineRule="auto"/>
      </w:pPr>
      <w:r>
        <w:t>**Stochastique** : Le %K est à 23,2 et le %D à 7,733, avec une décision "Neutre". Le croisement du %K au-dessus du %D (23,2 &gt; 7,733) est un signal haussier potentiel, mais les deux valeurs restent en zone basse, ce qui indique que le titre sort à peine d'une phase de survente. La prudence est de mise tant que le %K ne franchit pas durablement le seuil de 20-25.</w:t>
      </w:r>
    </w:p>
    <w:p>
      <w:pPr>
        <w:spacing w:after="120" w:line="276" w:lineRule="auto"/>
      </w:pPr>
      <w:r>
        <w:t>**Conclusion technique** : Les indicateurs techniques présentent un tableau mitigé. Les moyennes mobiles restent haussières sur le fond (MM50 &gt; MM20), mais le MACD en divergence baissière et le RSI proche de la survente suggèrent une correction en cours. Les Bandes de Bollinger et le Stochastique confirment une phase de consolidation neutre, sans signal directionnel fort. La convergence des signaux "Neutre" et "Vente" l'emporte sur le signal "Achat" des moyennes mobiles, ce qui plaide pour une attente avant tout nouvel engagement.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SYSCOHADA) révèlent une entreprise en forte croissance : le chiffre d'affaires s'établit à 302,320 milliards FCFA, en progression de +14,82% par rapport à 2024 (263,294 milliards FCFA), porté par une hausse des ventes d'énergie de +8,3% en volume et une expansion du nombre de clients à 5 282 283 (+15,1%). Le résultat net atteint 13,127 milliards FCFA, en hausse de +24,4% (contre 10,526 milliards en 2024), avec une marge nette de 4,34% et une marge opérationnelle de 7,40%. Le ROE (rentabilité des fonds propres) est exceptionnel à 36,50%, bien au-dessus du seuil de 15% considéré comme excellent, tandis que le ROA reste faible à 0,65%, reflétant l'intensité capitalistique du secteur. En tant qu'entreprise non financière, l'analyse des délais d'exploitation est cruciale : le délai clients est élevé à 164,01 jours, ce qui représente un risque de trésorerie important, mais il est compensé par un délai fournisseurs très long de 970,25 jours, ce qui constitue un avantage de financement gratuit. Le BFR est négatif à -90,244 milliards FCFA, un signe favorable qui signifie que l'entreprise finance son cycle d'exploitation par ses fournisseurs plutôt que par sa trésorerie. Cependant, la structure financière est préoccupante : l'autonomie financière n'est que de 1,78% (capitaux propres/total bilan), le ratio d'endettement atteint 612,94% (dettes totales/capitaux propres) et la dépendance financière est de 98,22%, ce qui expose l'entreprise à un risque de solvabilité en cas de choc. La capacité de remboursement est de 7,64 années de CAF, ce qui reste gérable mais tendu. Les rapports narratifs confirment ces tendances : le rapport du 31 décembre 2026 (analysé par DEEPSEEK) souligne une croissance du CA de +14,8% et un résultat net de 13,1 milliards FCFA, avec un dividende proposé de 234 FCFA/action (taux de distribution de 99,8%). Le rapport du 30 juin 2025 (S1 2025) indique un CA semestriel de 134,923 milliards FCFA (+18,85%) et un résultat net de 5,096 milliards FCFA (+13,37%), ce qui permet d'estimer que l'exercice 2026 devrait maintenir une croissance à deux chiffres, portée par le Programme Électricité Pour Tous (PEPT) et la hausse des branchements (+53,5%). Toutefois, la quasi-totalité du résultat est distribuée, limitant la capacité d'autofinancement pour les investissements futurs, et la dépendance au cadre réglementaire de la concession reste un risque majeur. En conclusion, la CIEC affiche une solidité opérationnelle et une rentabilité remarquable, mais sa structure financière très endettée et sa valorisation exigeante appellent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indique une surévaluation manifeste : le PER de 27,5x et le P/B de 10,03x sont très supérieurs aux moyennes du marché BRVM, ce qui intègre déjà une forte anticipation de croissance et ne laisse que peu de marge de sécurité. Le comportement du cours (Partie 1) montre une tendance haussière spectaculaire (+102,20% sur 100 jours) mais avec une volatilité annualisée élevée de 51,9% et une distribution symétrique (skewness -0,154) sans pics extrêmes (kurtosis -0,519), ce qui suggère que la correction actuelle pourrait se poursuivre sans effondrement brutal. Les signaux techniques (Partie 2) sont majoritairement neutres à baissiers : le MACD en divergence négative et le RSI proche de la survente l'emportent sur le signal "Achat" des moyennes mobiles, et les Bandes de Bollinger confirment une phase de consolidation. Les fondamentaux (Partie 3) restent solides avec une croissance du CA de +14,82% et un ROE de 36,50% en 2025, mais la structure financière très endettée (autonomie financière de 1,78%) et le risque de crédit client (délai de 164 jours) tempèrent l'enthousiasme. Les prédictions IA (J+1 à J+10) anticipent une baisse continue du cours, de 6 282 FCFA à 6 011 FCFA, ce qui confirme la pression baissière à court terme et contredit le signal "Achat" des moyennes mobiles. Sur la base de cette synthèse, la convergence des signaux baissiers (MACD, prédictions IA, valorisation élevée) et des risques fondamentaux (endettement, dépendance réglementaire) l'emporte sur les signaux haussiers (croissance, ROE). En conséquence, nous recommandons une décision de **CONSERVER** avec un niveau de confiance **Moyen** et un risque global **Élevé**. L'horizon d'investissement optimal est le **moyen terme (3-12 mois)**, en attendant une correction plus prononcée ou une amélioration de la structure financière pour envisager un renforcement. Les investisseurs déjà positionnés peuvent conserver le titre pour son rendement attractif (dividende de 234 FCFA/action, soit un rendement de 3,63% au cours actuel), mais les nouveaux entrants devraient attendre un point d'entrée plus favorable, idéalement sous 6 000 FCFA.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925.13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4,059 titres</w:t>
            </w:r>
          </w:p>
        </w:tc>
        <w:tc>
          <w:tcPr>
            <w:tcW w:type="dxa" w:w="2268"/>
            <w:shd w:fill="FFF2CC" w:val="clear"/>
          </w:tcPr>
          <w:p>
            <w:r>
              <w:rPr>
                <w:b/>
                <w:color w:val="503200"/>
                <w:sz w:val="16"/>
              </w:rPr>
              <w:t xml:space="preserve">Cours actuel : </w:t>
            </w:r>
            <w:r>
              <w:rPr>
                <w:color w:val="000000"/>
                <w:sz w:val="17"/>
              </w:rPr>
              <w:t>16,805 FCFA</w:t>
            </w:r>
          </w:p>
          <w:p>
            <w:r>
              <w:rPr>
                <w:b/>
                <w:color w:val="503200"/>
                <w:sz w:val="16"/>
              </w:rPr>
              <w:t xml:space="preserve">Var. 100 jours : </w:t>
            </w:r>
            <w:r>
              <w:rPr>
                <w:b/>
                <w:color w:val="007800"/>
                <w:sz w:val="17"/>
              </w:rPr>
              <w:t>+4.38%</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2.76% (Faible) — μ=16,540 FCFA, σ=456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β=0.2915 (Défensif) — Cov=0.000020, Var(idx)=0.000069, ρ=0.136,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σ_j=1.77%/j (Stable) — Vol. annualisée≈28.2%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16,352</w:t>
            </w:r>
          </w:p>
        </w:tc>
        <w:tc>
          <w:tcPr>
            <w:tcW w:type="dxa" w:w="1440"/>
            <w:shd w:fill="FAFAFA" w:val="clear"/>
          </w:tcPr>
          <w:p>
            <w:r>
              <w:rPr>
                <w:b/>
                <w:sz w:val="17"/>
              </w:rPr>
              <w:t>16,877</w:t>
            </w:r>
          </w:p>
        </w:tc>
        <w:tc>
          <w:tcPr>
            <w:tcW w:type="dxa" w:w="1440"/>
            <w:shd w:fill="FAFAFA" w:val="clear"/>
          </w:tcPr>
          <w:p>
            <w:r>
              <w:rPr>
                <w:sz w:val="17"/>
              </w:rPr>
              <w:t>17,402</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16,161</w:t>
            </w:r>
          </w:p>
        </w:tc>
        <w:tc>
          <w:tcPr>
            <w:tcW w:type="dxa" w:w="1440"/>
            <w:shd w:fill="FAFAFA" w:val="clear"/>
          </w:tcPr>
          <w:p>
            <w:r>
              <w:rPr>
                <w:b/>
                <w:sz w:val="17"/>
              </w:rPr>
              <w:t>16,904</w:t>
            </w:r>
          </w:p>
        </w:tc>
        <w:tc>
          <w:tcPr>
            <w:tcW w:type="dxa" w:w="1440"/>
            <w:shd w:fill="FAFAFA" w:val="clear"/>
          </w:tcPr>
          <w:p>
            <w:r>
              <w:rPr>
                <w:sz w:val="17"/>
              </w:rPr>
              <w:t>17,648</w:t>
            </w:r>
          </w:p>
        </w:tc>
        <w:tc>
          <w:tcPr>
            <w:tcW w:type="dxa" w:w="1440"/>
            <w:shd w:fill="FAFAFA" w:val="clear"/>
          </w:tcPr>
          <w:p>
            <w:r>
              <w:rPr>
                <w:b/>
                <w:color w:val="008000"/>
                <w:sz w:val="17"/>
              </w:rPr>
              <w:t>+0.6%</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16,020</w:t>
            </w:r>
          </w:p>
        </w:tc>
        <w:tc>
          <w:tcPr>
            <w:tcW w:type="dxa" w:w="1440"/>
            <w:shd w:fill="FAFAFA" w:val="clear"/>
          </w:tcPr>
          <w:p>
            <w:r>
              <w:rPr>
                <w:b/>
                <w:sz w:val="17"/>
              </w:rPr>
              <w:t>16,932</w:t>
            </w:r>
          </w:p>
        </w:tc>
        <w:tc>
          <w:tcPr>
            <w:tcW w:type="dxa" w:w="1440"/>
            <w:shd w:fill="FAFAFA" w:val="clear"/>
          </w:tcPr>
          <w:p>
            <w:r>
              <w:rPr>
                <w:sz w:val="17"/>
              </w:rPr>
              <w:t>17,844</w:t>
            </w:r>
          </w:p>
        </w:tc>
        <w:tc>
          <w:tcPr>
            <w:tcW w:type="dxa" w:w="1440"/>
            <w:shd w:fill="FAFAFA" w:val="clear"/>
          </w:tcPr>
          <w:p>
            <w:r>
              <w:rPr>
                <w:b/>
                <w:color w:val="008000"/>
                <w:sz w:val="17"/>
              </w:rPr>
              <w:t>+0.8%</w:t>
            </w:r>
          </w:p>
        </w:tc>
      </w:tr>
      <w:tr>
        <w:tc>
          <w:tcPr>
            <w:tcW w:type="dxa" w:w="1440"/>
            <w:shd w:fill="FAFAFA" w:val="clear"/>
          </w:tcPr>
          <w:p>
            <w:r>
              <w:rPr>
                <w:sz w:val="17"/>
              </w:rPr>
              <w:t>J+4  Moyenne</w:t>
            </w:r>
          </w:p>
        </w:tc>
        <w:tc>
          <w:tcPr>
            <w:tcW w:type="dxa" w:w="1440"/>
            <w:shd w:fill="FAFAFA" w:val="clear"/>
          </w:tcPr>
          <w:p>
            <w:r>
              <w:rPr>
                <w:sz w:val="17"/>
              </w:rPr>
              <w:t>2026-10-01</w:t>
            </w:r>
          </w:p>
        </w:tc>
        <w:tc>
          <w:tcPr>
            <w:tcW w:type="dxa" w:w="1440"/>
            <w:shd w:fill="FAFAFA" w:val="clear"/>
          </w:tcPr>
          <w:p>
            <w:r>
              <w:rPr>
                <w:sz w:val="17"/>
              </w:rPr>
              <w:t>15,901</w:t>
            </w:r>
          </w:p>
        </w:tc>
        <w:tc>
          <w:tcPr>
            <w:tcW w:type="dxa" w:w="1440"/>
            <w:shd w:fill="FAFAFA" w:val="clear"/>
          </w:tcPr>
          <w:p>
            <w:r>
              <w:rPr>
                <w:b/>
                <w:sz w:val="17"/>
              </w:rPr>
              <w:t>16,956</w:t>
            </w:r>
          </w:p>
        </w:tc>
        <w:tc>
          <w:tcPr>
            <w:tcW w:type="dxa" w:w="1440"/>
            <w:shd w:fill="FAFAFA" w:val="clear"/>
          </w:tcPr>
          <w:p>
            <w:r>
              <w:rPr>
                <w:sz w:val="17"/>
              </w:rPr>
              <w:t>18,010</w:t>
            </w:r>
          </w:p>
        </w:tc>
        <w:tc>
          <w:tcPr>
            <w:tcW w:type="dxa" w:w="1440"/>
            <w:shd w:fill="FAFAFA" w:val="clear"/>
          </w:tcPr>
          <w:p>
            <w:r>
              <w:rPr>
                <w:b/>
                <w:color w:val="008000"/>
                <w:sz w:val="17"/>
              </w:rPr>
              <w:t>+0.9%</w:t>
            </w:r>
          </w:p>
        </w:tc>
      </w:tr>
      <w:tr>
        <w:tc>
          <w:tcPr>
            <w:tcW w:type="dxa" w:w="1440"/>
            <w:shd w:fill="FAFAFA" w:val="clear"/>
          </w:tcPr>
          <w:p>
            <w:r>
              <w:rPr>
                <w:sz w:val="17"/>
              </w:rPr>
              <w:t>J+5  Moyenne</w:t>
            </w:r>
          </w:p>
        </w:tc>
        <w:tc>
          <w:tcPr>
            <w:tcW w:type="dxa" w:w="1440"/>
            <w:shd w:fill="FAFAFA" w:val="clear"/>
          </w:tcPr>
          <w:p>
            <w:r>
              <w:rPr>
                <w:sz w:val="17"/>
              </w:rPr>
              <w:t>2026-10-02</w:t>
            </w:r>
          </w:p>
        </w:tc>
        <w:tc>
          <w:tcPr>
            <w:tcW w:type="dxa" w:w="1440"/>
            <w:shd w:fill="FAFAFA" w:val="clear"/>
          </w:tcPr>
          <w:p>
            <w:r>
              <w:rPr>
                <w:sz w:val="17"/>
              </w:rPr>
              <w:t>15,796</w:t>
            </w:r>
          </w:p>
        </w:tc>
        <w:tc>
          <w:tcPr>
            <w:tcW w:type="dxa" w:w="1440"/>
            <w:shd w:fill="FAFAFA" w:val="clear"/>
          </w:tcPr>
          <w:p>
            <w:r>
              <w:rPr>
                <w:b/>
                <w:sz w:val="17"/>
              </w:rPr>
              <w:t>16,977</w:t>
            </w:r>
          </w:p>
        </w:tc>
        <w:tc>
          <w:tcPr>
            <w:tcW w:type="dxa" w:w="1440"/>
            <w:shd w:fill="FAFAFA" w:val="clear"/>
          </w:tcPr>
          <w:p>
            <w:r>
              <w:rPr>
                <w:sz w:val="17"/>
              </w:rPr>
              <w:t>18,158</w:t>
            </w:r>
          </w:p>
        </w:tc>
        <w:tc>
          <w:tcPr>
            <w:tcW w:type="dxa" w:w="1440"/>
            <w:shd w:fill="FAFAFA" w:val="clear"/>
          </w:tcPr>
          <w:p>
            <w:r>
              <w:rPr>
                <w:b/>
                <w:color w:val="008000"/>
                <w:sz w:val="17"/>
              </w:rPr>
              <w:t>+1.0%</w:t>
            </w:r>
          </w:p>
        </w:tc>
      </w:tr>
      <w:tr>
        <w:tc>
          <w:tcPr>
            <w:tcW w:type="dxa" w:w="1440"/>
            <w:shd w:fill="FAFAFA" w:val="clear"/>
          </w:tcPr>
          <w:p>
            <w:r>
              <w:rPr>
                <w:sz w:val="17"/>
              </w:rPr>
              <w:t>J+6  Moyenne</w:t>
            </w:r>
          </w:p>
        </w:tc>
        <w:tc>
          <w:tcPr>
            <w:tcW w:type="dxa" w:w="1440"/>
            <w:shd w:fill="FAFAFA" w:val="clear"/>
          </w:tcPr>
          <w:p>
            <w:r>
              <w:rPr>
                <w:sz w:val="17"/>
              </w:rPr>
              <w:t>2026-10-05</w:t>
            </w:r>
          </w:p>
        </w:tc>
        <w:tc>
          <w:tcPr>
            <w:tcW w:type="dxa" w:w="1440"/>
            <w:shd w:fill="FAFAFA" w:val="clear"/>
          </w:tcPr>
          <w:p>
            <w:r>
              <w:rPr>
                <w:sz w:val="17"/>
              </w:rPr>
              <w:t>15,703</w:t>
            </w:r>
          </w:p>
        </w:tc>
        <w:tc>
          <w:tcPr>
            <w:tcW w:type="dxa" w:w="1440"/>
            <w:shd w:fill="FAFAFA" w:val="clear"/>
          </w:tcPr>
          <w:p>
            <w:r>
              <w:rPr>
                <w:b/>
                <w:sz w:val="17"/>
              </w:rPr>
              <w:t>16,998</w:t>
            </w:r>
          </w:p>
        </w:tc>
        <w:tc>
          <w:tcPr>
            <w:tcW w:type="dxa" w:w="1440"/>
            <w:shd w:fill="FAFAFA" w:val="clear"/>
          </w:tcPr>
          <w:p>
            <w:r>
              <w:rPr>
                <w:sz w:val="17"/>
              </w:rPr>
              <w:t>18,293</w:t>
            </w:r>
          </w:p>
        </w:tc>
        <w:tc>
          <w:tcPr>
            <w:tcW w:type="dxa" w:w="1440"/>
            <w:shd w:fill="FAFAFA" w:val="clear"/>
          </w:tcPr>
          <w:p>
            <w:r>
              <w:rPr>
                <w:b/>
                <w:color w:val="008000"/>
                <w:sz w:val="17"/>
              </w:rPr>
              <w:t>+1.1%</w:t>
            </w:r>
          </w:p>
        </w:tc>
      </w:tr>
      <w:tr>
        <w:tc>
          <w:tcPr>
            <w:tcW w:type="dxa" w:w="1440"/>
            <w:shd w:fill="FAFAFA" w:val="clear"/>
          </w:tcPr>
          <w:p>
            <w:r>
              <w:rPr>
                <w:sz w:val="17"/>
              </w:rPr>
              <w:t>J+7  Moyenne</w:t>
            </w:r>
          </w:p>
        </w:tc>
        <w:tc>
          <w:tcPr>
            <w:tcW w:type="dxa" w:w="1440"/>
            <w:shd w:fill="FAFAFA" w:val="clear"/>
          </w:tcPr>
          <w:p>
            <w:r>
              <w:rPr>
                <w:sz w:val="17"/>
              </w:rPr>
              <w:t>2026-10-06</w:t>
            </w:r>
          </w:p>
        </w:tc>
        <w:tc>
          <w:tcPr>
            <w:tcW w:type="dxa" w:w="1440"/>
            <w:shd w:fill="FAFAFA" w:val="clear"/>
          </w:tcPr>
          <w:p>
            <w:r>
              <w:rPr>
                <w:sz w:val="17"/>
              </w:rPr>
              <w:t>15,618</w:t>
            </w:r>
          </w:p>
        </w:tc>
        <w:tc>
          <w:tcPr>
            <w:tcW w:type="dxa" w:w="1440"/>
            <w:shd w:fill="FAFAFA" w:val="clear"/>
          </w:tcPr>
          <w:p>
            <w:r>
              <w:rPr>
                <w:b/>
                <w:sz w:val="17"/>
              </w:rPr>
              <w:t>17,019</w:t>
            </w:r>
          </w:p>
        </w:tc>
        <w:tc>
          <w:tcPr>
            <w:tcW w:type="dxa" w:w="1440"/>
            <w:shd w:fill="FAFAFA" w:val="clear"/>
          </w:tcPr>
          <w:p>
            <w:r>
              <w:rPr>
                <w:sz w:val="17"/>
              </w:rPr>
              <w:t>18,420</w:t>
            </w:r>
          </w:p>
        </w:tc>
        <w:tc>
          <w:tcPr>
            <w:tcW w:type="dxa" w:w="1440"/>
            <w:shd w:fill="FAFAFA" w:val="clear"/>
          </w:tcPr>
          <w:p>
            <w:r>
              <w:rPr>
                <w:b/>
                <w:color w:val="008000"/>
                <w:sz w:val="17"/>
              </w:rPr>
              <w:t>+1.3%</w:t>
            </w:r>
          </w:p>
        </w:tc>
      </w:tr>
      <w:tr>
        <w:tc>
          <w:tcPr>
            <w:tcW w:type="dxa" w:w="1440"/>
            <w:shd w:fill="FAFAFA" w:val="clear"/>
          </w:tcPr>
          <w:p>
            <w:r>
              <w:rPr>
                <w:sz w:val="17"/>
              </w:rPr>
              <w:t>J+8  Moyenne</w:t>
            </w:r>
          </w:p>
        </w:tc>
        <w:tc>
          <w:tcPr>
            <w:tcW w:type="dxa" w:w="1440"/>
            <w:shd w:fill="FAFAFA" w:val="clear"/>
          </w:tcPr>
          <w:p>
            <w:r>
              <w:rPr>
                <w:sz w:val="17"/>
              </w:rPr>
              <w:t>2026-10-07</w:t>
            </w:r>
          </w:p>
        </w:tc>
        <w:tc>
          <w:tcPr>
            <w:tcW w:type="dxa" w:w="1440"/>
            <w:shd w:fill="FAFAFA" w:val="clear"/>
          </w:tcPr>
          <w:p>
            <w:r>
              <w:rPr>
                <w:sz w:val="17"/>
              </w:rPr>
              <w:t>15,540</w:t>
            </w:r>
          </w:p>
        </w:tc>
        <w:tc>
          <w:tcPr>
            <w:tcW w:type="dxa" w:w="1440"/>
            <w:shd w:fill="FAFAFA" w:val="clear"/>
          </w:tcPr>
          <w:p>
            <w:r>
              <w:rPr>
                <w:b/>
                <w:sz w:val="17"/>
              </w:rPr>
              <w:t>17,039</w:t>
            </w:r>
          </w:p>
        </w:tc>
        <w:tc>
          <w:tcPr>
            <w:tcW w:type="dxa" w:w="1440"/>
            <w:shd w:fill="FAFAFA" w:val="clear"/>
          </w:tcPr>
          <w:p>
            <w:r>
              <w:rPr>
                <w:sz w:val="17"/>
              </w:rPr>
              <w:t>18,538</w:t>
            </w:r>
          </w:p>
        </w:tc>
        <w:tc>
          <w:tcPr>
            <w:tcW w:type="dxa" w:w="1440"/>
            <w:shd w:fill="FAFAFA" w:val="clear"/>
          </w:tcPr>
          <w:p>
            <w:r>
              <w:rPr>
                <w:b/>
                <w:color w:val="008000"/>
                <w:sz w:val="17"/>
              </w:rPr>
              <w:t>+1.4%</w:t>
            </w:r>
          </w:p>
        </w:tc>
      </w:tr>
      <w:tr>
        <w:tc>
          <w:tcPr>
            <w:tcW w:type="dxa" w:w="1440"/>
            <w:shd w:fill="FAFAFA" w:val="clear"/>
          </w:tcPr>
          <w:p>
            <w:r>
              <w:rPr>
                <w:sz w:val="17"/>
              </w:rPr>
              <w:t>J+9  Moyenne</w:t>
            </w:r>
          </w:p>
        </w:tc>
        <w:tc>
          <w:tcPr>
            <w:tcW w:type="dxa" w:w="1440"/>
            <w:shd w:fill="FAFAFA" w:val="clear"/>
          </w:tcPr>
          <w:p>
            <w:r>
              <w:rPr>
                <w:sz w:val="17"/>
              </w:rPr>
              <w:t>2026-10-08</w:t>
            </w:r>
          </w:p>
        </w:tc>
        <w:tc>
          <w:tcPr>
            <w:tcW w:type="dxa" w:w="1440"/>
            <w:shd w:fill="FAFAFA" w:val="clear"/>
          </w:tcPr>
          <w:p>
            <w:r>
              <w:rPr>
                <w:sz w:val="17"/>
              </w:rPr>
              <w:t>15,467</w:t>
            </w:r>
          </w:p>
        </w:tc>
        <w:tc>
          <w:tcPr>
            <w:tcW w:type="dxa" w:w="1440"/>
            <w:shd w:fill="FAFAFA" w:val="clear"/>
          </w:tcPr>
          <w:p>
            <w:r>
              <w:rPr>
                <w:b/>
                <w:sz w:val="17"/>
              </w:rPr>
              <w:t>17,059</w:t>
            </w:r>
          </w:p>
        </w:tc>
        <w:tc>
          <w:tcPr>
            <w:tcW w:type="dxa" w:w="1440"/>
            <w:shd w:fill="FAFAFA" w:val="clear"/>
          </w:tcPr>
          <w:p>
            <w:r>
              <w:rPr>
                <w:sz w:val="17"/>
              </w:rPr>
              <w:t>18,651</w:t>
            </w:r>
          </w:p>
        </w:tc>
        <w:tc>
          <w:tcPr>
            <w:tcW w:type="dxa" w:w="1440"/>
            <w:shd w:fill="FAFAFA" w:val="clear"/>
          </w:tcPr>
          <w:p>
            <w:r>
              <w:rPr>
                <w:b/>
                <w:color w:val="008000"/>
                <w:sz w:val="17"/>
              </w:rPr>
              <w:t>+1.5%</w:t>
            </w:r>
          </w:p>
        </w:tc>
      </w:tr>
      <w:tr>
        <w:tc>
          <w:tcPr>
            <w:tcW w:type="dxa" w:w="1440"/>
            <w:shd w:fill="FAFAFA" w:val="clear"/>
          </w:tcPr>
          <w:p>
            <w:r>
              <w:rPr>
                <w:sz w:val="17"/>
              </w:rPr>
              <w:t>J+10  Moyenne</w:t>
            </w:r>
          </w:p>
        </w:tc>
        <w:tc>
          <w:tcPr>
            <w:tcW w:type="dxa" w:w="1440"/>
            <w:shd w:fill="FAFAFA" w:val="clear"/>
          </w:tcPr>
          <w:p>
            <w:r>
              <w:rPr>
                <w:sz w:val="17"/>
              </w:rPr>
              <w:t>2026-10-09</w:t>
            </w:r>
          </w:p>
        </w:tc>
        <w:tc>
          <w:tcPr>
            <w:tcW w:type="dxa" w:w="1440"/>
            <w:shd w:fill="FAFAFA" w:val="clear"/>
          </w:tcPr>
          <w:p>
            <w:r>
              <w:rPr>
                <w:sz w:val="17"/>
              </w:rPr>
              <w:t>15,399</w:t>
            </w:r>
          </w:p>
        </w:tc>
        <w:tc>
          <w:tcPr>
            <w:tcW w:type="dxa" w:w="1440"/>
            <w:shd w:fill="FAFAFA" w:val="clear"/>
          </w:tcPr>
          <w:p>
            <w:r>
              <w:rPr>
                <w:b/>
                <w:sz w:val="17"/>
              </w:rPr>
              <w:t>17,079</w:t>
            </w:r>
          </w:p>
        </w:tc>
        <w:tc>
          <w:tcPr>
            <w:tcW w:type="dxa" w:w="1440"/>
            <w:shd w:fill="FAFAFA" w:val="clear"/>
          </w:tcPr>
          <w:p>
            <w:r>
              <w:rPr>
                <w:sz w:val="17"/>
              </w:rPr>
              <w:t>18,759</w:t>
            </w:r>
          </w:p>
        </w:tc>
        <w:tc>
          <w:tcPr>
            <w:tcW w:type="dxa" w:w="1440"/>
            <w:shd w:fill="FAFAFA" w:val="clear"/>
          </w:tcPr>
          <w:p>
            <w:r>
              <w:rPr>
                <w:b/>
                <w:color w:val="008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ECOBANK CÔTE D'IVOIRE (ECOC)**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925,13 milliards FCFA, ECOC s'impose comme l'une des plus importantes capitalisations de la BRVM, ce qui en fait un titre de premier plan pour les investisseurs institutionnels régionaux. Le BPA de 1 153 FCFA/action indique que chaque titre génère un bénéfice net substantiel, tandis que le PER de 14,6x traduit une valorisation modérée mais légèrement supérieure à la moyenne du marché BRVM (8-12x), suggérant que les investisseurs acceptent une prime pour la qualité de la signature. Le P/B de 4,23x constitue en revanche un signal d'alerte : le marché valorise la banque à plus de quatre fois sa valeur comptable, une prime exigeante qui reflète la forte rentabilité des fonds propres (ROE ~29%) mais qui limite la marge de sécurité en cas de dégradation. Enfin, l'EV/EBITDA de 14,2x, dans la fourchette haute (10-15x), confirme que la valeur d'entreprise intègre déjà une bonne partie de la capacité bénéficiaire actuelle, laissant peu de place à une expansion multiple sans nouvelle accélération des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ECOC affiche une progression totale de +4,38%, avec une dernière séance en hausse de +1,23%, portant le cours actuel à 16 805 FCFA. Le range de trading s'établit entre un plus bas de 15 520 FCFA et un plus haut de 17 725 FCFA, soit une amplitude d'environ 14%, témoignant d'une tendance générale haussière mais ponctuée de corrections. Les statistiques descriptives révèlent une moyenne de 16 540 FCFA très proche de la médiane (16 500 FCFA), confirmant une distribution quasi symétrique du cours, cohérente avec le skewness positif modéré de 0,369. L'écart-type de 459 FCFA, associé à un coefficient de variation de seulement 2,8%, indique une dispersion très faible du cours autour de sa moyenne, signe d'une certaine stabilité. Le kurtosis de -0,235 (mésokurtique) suggère une distribution proche de la normale, sans risque marqué de pics extrêmes, ce qui est rassurant pour la gestion du risque. Avec une volatilité annualisée de 28,2%, le titre se situe dans la fourchette modérée (15-30%), offrant un profil rendement/risque équilibré pour une valeur bancaire de premier rang.</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(17 110,75 FCFA) est supérieure à la MM50 (16 593,0 FCFA), configuration haussière classique, mais le cours actuel (16 805 FCFA) se situe en dessous de la MM20, signalant une pression baissière de court terme. La décision fournie est "Achat", probablement justifiée par la structure haussière des moyennes et la proximité du cours avec la MM50 qui joue un rôle de support dynamique.</w:t>
      </w:r>
    </w:p>
    <w:p>
      <w:pPr>
        <w:spacing w:after="120" w:line="276" w:lineRule="auto"/>
      </w:pPr>
      <w:r>
        <w:t>**Bandes de Bollinger** : Le cours (16 805 FCFA) évolue dans la partie basse de la bande, entre la borne inférieure (16 430,77 FCFA) et la borne supérieure (17 790,73 FCFA), sans atteindre les extrêmes. La décision "Neutre" reflète cette position médiane, indiquant l'absence de signal de surachat ou de survente et une volatilité contenue dans les bornes.</w:t>
      </w:r>
    </w:p>
    <w:p>
      <w:pPr>
        <w:spacing w:after="120" w:line="276" w:lineRule="auto"/>
      </w:pPr>
      <w:r>
        <w:t>**MACD** : La valeur du MACD (30,805) est nettement inférieure à son signal (113,82), générant une divergence baissière significative. Cette configuration indique un essoufflement du momentum haussier et justifie la décision "Vente", suggérant que la dynamique positive des dernières semaines s'essouffle.</w:t>
      </w:r>
    </w:p>
    <w:p>
      <w:pPr>
        <w:spacing w:after="120" w:line="276" w:lineRule="auto"/>
      </w:pPr>
      <w:r>
        <w:t>**RSI** : À 38,662, le RSI se situe dans la zone neutre basse (30-70), sans atteindre la zone de survente (&lt;30). La décision "Neutre" est cohérente : le titre n'est ni suracheté ni survendu, mais la proximité de la zone de survente suggère une possible stabilisation prochaine.</w:t>
      </w:r>
    </w:p>
    <w:p>
      <w:pPr>
        <w:spacing w:after="120" w:line="276" w:lineRule="auto"/>
      </w:pPr>
      <w:r>
        <w:t>**Stochastique** : Le %K (18,721) est supérieur au %D (6,24), avec les deux indicateurs en zone de survente (&lt;20). Cette configuration, bien que baissière en apparence, est souvent annonciatrice d'un rebond technique, justifiant la décision "Achat" par anticipation d'un retournement.</w:t>
      </w:r>
    </w:p>
    <w:p>
      <w:pPr>
        <w:spacing w:after="120" w:line="276" w:lineRule="auto"/>
      </w:pPr>
      <w:r>
        <w:t>**Conclusion technique** : Les indicateurs présentent une divergence notable : les moyennes mobiles et le stochastique suggèrent un potentiel de rebond, tandis que le MACD et la position du cours sous la MM20 plaident pour la prudence. Le RSI et les bandes de Bollinger confirment une phase de consolidation neutre. Dans l'ensemble, le titre se trouve à un point d'inflexion technique, avec un avantage marginal aux acheteurs si le support de 16 500 FCFA tient.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ECOC affiche un Produit Net Bancaire (PNB) de 132,725 milliards FCFA, un résultat net de 63,482 milliards FCFA, un ROE de 29,04% et un ROA de 3,09%. Le coefficient d'exploitation s'établit à 42,89%, nettement inférieur au seuil de 60%, confirmant l'excellence opérationnelle de la banque. Le coût du risque, mesuré à 1,36% des charges financières, reste modéré mais en surveillance. La structure bilancielle est solide avec des dépôts clientèle de 1 626,223 milliards FCFA face à des créances clientèle de 1 050,803 milliards FCFA, soit un ratio de transformation de 64,6%, et une autonomie financière de 10,64% (faible mais typique du modèle bancaire). La marge nette de 47,83% et la marge opérationnelle de 55,75% témoignent d'une rentabilité exceptionnelle.</w:t>
      </w:r>
    </w:p>
    <w:p>
      <w:pPr>
        <w:spacing w:after="120" w:line="276" w:lineRule="auto"/>
      </w:pPr>
      <w:r>
        <w:t>**Estimations basées sur les rapports trimestriels** : Le rapport S1 2026 (publié le 26 août 2026) indique un PNB de 64,078 milliards FCFA (+2,0%) et un résultat net de 26,408 milliards FCFA (-8,6%), pénalisé par un coût du risque multiplié par 7,4 à 5,197 milliards FCFA. Le rapport T1 2026 (publié en 2026) confirme cette tendance avec un PNB de 30,8 milliards FCFA (+3,7%) et un résultat net de 13,0 milliards FCFA (-1,6%). Sur la base de ces données, on estime que l'exercice 2026 devrait enregistrer un résultat net annuel compris entre 52 et 55 milliards FCFA, en repli d'environ 13-18% par rapport à 2025, sous l'effet d'un provisionnement accru. Toutefois, le rapport T3 2025 (publié le 30 septembre 2025) montrait déjà une amélioration du coût du risque (-54,1%) et un ROE de 29,7%, suggérant que la dégradation du S1 2026 pourrait être conjoncturelle.</w:t>
      </w:r>
    </w:p>
    <w:p>
      <w:pPr>
        <w:spacing w:after="120" w:line="276" w:lineRule="auto"/>
      </w:pPr>
      <w:r>
        <w:t>**Évolution et recommandation fondamentale** : La comparaison des exercices 2024 et 2025 révèle une croissance du PNB de +8,5% et une progression du résultat net de +10,4%, avec un ROE passant de 28,8% à 29,04%. La politique de dividende est généreuse, avec un dividende brut de 888 FCFA/action proposé pour 2025 (rendement de 5,3% au cours actuel), en hausse de 10,4% par rapport à 2024. Les risques identifiés incluent la hausse des créances en souffrance (+21,5% au S1 2026) et la dépendance aux revenus d'intérêts. Néanmoins, la solidité des fonds propres (218,573 milliards FCFA), la qualité du portefeuille (taux de couverture de 90%) et la capacité de collecte de dépôts (+15,1% au S1 2026) confirment la résilience fondamentale de la banque. La recommandation fondamentale est de **CONSERVER**, avec un biais positif à moyen terme si le coût du risque se normalise.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profil mitigé : le PER de 14,6x et le P/B de 4,23x indiquent une prime significative par rapport au marché, mais cette prime est justifiée par un ROE de 29% et une marge nette de 47,8%, bien supérieurs à la moyenne sectorielle. Le comportement du cours (Partie 1) est rassurant avec une volatilité modérée (28,2%), une distribution symétrique (skewness 0,369) et une absence de risque de pics extrêmes (kurtosis -0,235), bien que la tendance récente montre un essoufflement. Les signaux techniques (Partie 2) sont divergents : le stochastique et les moyennes mobiles suggèrent un rebond, tandis que le MACD et la position sous la MM20 incitent à la prudence, créant une configuration de consolidation. Les fondamentaux (Partie 3) restent solides malgré la baisse attendue du résultat net 2026 (-13-18%), avec un ROE toujours élevé (26,9% au S1 2026) et une politique de dividende attractive (rendement 5,3%). Les prédictions IA (J+1 à J+10) anticipent une progression modérée vers 16 977 FCFA (+1,0% sur 5 jours), confirmant une reprise technique progressive sans emballement.</w:t>
      </w:r>
    </w:p>
    <w:p>
      <w:pPr>
        <w:spacing w:after="120" w:line="276" w:lineRule="auto"/>
      </w:pPr>
      <w:r>
        <w:t>**Recommandation finale : CONSERVER**, avec un niveau de confiance **Moyen** et un risque global **Moyen**. La convergence entre une valorisation exigeante mais justifiée, des fondamentaux résilients et des signaux techniques mitigés plaide pour une position attentiste. L'horizon d'investissement optimal est le **moyen terme (3-12 mois)**, en attendant la confirmation de la normalisation du coût du risque et la publication des résultats annuels 2026. Un passage à **ACHAT** serait justifié si le cours revient vers 16 000 FCFA (support technique) ou si le coût du risque se stabilise au second semestre 2026. À l'inverse, une **VENTE** serait envisagée si les créances en souffrance dépassent 6% du portefeuille ou si le coefficient d'exploitation se dégrade au-delà de 50%.</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1247.80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1,660,927 titres</w:t>
            </w:r>
          </w:p>
        </w:tc>
        <w:tc>
          <w:tcPr>
            <w:tcW w:type="dxa" w:w="2268"/>
            <w:shd w:fill="FFF2CC" w:val="clear"/>
          </w:tcPr>
          <w:p>
            <w:r>
              <w:rPr>
                <w:b/>
                <w:color w:val="503200"/>
                <w:sz w:val="16"/>
              </w:rPr>
              <w:t xml:space="preserve">Cours actuel : </w:t>
            </w:r>
            <w:r>
              <w:rPr>
                <w:color w:val="000000"/>
                <w:sz w:val="17"/>
              </w:rPr>
              <w:t>69 FCFA</w:t>
            </w:r>
          </w:p>
          <w:p>
            <w:r>
              <w:rPr>
                <w:b/>
                <w:color w:val="503200"/>
                <w:sz w:val="16"/>
              </w:rPr>
              <w:t xml:space="preserve">Var. 100 jours : </w:t>
            </w:r>
            <w:r>
              <w:rPr>
                <w:b/>
                <w:color w:val="007800"/>
                <w:sz w:val="17"/>
              </w:rPr>
              <w:t>+130.00%</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33.33% (Élevée) — μ=53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β=2.0349 (Très agressif) — Cov=0.000140, Var(idx)=0.000069, ρ=0.431,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1,660,927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σ_j=3.92%/j (Modérée) — Vol. annualisée≈62.2%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9353"/>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65</w:t>
            </w:r>
          </w:p>
        </w:tc>
        <w:tc>
          <w:tcPr>
            <w:tcW w:type="dxa" w:w="1440"/>
            <w:shd w:fill="FAFAFA" w:val="clear"/>
          </w:tcPr>
          <w:p>
            <w:r>
              <w:rPr>
                <w:b/>
                <w:sz w:val="17"/>
              </w:rPr>
              <w:t>69</w:t>
            </w:r>
          </w:p>
        </w:tc>
        <w:tc>
          <w:tcPr>
            <w:tcW w:type="dxa" w:w="1440"/>
            <w:shd w:fill="FAFAFA" w:val="clear"/>
          </w:tcPr>
          <w:p>
            <w:r>
              <w:rPr>
                <w:sz w:val="17"/>
              </w:rPr>
              <w:t>72</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64</w:t>
            </w:r>
          </w:p>
        </w:tc>
        <w:tc>
          <w:tcPr>
            <w:tcW w:type="dxa" w:w="1440"/>
            <w:shd w:fill="FAFAFA" w:val="clear"/>
          </w:tcPr>
          <w:p>
            <w:r>
              <w:rPr>
                <w:b/>
                <w:sz w:val="17"/>
              </w:rPr>
              <w:t>68</w:t>
            </w:r>
          </w:p>
        </w:tc>
        <w:tc>
          <w:tcPr>
            <w:tcW w:type="dxa" w:w="1440"/>
            <w:shd w:fill="FAFAFA" w:val="clear"/>
          </w:tcPr>
          <w:p>
            <w:r>
              <w:rPr>
                <w:sz w:val="17"/>
              </w:rPr>
              <w:t>73</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63</w:t>
            </w:r>
          </w:p>
        </w:tc>
        <w:tc>
          <w:tcPr>
            <w:tcW w:type="dxa" w:w="1440"/>
            <w:shd w:fill="FAFAFA" w:val="clear"/>
          </w:tcPr>
          <w:p>
            <w:r>
              <w:rPr>
                <w:b/>
                <w:sz w:val="17"/>
              </w:rPr>
              <w:t>68</w:t>
            </w:r>
          </w:p>
        </w:tc>
        <w:tc>
          <w:tcPr>
            <w:tcW w:type="dxa" w:w="1440"/>
            <w:shd w:fill="FAFAFA" w:val="clear"/>
          </w:tcPr>
          <w:p>
            <w:r>
              <w:rPr>
                <w:sz w:val="17"/>
              </w:rPr>
              <w:t>73</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62</w:t>
            </w:r>
          </w:p>
        </w:tc>
        <w:tc>
          <w:tcPr>
            <w:tcW w:type="dxa" w:w="1440"/>
            <w:shd w:fill="FAFAFA" w:val="clear"/>
          </w:tcPr>
          <w:p>
            <w:r>
              <w:rPr>
                <w:b/>
                <w:sz w:val="17"/>
              </w:rPr>
              <w:t>68</w:t>
            </w:r>
          </w:p>
        </w:tc>
        <w:tc>
          <w:tcPr>
            <w:tcW w:type="dxa" w:w="1440"/>
            <w:shd w:fill="FAFAFA" w:val="clear"/>
          </w:tcPr>
          <w:p>
            <w:r>
              <w:rPr>
                <w:sz w:val="17"/>
              </w:rPr>
              <w:t>74</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61</w:t>
            </w:r>
          </w:p>
        </w:tc>
        <w:tc>
          <w:tcPr>
            <w:tcW w:type="dxa" w:w="1440"/>
            <w:shd w:fill="FAFAFA" w:val="clear"/>
          </w:tcPr>
          <w:p>
            <w:r>
              <w:rPr>
                <w:b/>
                <w:sz w:val="17"/>
              </w:rPr>
              <w:t>68</w:t>
            </w:r>
          </w:p>
        </w:tc>
        <w:tc>
          <w:tcPr>
            <w:tcW w:type="dxa" w:w="1440"/>
            <w:shd w:fill="FAFAFA" w:val="clear"/>
          </w:tcPr>
          <w:p>
            <w:r>
              <w:rPr>
                <w:sz w:val="17"/>
              </w:rPr>
              <w:t>74</w:t>
            </w:r>
          </w:p>
        </w:tc>
        <w:tc>
          <w:tcPr>
            <w:tcW w:type="dxa" w:w="1440"/>
            <w:shd w:fill="FAFAFA"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60</w:t>
            </w:r>
          </w:p>
        </w:tc>
        <w:tc>
          <w:tcPr>
            <w:tcW w:type="dxa" w:w="1440"/>
            <w:shd w:fill="FFDCE0" w:val="clear"/>
          </w:tcPr>
          <w:p>
            <w:r>
              <w:rPr>
                <w:b/>
                <w:sz w:val="17"/>
              </w:rPr>
              <w:t>68</w:t>
            </w:r>
          </w:p>
        </w:tc>
        <w:tc>
          <w:tcPr>
            <w:tcW w:type="dxa" w:w="1440"/>
            <w:shd w:fill="FFDCE0" w:val="clear"/>
          </w:tcPr>
          <w:p>
            <w:r>
              <w:rPr>
                <w:sz w:val="17"/>
              </w:rPr>
              <w:t>75</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59</w:t>
            </w:r>
          </w:p>
        </w:tc>
        <w:tc>
          <w:tcPr>
            <w:tcW w:type="dxa" w:w="1440"/>
            <w:shd w:fill="FFDCE0" w:val="clear"/>
          </w:tcPr>
          <w:p>
            <w:r>
              <w:rPr>
                <w:b/>
                <w:sz w:val="17"/>
              </w:rPr>
              <w:t>67</w:t>
            </w:r>
          </w:p>
        </w:tc>
        <w:tc>
          <w:tcPr>
            <w:tcW w:type="dxa" w:w="1440"/>
            <w:shd w:fill="FFDCE0" w:val="clear"/>
          </w:tcPr>
          <w:p>
            <w:r>
              <w:rPr>
                <w:sz w:val="17"/>
              </w:rPr>
              <w:t>75</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59</w:t>
            </w:r>
          </w:p>
        </w:tc>
        <w:tc>
          <w:tcPr>
            <w:tcW w:type="dxa" w:w="1440"/>
            <w:shd w:fill="FFDCE0" w:val="clear"/>
          </w:tcPr>
          <w:p>
            <w:r>
              <w:rPr>
                <w:b/>
                <w:sz w:val="17"/>
              </w:rPr>
              <w:t>67</w:t>
            </w:r>
          </w:p>
        </w:tc>
        <w:tc>
          <w:tcPr>
            <w:tcW w:type="dxa" w:w="1440"/>
            <w:shd w:fill="FFDCE0" w:val="clear"/>
          </w:tcPr>
          <w:p>
            <w:r>
              <w:rPr>
                <w:sz w:val="17"/>
              </w:rPr>
              <w:t>76</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58</w:t>
            </w:r>
          </w:p>
        </w:tc>
        <w:tc>
          <w:tcPr>
            <w:tcW w:type="dxa" w:w="1440"/>
            <w:shd w:fill="FFDCE0" w:val="clear"/>
          </w:tcPr>
          <w:p>
            <w:r>
              <w:rPr>
                <w:b/>
                <w:sz w:val="17"/>
              </w:rPr>
              <w:t>67</w:t>
            </w:r>
          </w:p>
        </w:tc>
        <w:tc>
          <w:tcPr>
            <w:tcW w:type="dxa" w:w="1440"/>
            <w:shd w:fill="FFDCE0" w:val="clear"/>
          </w:tcPr>
          <w:p>
            <w:r>
              <w:rPr>
                <w:sz w:val="17"/>
              </w:rPr>
              <w:t>76</w:t>
            </w:r>
          </w:p>
        </w:tc>
        <w:tc>
          <w:tcPr>
            <w:tcW w:type="dxa" w:w="1440"/>
            <w:shd w:fill="FFDCE0" w:val="clear"/>
          </w:tcPr>
          <w:p>
            <w:r>
              <w:rPr>
                <w:b/>
                <w:color w:val="C00000"/>
                <w:sz w:val="17"/>
              </w:rPr>
              <w:t>-2.5%</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58</w:t>
            </w:r>
          </w:p>
        </w:tc>
        <w:tc>
          <w:tcPr>
            <w:tcW w:type="dxa" w:w="1440"/>
            <w:shd w:fill="FFDCE0" w:val="clear"/>
          </w:tcPr>
          <w:p>
            <w:r>
              <w:rPr>
                <w:b/>
                <w:sz w:val="17"/>
              </w:rPr>
              <w:t>67</w:t>
            </w:r>
          </w:p>
        </w:tc>
        <w:tc>
          <w:tcPr>
            <w:tcW w:type="dxa" w:w="1440"/>
            <w:shd w:fill="FFDCE0" w:val="clear"/>
          </w:tcPr>
          <w:p>
            <w:r>
              <w:rPr>
                <w:sz w:val="17"/>
              </w:rPr>
              <w:t>77</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1 247,80 milliards FCFA, ETIT s'impose comme l'une des plus importantes capitalisations de la BRVM, ce qui en fait un titre de référence pour les investisseurs institutionnels régionaux. Le BPA de 19 FCFA/action signifie que chaque titre génère près de 19 FCFA de bénéfice net, ce qui, rapporté au cours actuel de 69 FCFA, donne un PER de seulement 3,6x — très nettement inférieur à la moyenne du marché BRVM (8-12x), signalant une sous-évaluation potentielle marquée. Le ratio P/B de 0,78x indique que le marché valorise ETIT à 22% en dessous de sa valeur comptable, une situation rare qui peut refléter soit une opportunité d'achat, soit une défiance persistante du marché envers le secteur bancaire panafricain. Enfin, l'EV/EBITDA de 5,0x, situé dans la fourchette raisonnable de 5-10x, confirme que la valeur d'entreprise reste cohérente avec la capacité opérationnelle de la banque, renforçant le diagnostic de sous-évaluation globale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ETIT a enregistré une progression spectaculaire de +130,00%, avec une dernière séance en hausse de +1,47%, portant le cours à 69 FCFA. Le titre a évolué dans un range très large, entre un plus bas de 29 FCFA et un plus haut de 78 FCFA, soit un écart de 169% entre les deux extrêmes, témoignant d'une dynamique haussière puissante mais aussi d'une forte amplitude de trading. La moyenne du cours s'établit à 53 FCFA contre une médiane de 64 FCFA : cet écart significatif révèle une distribution asymétrique, le cours ayant passé davantage de temps dans les niveaux élevés (proches de la médiane) que dans les niveaux bas, ce qui est cohérent avec un skewness de -0,285 indiquant une légère asymétrie vers la gauche (queue de distribution étirée vers les valeurs basses). L'écart-type de 18 FCFA, avec un coefficient de variation de 33,5%, traduit une dispersion élevée du cours autour de sa moyenne, confirmant la nature volatile du titre. Le kurtosis de -1,742 (distribution platykurtique) indique une distribution aplatie avec une faible concentration autour de la moyenne et un risque de pics moins prononcé qu'une distribution normale — le cours évolue donc de manière relativement étalée sans extrêmes fréquents. Enfin, la volatilité annualisée de 62,2% place ETIT dans la catégorie des titres à volatilité élevée (&gt;30%), ce qui implique un risque significatif mais aussi un potentiel de gain attractif pour les investisseurs tolérants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(69,2 FCFA) et la MM50 (68,16 FCFA) se situent toutes deux légèrement au-dessus du cours actuel (69 FCFA), avec la MM20 supérieure à la MM50, configurant un croisement haussier classique. Le cours évoluant à proximité immédiate de ces moyennes, la décision technique est à l'**Achat**, le titre consolidant sa tendance haussière de moyen terme.</w:t>
      </w:r>
    </w:p>
    <w:p>
      <w:pPr>
        <w:spacing w:after="120" w:line="276" w:lineRule="auto"/>
      </w:pPr>
      <w:r>
        <w:t>**Bandes de Bollinger** : Le cours (69 FCFA) se situe à l'intérieur des bandes, entre la borne inférieure (65,552 FCFA) et la borne supérieure (72,848 FCFA), légèrement au-dessus du centre. L'absence de contact avec les bornes traduit une volatilité modérée et une phase de consolidation, justifiant une décision **Neutre** sans signal directionnel fort.</w:t>
      </w:r>
    </w:p>
    <w:p>
      <w:pPr>
        <w:spacing w:after="120" w:line="276" w:lineRule="auto"/>
      </w:pPr>
      <w:r>
        <w:t>**MACD** : La valeur du MACD (0,487) est inférieure à son signal (0,977), générant un croisement baissier qui indique un essoufflement du momentum haussier. Cette divergence négative, bien que le MACD reste en territoire positif, justifie une décision de **Vente** à court terme, le titre pouvant connaître une correction technique.</w:t>
      </w:r>
    </w:p>
    <w:p>
      <w:pPr>
        <w:spacing w:after="120" w:line="276" w:lineRule="auto"/>
      </w:pPr>
      <w:r>
        <w:t>**RSI** : À 42,857, le RSI se situe dans la zone neutre (30-70), sans atteindre les seuils de survente (30) ni de surachat (70). Cette position médiane indique un équilibre entre acheteurs et vendeurs, justifiant une décision **Neutre** sans pression directionnelle immédiate.</w:t>
      </w:r>
    </w:p>
    <w:p>
      <w:pPr>
        <w:spacing w:after="120" w:line="276" w:lineRule="auto"/>
      </w:pPr>
      <w:r>
        <w:t>**Stochastique** : Le %K (71,429) est nettement supérieur au %D (42,857), avec un croisement haussier récent qui suggère une reprise du momentum à court terme. Cependant, le %K approchant la zone de surachat (80), la décision reste **Neutre**, le potentiel de hausse immédiat étant limité.</w:t>
      </w:r>
    </w:p>
    <w:p>
      <w:pPr>
        <w:spacing w:after="120" w:line="276" w:lineRule="auto"/>
      </w:pPr>
      <w:r>
        <w:t>**Conclusion technique** : Les indicateurs présentent une configuration mitigée : les moyennes mobiles sont haussières (Achat), le MACD est baissier (Vente), tandis que le RSI, les Bollinger et le Stochastique sont neutres. Cette divergence suggère une phase de consolidation avec un léger biais haussier à moyen terme, mais une prudence à court terme est recommandée en raison du signal MACD négatif. Le titre semble en transition entre une tendance haussière mature et une possible correction.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ETIT affiche un Produit Net Bancaire (PNB) de 1 424,261 milliards FCFA, un résultat net de 345,523 milliards FCFA, un ROE exceptionnel de 21,62% (&gt;15% = excellent) et un ROA de 1,80%. Le coefficient d'exploitation de 27,35% est remarquablement bas (&lt;60% = banque très efficace), témoignant d'une maîtrise des charges exceptionnelle. Le coût du risque, mesuré à 18,97% des charges financières, reste modéré mais mérite une surveillance. La structure de bilan révèle une forte dépendance aux dépôts clientèle (14 120,139 milliards FCFA) face à des créances clientèle de 6 570,385 milliards FCFA, soit un ratio de transformation (crédits/dépôts) de seulement 46,5%, indiquant une surliquidité et une capacité de prêt sous-utilisée. Le taux de croissance du PNB de 12,45% confirme la dynamique commerciale soutenue.</w:t>
      </w:r>
    </w:p>
    <w:p>
      <w:pPr>
        <w:spacing w:after="120" w:line="276" w:lineRule="auto"/>
      </w:pPr>
      <w:r>
        <w:t>**Estimations basées sur les rapports trimestriels** : Le rapport semestriel 2026 (arrêté au 30 juin 2026, analysé le 30 juillet 2026) indique un PNB de 721 318 millions FCFA (+15% vs S1 2025) et un résultat net consolidé de 166 682 millions FCFA (+6%), avec un BPA de 0,80 $EU (+2%). Le coefficient d'exploitation s'améliore à 48,4% (contre 51,6% au T1 2026 selon le rapport trimestriel 2026). Le rapport T1 2026 (publié en 2026) fait état d'un PNB de 636,2 millions $EU (+23%) et d'un résultat net de 142,5 millions $EU (+16%), mais avec un coût du risque en hausse alarmante de +73%. Le rapport du T3 2025 (30 septembre 2025) affichait un PNB de 1 029,2 milliards FCFA (+18%) et un résultat net de 267,0 milliards FCFA (+34%), avec un ROTE de 31,2%. On estime, sur la base de ces rapports, que l'exercice 2026 devrait enregistrer une croissance du PNB de 12-15% et un résultat net en progression de 5-10%, bien que la hausse du coût du risque (+40% au S1 2026) constitue un facteur de vigilance.</w:t>
      </w:r>
    </w:p>
    <w:p>
      <w:pPr>
        <w:spacing w:after="120" w:line="276" w:lineRule="auto"/>
      </w:pPr>
      <w:r>
        <w:t>**Évolution pluriannuelle** : Les rapports antérieurs (2024) montrent une trajectoire de redressement spectaculaire : le résultat net est passé de 299,7 milliards FCFA en 2024 (+21%) à 345,5 milliards FCFA en 2025, avec une marge nette s'améliorant de 23,6% à 24,26%. Le ROE tangible a progressé de 32,7% (2024) à 21,62% (2025, base non tangible), et la valeur comptable tangible par action a bondi de +24% au S1 2026. Le rapport annuel 2024 (publié en 2024) soulignait déjà une amélioration de la marge nette et une réduction du coût du risque. Cependant, les rapports 2026 signalent une inversion de tendance avec une hausse du coût du risque (+40% au S1 2026, +73% au T1 2026), liée à un environnement de crédit plus difficile et à une politique de provisionnement plus prudente.</w:t>
      </w:r>
    </w:p>
    <w:p>
      <w:pPr>
        <w:spacing w:after="120" w:line="276" w:lineRule="auto"/>
      </w:pPr>
      <w:r>
        <w:t>**Recommandation fondamentale** : ETIT présente des fondamentaux solides (ROE &gt;20%, coefficient d'exploitation &lt;30%, croissance du PNB &gt;12%) et une valorisation attractrice (PER 3,6x, P/B 0,78x). Cependant, la dégradation récente du coût du risque et le ralentissement de la croissance du résultat net (+6% au S1 2026 vs +34% au T3 2025) incitent à la prudence. La recommandation fondamentale est **CONSERVER** avec un biais positif, en attendant la confirmation de la stabilisation du coût du risque au second semestre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mais globalement favorable. **Valorisation (Partie 0)** : le PER de 3,6x et le P/B de 0,78x indiquent une sous-évaluation manifeste, le marché valorisant ETIT à moins de 4 fois ses bénéfices et sous sa valeur comptable, ce qui offre une marge de sécurité significative. **Comportement du cours (Partie 1)** : la tendance haussière (+130% sur 100 jours) est impressionnante, mais la volatilité élevée (62,2%) et la distribution platykurtique (kurtosis -1,742) suggèrent un risque de correction, bien que le skewness quasi-symétrique (-0,285) n'indique pas de biais baissier prononcé. **Signaux techniques (Partie 2)** : la divergence entre les moyennes mobiles haussières et le MACD baissier, couplée à des indicateurs neutres (RSI, Bollinger, Stochastique), plaide pour une consolidation avant une reprise éventuelle. **Fondamentaux (Partie 3)** : la solidité financière (ROE 21,62%, coefficient d'exploitation 27,35%) et la croissance du PNB (+12,45% en 2025, +15% au S1 2026) sont des atouts majeurs, mais la hausse du coût du risque (+40% au S1 2026) et le ralentissement du résultat net (+6%) constituent des signaux d'alerte. **Prédictions IA (J+1 à J+10)** : la trajectoire prédite (69 FCFA le 28/09, puis 68 FCFA stable jusqu'au 02/10) confirme une phase de stabilisation, voire une légère consolidation, en ligne avec les signaux techniques neutres à baissiers à court terme.</w:t>
      </w:r>
    </w:p>
    <w:p>
      <w:pPr>
        <w:spacing w:after="120" w:line="276" w:lineRule="auto"/>
      </w:pPr>
      <w:r>
        <w:t>**Recommandation finale : CONSERVER** — La convergence entre une valorisation très attractive (sous-évaluation), des fondamentaux solides mais une dynamique récente ralentie (coût du risque en hausse), et des signaux techniques mitigés (consolidation en cours) justifie une position attentiste. Un **ACHAT** serait justifié si le titre corrigeait vers 65 FCFA (borne inférieure de Bollinger) ou si le coût du risque se stabilisait au T3 2026. **Niveau de confiance : Moyen** — Les fondamentaux et la valorisation sont robustes, mais l'incertitude sur la qualité du crédit tempère l'enthousiasme. **Niveau de risque global : Moyen à Élevé** — La volatilité de 62,2% et l'exposition aux risques de change et de crédit en Afrique subsaharienne nécessitent une tolérance au risque significative. **Horizon d'investissement optimal : Moyen terme (3-12 mois)** — Le temps que la tendance du coût du risque se clarifie et que la valorisation se matérialise, avec un potentiel de revalorisation de 20-30% si les fondamentaux se confirment.</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28.21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4,077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B40000"/>
                <w:sz w:val="17"/>
              </w:rPr>
              <w:t>-8.88%</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6.03% (Moyenne) — μ=2,120 FCFA, σ=128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β=0.2303 (Défensif) — Cov=0.000016, Var(idx)=0.000069, ρ=0.091,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1,921</w:t>
            </w:r>
          </w:p>
        </w:tc>
        <w:tc>
          <w:tcPr>
            <w:tcW w:type="dxa" w:w="1440"/>
            <w:shd w:fill="FAFAFA" w:val="clear"/>
          </w:tcPr>
          <w:p>
            <w:r>
              <w:rPr>
                <w:b/>
                <w:sz w:val="17"/>
              </w:rPr>
              <w:t>1,986</w:t>
            </w:r>
          </w:p>
        </w:tc>
        <w:tc>
          <w:tcPr>
            <w:tcW w:type="dxa" w:w="1440"/>
            <w:shd w:fill="FAFAFA" w:val="clear"/>
          </w:tcPr>
          <w:p>
            <w:r>
              <w:rPr>
                <w:sz w:val="17"/>
              </w:rPr>
              <w:t>2,050</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1,881</w:t>
            </w:r>
          </w:p>
        </w:tc>
        <w:tc>
          <w:tcPr>
            <w:tcW w:type="dxa" w:w="1440"/>
            <w:shd w:fill="FAFAFA" w:val="clear"/>
          </w:tcPr>
          <w:p>
            <w:r>
              <w:rPr>
                <w:b/>
                <w:sz w:val="17"/>
              </w:rPr>
              <w:t>1,971</w:t>
            </w:r>
          </w:p>
        </w:tc>
        <w:tc>
          <w:tcPr>
            <w:tcW w:type="dxa" w:w="1440"/>
            <w:shd w:fill="FAFAFA" w:val="clear"/>
          </w:tcPr>
          <w:p>
            <w:r>
              <w:rPr>
                <w:sz w:val="17"/>
              </w:rPr>
              <w:t>2,062</w:t>
            </w:r>
          </w:p>
        </w:tc>
        <w:tc>
          <w:tcPr>
            <w:tcW w:type="dxa" w:w="1440"/>
            <w:shd w:fill="FAFAFA" w:val="clear"/>
          </w:tcPr>
          <w:p>
            <w:r>
              <w:rPr>
                <w:b/>
                <w:color w:val="C00000"/>
                <w:sz w:val="17"/>
              </w:rPr>
              <w:t>-1.4%</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1,848</w:t>
            </w:r>
          </w:p>
        </w:tc>
        <w:tc>
          <w:tcPr>
            <w:tcW w:type="dxa" w:w="1440"/>
            <w:shd w:fill="FFDCE0" w:val="clear"/>
          </w:tcPr>
          <w:p>
            <w:r>
              <w:rPr>
                <w:b/>
                <w:sz w:val="17"/>
              </w:rPr>
              <w:t>1,958</w:t>
            </w:r>
          </w:p>
        </w:tc>
        <w:tc>
          <w:tcPr>
            <w:tcW w:type="dxa" w:w="1440"/>
            <w:shd w:fill="FFDCE0" w:val="clear"/>
          </w:tcPr>
          <w:p>
            <w:r>
              <w:rPr>
                <w:sz w:val="17"/>
              </w:rPr>
              <w:t>2,067</w:t>
            </w:r>
          </w:p>
        </w:tc>
        <w:tc>
          <w:tcPr>
            <w:tcW w:type="dxa" w:w="1440"/>
            <w:shd w:fill="FFDCE0" w:val="clear"/>
          </w:tcPr>
          <w:p>
            <w:r>
              <w:rPr>
                <w:b/>
                <w:color w:val="C00000"/>
                <w:sz w:val="17"/>
              </w:rPr>
              <w:t>-2.1%</w:t>
            </w:r>
          </w:p>
        </w:tc>
      </w:tr>
      <w:tr>
        <w:tc>
          <w:tcPr>
            <w:tcW w:type="dxa" w:w="1440"/>
            <w:shd w:fill="FFDCE0" w:val="clear"/>
          </w:tcPr>
          <w:p>
            <w:r>
              <w:rPr>
                <w:sz w:val="17"/>
              </w:rPr>
              <w:t>J+4  Moyenne</w:t>
            </w:r>
          </w:p>
        </w:tc>
        <w:tc>
          <w:tcPr>
            <w:tcW w:type="dxa" w:w="1440"/>
            <w:shd w:fill="FFDCE0" w:val="clear"/>
          </w:tcPr>
          <w:p>
            <w:r>
              <w:rPr>
                <w:sz w:val="17"/>
              </w:rPr>
              <w:t>2026-10-01</w:t>
            </w:r>
          </w:p>
        </w:tc>
        <w:tc>
          <w:tcPr>
            <w:tcW w:type="dxa" w:w="1440"/>
            <w:shd w:fill="FFDCE0" w:val="clear"/>
          </w:tcPr>
          <w:p>
            <w:r>
              <w:rPr>
                <w:sz w:val="17"/>
              </w:rPr>
              <w:t>1,819</w:t>
            </w:r>
          </w:p>
        </w:tc>
        <w:tc>
          <w:tcPr>
            <w:tcW w:type="dxa" w:w="1440"/>
            <w:shd w:fill="FFDCE0" w:val="clear"/>
          </w:tcPr>
          <w:p>
            <w:r>
              <w:rPr>
                <w:b/>
                <w:sz w:val="17"/>
              </w:rPr>
              <w:t>1,944</w:t>
            </w:r>
          </w:p>
        </w:tc>
        <w:tc>
          <w:tcPr>
            <w:tcW w:type="dxa" w:w="1440"/>
            <w:shd w:fill="FFDCE0" w:val="clear"/>
          </w:tcPr>
          <w:p>
            <w:r>
              <w:rPr>
                <w:sz w:val="17"/>
              </w:rPr>
              <w:t>2,070</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2026-10-02</w:t>
            </w:r>
          </w:p>
        </w:tc>
        <w:tc>
          <w:tcPr>
            <w:tcW w:type="dxa" w:w="1440"/>
            <w:shd w:fill="FFDCE0" w:val="clear"/>
          </w:tcPr>
          <w:p>
            <w:r>
              <w:rPr>
                <w:sz w:val="17"/>
              </w:rPr>
              <w:t>1,792</w:t>
            </w:r>
          </w:p>
        </w:tc>
        <w:tc>
          <w:tcPr>
            <w:tcW w:type="dxa" w:w="1440"/>
            <w:shd w:fill="FFDCE0" w:val="clear"/>
          </w:tcPr>
          <w:p>
            <w:r>
              <w:rPr>
                <w:b/>
                <w:sz w:val="17"/>
              </w:rPr>
              <w:t>1,932</w:t>
            </w:r>
          </w:p>
        </w:tc>
        <w:tc>
          <w:tcPr>
            <w:tcW w:type="dxa" w:w="1440"/>
            <w:shd w:fill="FFDCE0" w:val="clear"/>
          </w:tcPr>
          <w:p>
            <w:r>
              <w:rPr>
                <w:sz w:val="17"/>
              </w:rPr>
              <w:t>2,072</w:t>
            </w:r>
          </w:p>
        </w:tc>
        <w:tc>
          <w:tcPr>
            <w:tcW w:type="dxa" w:w="1440"/>
            <w:shd w:fill="FFDCE0" w:val="clear"/>
          </w:tcPr>
          <w:p>
            <w:r>
              <w:rPr>
                <w:b/>
                <w:color w:val="C00000"/>
                <w:sz w:val="17"/>
              </w:rPr>
              <w:t>-3.4%</w:t>
            </w:r>
          </w:p>
        </w:tc>
      </w:tr>
      <w:tr>
        <w:tc>
          <w:tcPr>
            <w:tcW w:type="dxa" w:w="1440"/>
            <w:shd w:fill="FFDCE0" w:val="clear"/>
          </w:tcPr>
          <w:p>
            <w:r>
              <w:rPr>
                <w:sz w:val="17"/>
              </w:rPr>
              <w:t>J+6  Moyenne</w:t>
            </w:r>
          </w:p>
        </w:tc>
        <w:tc>
          <w:tcPr>
            <w:tcW w:type="dxa" w:w="1440"/>
            <w:shd w:fill="FFDCE0" w:val="clear"/>
          </w:tcPr>
          <w:p>
            <w:r>
              <w:rPr>
                <w:sz w:val="17"/>
              </w:rPr>
              <w:t>2026-10-05</w:t>
            </w:r>
          </w:p>
        </w:tc>
        <w:tc>
          <w:tcPr>
            <w:tcW w:type="dxa" w:w="1440"/>
            <w:shd w:fill="FFDCE0" w:val="clear"/>
          </w:tcPr>
          <w:p>
            <w:r>
              <w:rPr>
                <w:sz w:val="17"/>
              </w:rPr>
              <w:t>1,768</w:t>
            </w:r>
          </w:p>
        </w:tc>
        <w:tc>
          <w:tcPr>
            <w:tcW w:type="dxa" w:w="1440"/>
            <w:shd w:fill="FFDCE0" w:val="clear"/>
          </w:tcPr>
          <w:p>
            <w:r>
              <w:rPr>
                <w:b/>
                <w:sz w:val="17"/>
              </w:rPr>
              <w:t>1,920</w:t>
            </w:r>
          </w:p>
        </w:tc>
        <w:tc>
          <w:tcPr>
            <w:tcW w:type="dxa" w:w="1440"/>
            <w:shd w:fill="FFDCE0" w:val="clear"/>
          </w:tcPr>
          <w:p>
            <w:r>
              <w:rPr>
                <w:sz w:val="17"/>
              </w:rPr>
              <w:t>2,072</w:t>
            </w:r>
          </w:p>
        </w:tc>
        <w:tc>
          <w:tcPr>
            <w:tcW w:type="dxa" w:w="1440"/>
            <w:shd w:fill="FFDCE0" w:val="clear"/>
          </w:tcPr>
          <w:p>
            <w:r>
              <w:rPr>
                <w:b/>
                <w:color w:val="C00000"/>
                <w:sz w:val="17"/>
              </w:rPr>
              <w:t>-4.0%</w:t>
            </w:r>
          </w:p>
        </w:tc>
      </w:tr>
      <w:tr>
        <w:tc>
          <w:tcPr>
            <w:tcW w:type="dxa" w:w="1440"/>
            <w:shd w:fill="FFDCE0" w:val="clear"/>
          </w:tcPr>
          <w:p>
            <w:r>
              <w:rPr>
                <w:sz w:val="17"/>
              </w:rPr>
              <w:t>J+7  Moyenne</w:t>
            </w:r>
          </w:p>
        </w:tc>
        <w:tc>
          <w:tcPr>
            <w:tcW w:type="dxa" w:w="1440"/>
            <w:shd w:fill="FFDCE0" w:val="clear"/>
          </w:tcPr>
          <w:p>
            <w:r>
              <w:rPr>
                <w:sz w:val="17"/>
              </w:rPr>
              <w:t>2026-10-06</w:t>
            </w:r>
          </w:p>
        </w:tc>
        <w:tc>
          <w:tcPr>
            <w:tcW w:type="dxa" w:w="1440"/>
            <w:shd w:fill="FFDCE0" w:val="clear"/>
          </w:tcPr>
          <w:p>
            <w:r>
              <w:rPr>
                <w:sz w:val="17"/>
              </w:rPr>
              <w:t>1,745</w:t>
            </w:r>
          </w:p>
        </w:tc>
        <w:tc>
          <w:tcPr>
            <w:tcW w:type="dxa" w:w="1440"/>
            <w:shd w:fill="FFDCE0" w:val="clear"/>
          </w:tcPr>
          <w:p>
            <w:r>
              <w:rPr>
                <w:b/>
                <w:sz w:val="17"/>
              </w:rPr>
              <w:t>1,908</w:t>
            </w:r>
          </w:p>
        </w:tc>
        <w:tc>
          <w:tcPr>
            <w:tcW w:type="dxa" w:w="1440"/>
            <w:shd w:fill="FFDCE0" w:val="clear"/>
          </w:tcPr>
          <w:p>
            <w:r>
              <w:rPr>
                <w:sz w:val="17"/>
              </w:rPr>
              <w:t>2,072</w:t>
            </w:r>
          </w:p>
        </w:tc>
        <w:tc>
          <w:tcPr>
            <w:tcW w:type="dxa" w:w="1440"/>
            <w:shd w:fill="FFDCE0" w:val="clear"/>
          </w:tcPr>
          <w:p>
            <w:r>
              <w:rPr>
                <w:b/>
                <w:color w:val="C00000"/>
                <w:sz w:val="17"/>
              </w:rPr>
              <w:t>-4.6%</w:t>
            </w:r>
          </w:p>
        </w:tc>
      </w:tr>
      <w:tr>
        <w:tc>
          <w:tcPr>
            <w:tcW w:type="dxa" w:w="1440"/>
            <w:shd w:fill="FFDCE0" w:val="clear"/>
          </w:tcPr>
          <w:p>
            <w:r>
              <w:rPr>
                <w:sz w:val="17"/>
              </w:rPr>
              <w:t>J+8  Moyenne</w:t>
            </w:r>
          </w:p>
        </w:tc>
        <w:tc>
          <w:tcPr>
            <w:tcW w:type="dxa" w:w="1440"/>
            <w:shd w:fill="FFDCE0" w:val="clear"/>
          </w:tcPr>
          <w:p>
            <w:r>
              <w:rPr>
                <w:sz w:val="17"/>
              </w:rPr>
              <w:t>2026-10-07</w:t>
            </w:r>
          </w:p>
        </w:tc>
        <w:tc>
          <w:tcPr>
            <w:tcW w:type="dxa" w:w="1440"/>
            <w:shd w:fill="FFDCE0" w:val="clear"/>
          </w:tcPr>
          <w:p>
            <w:r>
              <w:rPr>
                <w:sz w:val="17"/>
              </w:rPr>
              <w:t>1,723</w:t>
            </w:r>
          </w:p>
        </w:tc>
        <w:tc>
          <w:tcPr>
            <w:tcW w:type="dxa" w:w="1440"/>
            <w:shd w:fill="FFDCE0" w:val="clear"/>
          </w:tcPr>
          <w:p>
            <w:r>
              <w:rPr>
                <w:b/>
                <w:sz w:val="17"/>
              </w:rPr>
              <w:t>1,897</w:t>
            </w:r>
          </w:p>
        </w:tc>
        <w:tc>
          <w:tcPr>
            <w:tcW w:type="dxa" w:w="1440"/>
            <w:shd w:fill="FFDCE0" w:val="clear"/>
          </w:tcPr>
          <w:p>
            <w:r>
              <w:rPr>
                <w:sz w:val="17"/>
              </w:rPr>
              <w:t>2,071</w:t>
            </w:r>
          </w:p>
        </w:tc>
        <w:tc>
          <w:tcPr>
            <w:tcW w:type="dxa" w:w="1440"/>
            <w:shd w:fill="FFDCE0" w:val="clear"/>
          </w:tcPr>
          <w:p>
            <w:r>
              <w:rPr>
                <w:b/>
                <w:color w:val="C00000"/>
                <w:sz w:val="17"/>
              </w:rPr>
              <w:t>-5.1%</w:t>
            </w:r>
          </w:p>
        </w:tc>
      </w:tr>
      <w:tr>
        <w:tc>
          <w:tcPr>
            <w:tcW w:type="dxa" w:w="1440"/>
            <w:shd w:fill="FFDCE0" w:val="clear"/>
          </w:tcPr>
          <w:p>
            <w:r>
              <w:rPr>
                <w:sz w:val="17"/>
              </w:rPr>
              <w:t>J+9  Moyenne</w:t>
            </w:r>
          </w:p>
        </w:tc>
        <w:tc>
          <w:tcPr>
            <w:tcW w:type="dxa" w:w="1440"/>
            <w:shd w:fill="FFDCE0" w:val="clear"/>
          </w:tcPr>
          <w:p>
            <w:r>
              <w:rPr>
                <w:sz w:val="17"/>
              </w:rPr>
              <w:t>2026-10-08</w:t>
            </w:r>
          </w:p>
        </w:tc>
        <w:tc>
          <w:tcPr>
            <w:tcW w:type="dxa" w:w="1440"/>
            <w:shd w:fill="FFDCE0" w:val="clear"/>
          </w:tcPr>
          <w:p>
            <w:r>
              <w:rPr>
                <w:sz w:val="17"/>
              </w:rPr>
              <w:t>1,703</w:t>
            </w:r>
          </w:p>
        </w:tc>
        <w:tc>
          <w:tcPr>
            <w:tcW w:type="dxa" w:w="1440"/>
            <w:shd w:fill="FFDCE0" w:val="clear"/>
          </w:tcPr>
          <w:p>
            <w:r>
              <w:rPr>
                <w:b/>
                <w:sz w:val="17"/>
              </w:rPr>
              <w:t>1,886</w:t>
            </w:r>
          </w:p>
        </w:tc>
        <w:tc>
          <w:tcPr>
            <w:tcW w:type="dxa" w:w="1440"/>
            <w:shd w:fill="FFDCE0" w:val="clear"/>
          </w:tcPr>
          <w:p>
            <w:r>
              <w:rPr>
                <w:sz w:val="17"/>
              </w:rPr>
              <w:t>2,069</w:t>
            </w:r>
          </w:p>
        </w:tc>
        <w:tc>
          <w:tcPr>
            <w:tcW w:type="dxa" w:w="1440"/>
            <w:shd w:fill="FFDCE0" w:val="clear"/>
          </w:tcPr>
          <w:p>
            <w:r>
              <w:rPr>
                <w:b/>
                <w:color w:val="C00000"/>
                <w:sz w:val="17"/>
              </w:rPr>
              <w:t>-5.7%</w:t>
            </w:r>
          </w:p>
        </w:tc>
      </w:tr>
      <w:tr>
        <w:tc>
          <w:tcPr>
            <w:tcW w:type="dxa" w:w="1440"/>
            <w:shd w:fill="FFDCE0" w:val="clear"/>
          </w:tcPr>
          <w:p>
            <w:r>
              <w:rPr>
                <w:sz w:val="17"/>
              </w:rPr>
              <w:t>J+10  Moyenne</w:t>
            </w:r>
          </w:p>
        </w:tc>
        <w:tc>
          <w:tcPr>
            <w:tcW w:type="dxa" w:w="1440"/>
            <w:shd w:fill="FFDCE0" w:val="clear"/>
          </w:tcPr>
          <w:p>
            <w:r>
              <w:rPr>
                <w:sz w:val="17"/>
              </w:rPr>
              <w:t>2026-10-09</w:t>
            </w:r>
          </w:p>
        </w:tc>
        <w:tc>
          <w:tcPr>
            <w:tcW w:type="dxa" w:w="1440"/>
            <w:shd w:fill="FFDCE0" w:val="clear"/>
          </w:tcPr>
          <w:p>
            <w:r>
              <w:rPr>
                <w:sz w:val="17"/>
              </w:rPr>
              <w:t>1,684</w:t>
            </w:r>
          </w:p>
        </w:tc>
        <w:tc>
          <w:tcPr>
            <w:tcW w:type="dxa" w:w="1440"/>
            <w:shd w:fill="FFDCE0" w:val="clear"/>
          </w:tcPr>
          <w:p>
            <w:r>
              <w:rPr>
                <w:b/>
                <w:sz w:val="17"/>
              </w:rPr>
              <w:t>1,876</w:t>
            </w:r>
          </w:p>
        </w:tc>
        <w:tc>
          <w:tcPr>
            <w:tcW w:type="dxa" w:w="1440"/>
            <w:shd w:fill="FFDCE0" w:val="clear"/>
          </w:tcPr>
          <w:p>
            <w:r>
              <w:rPr>
                <w:sz w:val="17"/>
              </w:rPr>
              <w:t>2,067</w:t>
            </w:r>
          </w:p>
        </w:tc>
        <w:tc>
          <w:tcPr>
            <w:tcW w:type="dxa" w:w="1440"/>
            <w:shd w:fill="FFDCE0" w:val="clear"/>
          </w:tcPr>
          <w:p>
            <w:r>
              <w:rPr>
                <w:b/>
                <w:color w:val="C00000"/>
                <w:sz w:val="17"/>
              </w:rPr>
              <w:t>-6.2%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RAPPORT D'ANALYSE FINANCIÈRE — FTSC (FILTISAC CI)</w:t>
        <w:br/>
        <w:t>**Bourse Régionale des Valeurs Mobilières (BRVM) — Secteur : Emballages industriels (Entreprise non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28,21 Mds FCFA, FTSC se positionne comme une valeur de taille moyenne sur la cote BRVM, loin des poids lourds bancaires et télécoms. Le BPA s'établit à 33 FCFA/action, un niveau faible qui traduit la chute drastique du résultat net 2025 (465,98 MFCFA). Le PER ressort à 60,5x, très largement supérieur à la moyenne BRVM (~8-12x) : les investisseurs paient donc très cher chaque franc de bénéfice, ce qui signale soit une anticipation de redressement, soit une anomalie de valorisation liée à l'effondrement ponctuel des profits. Le P/B de 1,80x indique que le marché valorise l'action près du double de sa valeur comptable, ce qui reste raisonnable mais suppose une confiance dans la capacité de l'entreprise à régénérer ses fonds propres. Enfin, l'EV/EBITDA de 36,7x (très au-dessus du seuil de 15x) traduit une valorisation exigeante au regard de la capacité opérationnelle actuelle, ce qui appelle à la prudence tant que la rentabilité nette n'est pas rétablie.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FTSC affiche une variation totale de **-8,88%**, avec une dernière séance stable (J-1 : +0,00%), le cours se fixant à **2 000 FCFA**. Le range de trading est relativement large, entre un plus haut de **2 430 FCFA** et un plus bas de **1 910 FCFA**, soit un écart de 520 FCFA (~27%) qui témoigne d'une réelle agitation. La tendance générale est donc **baissière sur la période**, le cours ayant perdu près de 9% et se situant désormais sous sa moyenne (2 120 FCFA) et sa médiane (2 125 FCFA) — l'écart faible entre ces deux mesures centrales (5 FCFA) indique une distribution quasi symétrique, confirmée par un skewness de 0,318 (léger étirement à droite). L'écart-type de 128 FCFA avec un coefficient de variation de 6,1% révèle une dispersion modérée du cours autour de sa moyenne. Le kurtosis de -0,749 (mésokurtique) suggère une distribution proche de la normale, sans risque marqué de pics extrêmes. La volatilité annualisée de **33,3%** classe le titre dans la catégorie **élevée** (&gt;30%), ce qui implique un risque de marché significatif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(2 086,75 FCFA) et la MM50 (2 071,30 FCFA) se situent toutes deux au-dessus du cours actuel (2 000 FCFA), ce qui place le titre en position de faiblesse relative. Toutefois, la MM20 étant supérieure à la MM50, la configuration reste haussière de fond, justifiant la décision algorithmique d'**Achat** — mais cette dernière apparaît fragile tant que le cours ne réintègre pas ses moyennes.</w:t>
      </w:r>
    </w:p>
    <w:p>
      <w:pPr>
        <w:spacing w:after="120" w:line="276" w:lineRule="auto"/>
      </w:pPr>
      <w:r>
        <w:t>**Bandes de Bollinger** : Le cours (2 000 FCFA) évolue dans la partie basse du canal, entre la borne inférieure (1 955,31 FCFA) et la borne supérieure (2 218,19 FCFA). La proximité avec la borne basse indique une pression vendeuse persistante, mais sans franchissement, ce qui explique la décision **Neutre** : le titre n'est ni en survente extrême, ni en zone d'achat opportuniste.</w:t>
      </w:r>
    </w:p>
    <w:p>
      <w:pPr>
        <w:spacing w:after="120" w:line="276" w:lineRule="auto"/>
      </w:pPr>
      <w:r>
        <w:t>**MACD** : La valeur du MACD (-28,881) est nettement inférieure à son signal (-12,545), confirmant un momentum baissier en cours. Le croisement négatif persistant justifie la décision de **Vente** : la dynamique de court terme reste défavorable malgré la stabilité du jour.</w:t>
      </w:r>
    </w:p>
    <w:p>
      <w:pPr>
        <w:spacing w:after="120" w:line="276" w:lineRule="auto"/>
      </w:pPr>
      <w:r>
        <w:t>**RSI** : À 31,944, le RSI se situe juste au-dessus du seuil de survente (30), traduisant une faiblesse prononcée sans capitulation. La décision **Neutre** est cohérente : le titre n'offre pas encore de signal d'achat technique franc, mais n'est plus très loin d'une zone de rebond potentiel.</w:t>
      </w:r>
    </w:p>
    <w:p>
      <w:pPr>
        <w:spacing w:after="120" w:line="276" w:lineRule="auto"/>
      </w:pPr>
      <w:r>
        <w:t>**Stochastique** : Le %K (42,857) est légèrement supérieur au %D (40,422), sans croisement significatif, ce qui maintient l'indicateur en zone **Neutre**. Aucun signal directionnel clair ne se dégage, le marché étant en phase d'indécision.</w:t>
      </w:r>
    </w:p>
    <w:p>
      <w:pPr>
        <w:spacing w:after="120" w:line="276" w:lineRule="auto"/>
      </w:pPr>
      <w:r>
        <w:t>**Conclusion technique** : Les indicateurs sont majoritairement baissiers (MACD en vente, cours sous les MM, RSI faible), avec un seul signal d'achat isolé (croisement MM20&gt;MM50) et trois décisions neutres (Bollinger, RSI, Stochastique). Cette divergence traduit un titre en phase de consolidation baissière, sans signal de retournement confirmé. La prudence technique domine à court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FTSC a réalisé un chiffre d'affaires de **32 109 MFCFA** (32,1 Mds FCFA), en progression de +4,6% sur un an, mais son résultat net s'est effondré à **465,98 MFCFA** contre 18 595 MFCFA en 2024 (-97,5%). Cette chute s'explique par la disparition des produits exceptionnels (résultat HAO de 381,6 MFCFA contre 18 862 MFCFA en 2024) et l'effondrement des produits financiers (544,98 MFCFA contre 6 169 MFCFA). Le ROE n'est que de **2,97%** (très loin du seuil de 15% d'excellence) et le ROA de **1,19%**, confirmant une rentabilité structurellement faible. En tant qu'entreprise industrielle, les délais d'exploitation sont préoccupants : **délai clients de 213,72 jours** (risque trésorerie élevé), **durée de stockage de 214,65 jours** (immobilisation massive de capital) et **délai fournisseurs de 140,71 jours**. Le BFR s'élève à 11,529 Mds FCFA et la trésorerie nette est **négative de -11,528 Mds FCFA**, conséquence directe du versement de dividendes massifs en 2024 (18,6 Mds FCFA). L'autonomie financière reste correcte à **40,11%** (capitaux propres/total bilan), mais le ratio d'endettement de 97,6% et la capacité de remboursement de 11,49 années (dettes financières/CAF) pèsent sur la structure.</w:t>
      </w:r>
    </w:p>
    <w:p>
      <w:pPr>
        <w:spacing w:after="120" w:line="276" w:lineRule="auto"/>
      </w:pPr>
      <w:r>
        <w:t>**Estimations basées sur les rapports trimestriels** : Le rapport du **T1 2026 (publié le 08/07/2026)** fait état d'un chiffre d'affaires de **8 901 MFCFA**, en hausse spectaculaire de **+55%** sur un an, porté par la demande d'emballages cacao. Le résultat d'exploitation redevient positif à **+75 MFCFA** (contre -78 MFCFA au T1 2025), mais le résultat net reste déficitaire à **-154 MFCFA**. On estime donc que l'exercice 2026 pourrait afficher une poursuite de la croissance du CA (potentiellement +20 à +30% si la dynamique cacao se maintient), mais la rentabilité nette demeure incertaine : il faudrait au moins deux trimestres consécutifs de résultat net positif pour confirmer un retournement. Le rapport annuel 2025 (publié le 31/12/2025) confirme l'absence de dividende pour l'exercice 2025 (taux de distribution 0%), contre 2 000,67 FCFA/action versés en 2024 — un signal négatif pour les investisseurs de rendement. Le communiqué du **08/07/2026** rassure sur la continuité des activités malgré l'arrêt de la filature (interdiction d'exportation de jute par le Bangladesh), une solution alternative d'importation de fil ayant été mise en place.</w:t>
      </w:r>
    </w:p>
    <w:p>
      <w:pPr>
        <w:spacing w:after="120" w:line="276" w:lineRule="auto"/>
      </w:pPr>
      <w:r>
        <w:t>**Recommandation fondamentale** : La situation est celle d'un **retournement progressif mais fragile**. La croissance du CA (+55% au T1 2026) et le retour à un résultat d'exploitation positif sont encourageants, mais la perte nette persistante, la trésorerie négative et l'absence de dividende incitent à la prudence. Le profil est spéculatif : **CONSERVER** en attendant la confirmation d'une rentabilité nette durable.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tableau contrasté. **En valorisation (Partie 0)**, le PER de 60,5x et l'EV/EBITDA de 36,7x indiquent une **surévaluation manifeste** par rapport aux bénéfices actuels, bien que le P/B de 1,80x reste raisonnable. **Le comportement du cours (Partie 1)** est baissier (-8,88% sur 100 jours) avec une volatilité élevée (33,3%) et une distribution symétrique (skewness 0,318, kurtosis -0,749), sans risque extrême mais avec une tendance défavorable. **Les signaux techniques (Partie 2)** sont majoritairement baissiers (MACD en vente, cours sous les MM, RSI à 31,9), avec une divergence notable : seul le croisement MM20&gt;MM50 suggère un achat, mais il est contredit par le momentum. **Les fondamentaux (Partie 3)** montrent une entreprise en transition : CA en croissance (+55% au T1 2026), résultat d'exploitation redevenu positif, mais résultat net toujours négatif et trésorerie dégradée. **Les prédictions IA (J+1 à J+10)** anticipent une poursuite de la baisse jusqu'à 1 932 FCFA (soit -3,4% supplémentaires), ce qui **confirme la tendance baissière** et contredit l'unique signal d'achat technique.</w:t>
      </w:r>
    </w:p>
    <w:p>
      <w:pPr>
        <w:spacing w:after="120" w:line="276" w:lineRule="auto"/>
      </w:pPr>
      <w:r>
        <w:t>**Recommandation finale : CONSERVER** — avec un **niveau de confiance Moyen** et un **risque global Élevé**. La convergence entre la valorisation exigeante, la technique baissière, les fondamentaux fragiles et les prédictions IA négatives plaide contre un achat immédiat. Toutefois, le potentiel de redressement opérationnel (T1 2026) et la résilience démontrée face aux chocs (jute, fret) justifient de ne pas vendre précipitamment. **Horizon d'investissement optimal : moyen terme (3-12 mois)**, le temps que la rentabilité nette se confirme sur au moins deux trimestres consécutifs. Un passage à l'ACHAT serait justifié par : (1) deux trimestres de résultat net positif, (2) une clarification de la politique de dividende, et (3) un retour du cours au-dessus de la MM50 (2 071 FCFA). À l'inverse, une VENTE serait recommandée si le cours franchit à la baisse la borne inférieure de Bollinger (1 955 FCFA) avec confirmation du MACD négatif.</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79.60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4,734 titres</w:t>
            </w:r>
          </w:p>
        </w:tc>
        <w:tc>
          <w:tcPr>
            <w:tcW w:type="dxa" w:w="2268"/>
            <w:shd w:fill="FFF2CC" w:val="clear"/>
          </w:tcPr>
          <w:p>
            <w:r>
              <w:rPr>
                <w:b/>
                <w:color w:val="503200"/>
                <w:sz w:val="16"/>
              </w:rPr>
              <w:t xml:space="preserve">Cours actuel : </w:t>
            </w:r>
            <w:r>
              <w:rPr>
                <w:color w:val="000000"/>
                <w:sz w:val="17"/>
              </w:rPr>
              <w:t>3,980 FCFA</w:t>
            </w:r>
          </w:p>
          <w:p>
            <w:r>
              <w:rPr>
                <w:b/>
                <w:color w:val="503200"/>
                <w:sz w:val="16"/>
              </w:rPr>
              <w:t xml:space="preserve">Var. 100 jours : </w:t>
            </w:r>
            <w:r>
              <w:rPr>
                <w:b/>
                <w:color w:val="007800"/>
                <w:sz w:val="17"/>
              </w:rPr>
              <w:t>+2.71%</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41.4%</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4.70% (Faible) — μ=4,076 FCFA, σ=192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β=0.6628 (Défensif) — Cov=0.000046, Var(idx)=0.000069, ρ=0.211,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2026-09-28</w:t>
            </w:r>
          </w:p>
        </w:tc>
        <w:tc>
          <w:tcPr>
            <w:tcW w:type="dxa" w:w="1440"/>
            <w:shd w:fill="C6EFCE" w:val="clear"/>
          </w:tcPr>
          <w:p>
            <w:r>
              <w:rPr>
                <w:sz w:val="17"/>
              </w:rPr>
              <w:t>3,898</w:t>
            </w:r>
          </w:p>
        </w:tc>
        <w:tc>
          <w:tcPr>
            <w:tcW w:type="dxa" w:w="1440"/>
            <w:shd w:fill="C6EFCE" w:val="clear"/>
          </w:tcPr>
          <w:p>
            <w:r>
              <w:rPr>
                <w:b/>
                <w:sz w:val="17"/>
              </w:rPr>
              <w:t>4,073</w:t>
            </w:r>
          </w:p>
        </w:tc>
        <w:tc>
          <w:tcPr>
            <w:tcW w:type="dxa" w:w="1440"/>
            <w:shd w:fill="C6EFCE" w:val="clear"/>
          </w:tcPr>
          <w:p>
            <w:r>
              <w:rPr>
                <w:sz w:val="17"/>
              </w:rPr>
              <w:t>4,249</w:t>
            </w:r>
          </w:p>
        </w:tc>
        <w:tc>
          <w:tcPr>
            <w:tcW w:type="dxa" w:w="1440"/>
            <w:shd w:fill="C6EFCE" w:val="clear"/>
          </w:tcPr>
          <w:p>
            <w:r>
              <w:rPr>
                <w:b/>
                <w:color w:val="008000"/>
                <w:sz w:val="17"/>
              </w:rPr>
              <w:t>+2.3%</w:t>
            </w:r>
          </w:p>
        </w:tc>
      </w:tr>
      <w:tr>
        <w:tc>
          <w:tcPr>
            <w:tcW w:type="dxa" w:w="1440"/>
            <w:shd w:fill="C6EFCE" w:val="clear"/>
          </w:tcPr>
          <w:p>
            <w:r>
              <w:rPr>
                <w:sz w:val="17"/>
              </w:rPr>
              <w:t>J+2  Moyenne</w:t>
            </w:r>
          </w:p>
        </w:tc>
        <w:tc>
          <w:tcPr>
            <w:tcW w:type="dxa" w:w="1440"/>
            <w:shd w:fill="C6EFCE" w:val="clear"/>
          </w:tcPr>
          <w:p>
            <w:r>
              <w:rPr>
                <w:sz w:val="17"/>
              </w:rPr>
              <w:t>2026-09-29</w:t>
            </w:r>
          </w:p>
        </w:tc>
        <w:tc>
          <w:tcPr>
            <w:tcW w:type="dxa" w:w="1440"/>
            <w:shd w:fill="C6EFCE" w:val="clear"/>
          </w:tcPr>
          <w:p>
            <w:r>
              <w:rPr>
                <w:sz w:val="17"/>
              </w:rPr>
              <w:t>3,830</w:t>
            </w:r>
          </w:p>
        </w:tc>
        <w:tc>
          <w:tcPr>
            <w:tcW w:type="dxa" w:w="1440"/>
            <w:shd w:fill="C6EFCE" w:val="clear"/>
          </w:tcPr>
          <w:p>
            <w:r>
              <w:rPr>
                <w:b/>
                <w:sz w:val="17"/>
              </w:rPr>
              <w:t>4,078</w:t>
            </w:r>
          </w:p>
        </w:tc>
        <w:tc>
          <w:tcPr>
            <w:tcW w:type="dxa" w:w="1440"/>
            <w:shd w:fill="C6EFCE" w:val="clear"/>
          </w:tcPr>
          <w:p>
            <w:r>
              <w:rPr>
                <w:sz w:val="17"/>
              </w:rPr>
              <w:t>4,327</w:t>
            </w:r>
          </w:p>
        </w:tc>
        <w:tc>
          <w:tcPr>
            <w:tcW w:type="dxa" w:w="1440"/>
            <w:shd w:fill="C6EFCE" w:val="clear"/>
          </w:tcPr>
          <w:p>
            <w:r>
              <w:rPr>
                <w:b/>
                <w:color w:val="008000"/>
                <w:sz w:val="17"/>
              </w:rPr>
              <w:t>+2.5%</w:t>
            </w:r>
          </w:p>
        </w:tc>
      </w:tr>
      <w:tr>
        <w:tc>
          <w:tcPr>
            <w:tcW w:type="dxa" w:w="1440"/>
            <w:shd w:fill="C6EFCE" w:val="clear"/>
          </w:tcPr>
          <w:p>
            <w:r>
              <w:rPr>
                <w:sz w:val="17"/>
              </w:rPr>
              <w:t>J+3  Moyenne</w:t>
            </w:r>
          </w:p>
        </w:tc>
        <w:tc>
          <w:tcPr>
            <w:tcW w:type="dxa" w:w="1440"/>
            <w:shd w:fill="C6EFCE" w:val="clear"/>
          </w:tcPr>
          <w:p>
            <w:r>
              <w:rPr>
                <w:sz w:val="17"/>
              </w:rPr>
              <w:t>2026-09-30</w:t>
            </w:r>
          </w:p>
        </w:tc>
        <w:tc>
          <w:tcPr>
            <w:tcW w:type="dxa" w:w="1440"/>
            <w:shd w:fill="C6EFCE" w:val="clear"/>
          </w:tcPr>
          <w:p>
            <w:r>
              <w:rPr>
                <w:sz w:val="17"/>
              </w:rPr>
              <w:t>3,780</w:t>
            </w:r>
          </w:p>
        </w:tc>
        <w:tc>
          <w:tcPr>
            <w:tcW w:type="dxa" w:w="1440"/>
            <w:shd w:fill="C6EFCE" w:val="clear"/>
          </w:tcPr>
          <w:p>
            <w:r>
              <w:rPr>
                <w:b/>
                <w:sz w:val="17"/>
              </w:rPr>
              <w:t>4,085</w:t>
            </w:r>
          </w:p>
        </w:tc>
        <w:tc>
          <w:tcPr>
            <w:tcW w:type="dxa" w:w="1440"/>
            <w:shd w:fill="C6EFCE" w:val="clear"/>
          </w:tcPr>
          <w:p>
            <w:r>
              <w:rPr>
                <w:sz w:val="17"/>
              </w:rPr>
              <w:t>4,390</w:t>
            </w:r>
          </w:p>
        </w:tc>
        <w:tc>
          <w:tcPr>
            <w:tcW w:type="dxa" w:w="1440"/>
            <w:shd w:fill="C6EFCE" w:val="clear"/>
          </w:tcPr>
          <w:p>
            <w:r>
              <w:rPr>
                <w:b/>
                <w:color w:val="008000"/>
                <w:sz w:val="17"/>
              </w:rPr>
              <w:t>+2.6%</w:t>
            </w:r>
          </w:p>
        </w:tc>
      </w:tr>
      <w:tr>
        <w:tc>
          <w:tcPr>
            <w:tcW w:type="dxa" w:w="1440"/>
            <w:shd w:fill="C6EFCE" w:val="clear"/>
          </w:tcPr>
          <w:p>
            <w:r>
              <w:rPr>
                <w:sz w:val="17"/>
              </w:rPr>
              <w:t>J+4  ⭐</w:t>
            </w:r>
          </w:p>
        </w:tc>
        <w:tc>
          <w:tcPr>
            <w:tcW w:type="dxa" w:w="1440"/>
            <w:shd w:fill="C6EFCE" w:val="clear"/>
          </w:tcPr>
          <w:p>
            <w:r>
              <w:rPr>
                <w:sz w:val="17"/>
              </w:rPr>
              <w:t>2026-10-01</w:t>
            </w:r>
          </w:p>
        </w:tc>
        <w:tc>
          <w:tcPr>
            <w:tcW w:type="dxa" w:w="1440"/>
            <w:shd w:fill="C6EFCE" w:val="clear"/>
          </w:tcPr>
          <w:p>
            <w:r>
              <w:rPr>
                <w:sz w:val="17"/>
              </w:rPr>
              <w:t>3,737</w:t>
            </w:r>
          </w:p>
        </w:tc>
        <w:tc>
          <w:tcPr>
            <w:tcW w:type="dxa" w:w="1440"/>
            <w:shd w:fill="C6EFCE" w:val="clear"/>
          </w:tcPr>
          <w:p>
            <w:r>
              <w:rPr>
                <w:b/>
                <w:sz w:val="17"/>
              </w:rPr>
              <w:t>4,090</w:t>
            </w:r>
          </w:p>
        </w:tc>
        <w:tc>
          <w:tcPr>
            <w:tcW w:type="dxa" w:w="1440"/>
            <w:shd w:fill="C6EFCE" w:val="clear"/>
          </w:tcPr>
          <w:p>
            <w:r>
              <w:rPr>
                <w:sz w:val="17"/>
              </w:rPr>
              <w:t>4,442</w:t>
            </w:r>
          </w:p>
        </w:tc>
        <w:tc>
          <w:tcPr>
            <w:tcW w:type="dxa" w:w="1440"/>
            <w:shd w:fill="C6EFCE" w:val="clear"/>
          </w:tcPr>
          <w:p>
            <w:r>
              <w:rPr>
                <w:b/>
                <w:color w:val="008000"/>
                <w:sz w:val="17"/>
              </w:rPr>
              <w:t>+2.8%</w:t>
            </w:r>
          </w:p>
        </w:tc>
      </w:tr>
      <w:tr>
        <w:tc>
          <w:tcPr>
            <w:tcW w:type="dxa" w:w="1440"/>
            <w:shd w:fill="C6EFCE" w:val="clear"/>
          </w:tcPr>
          <w:p>
            <w:r>
              <w:rPr>
                <w:sz w:val="17"/>
              </w:rPr>
              <w:t>J+5  ⭐</w:t>
            </w:r>
          </w:p>
        </w:tc>
        <w:tc>
          <w:tcPr>
            <w:tcW w:type="dxa" w:w="1440"/>
            <w:shd w:fill="C6EFCE" w:val="clear"/>
          </w:tcPr>
          <w:p>
            <w:r>
              <w:rPr>
                <w:sz w:val="17"/>
              </w:rPr>
              <w:t>2026-10-02</w:t>
            </w:r>
          </w:p>
        </w:tc>
        <w:tc>
          <w:tcPr>
            <w:tcW w:type="dxa" w:w="1440"/>
            <w:shd w:fill="C6EFCE" w:val="clear"/>
          </w:tcPr>
          <w:p>
            <w:r>
              <w:rPr>
                <w:sz w:val="17"/>
              </w:rPr>
              <w:t>3,700</w:t>
            </w:r>
          </w:p>
        </w:tc>
        <w:tc>
          <w:tcPr>
            <w:tcW w:type="dxa" w:w="1440"/>
            <w:shd w:fill="C6EFCE" w:val="clear"/>
          </w:tcPr>
          <w:p>
            <w:r>
              <w:rPr>
                <w:b/>
                <w:sz w:val="17"/>
              </w:rPr>
              <w:t>4,095</w:t>
            </w:r>
          </w:p>
        </w:tc>
        <w:tc>
          <w:tcPr>
            <w:tcW w:type="dxa" w:w="1440"/>
            <w:shd w:fill="C6EFCE" w:val="clear"/>
          </w:tcPr>
          <w:p>
            <w:r>
              <w:rPr>
                <w:sz w:val="17"/>
              </w:rPr>
              <w:t>4,489</w:t>
            </w:r>
          </w:p>
        </w:tc>
        <w:tc>
          <w:tcPr>
            <w:tcW w:type="dxa" w:w="1440"/>
            <w:shd w:fill="C6EFCE" w:val="clear"/>
          </w:tcPr>
          <w:p>
            <w:r>
              <w:rPr>
                <w:b/>
                <w:color w:val="008000"/>
                <w:sz w:val="17"/>
              </w:rPr>
              <w:t>+2.9%</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3,690</w:t>
            </w:r>
          </w:p>
        </w:tc>
        <w:tc>
          <w:tcPr>
            <w:tcW w:type="dxa" w:w="1440"/>
            <w:shd w:fill="C6EFCE" w:val="clear"/>
          </w:tcPr>
          <w:p>
            <w:r>
              <w:rPr>
                <w:b/>
                <w:sz w:val="17"/>
              </w:rPr>
              <w:t>4,125</w:t>
            </w:r>
          </w:p>
        </w:tc>
        <w:tc>
          <w:tcPr>
            <w:tcW w:type="dxa" w:w="1440"/>
            <w:shd w:fill="C6EFCE" w:val="clear"/>
          </w:tcPr>
          <w:p>
            <w:r>
              <w:rPr>
                <w:sz w:val="17"/>
              </w:rPr>
              <w:t>4,561</w:t>
            </w:r>
          </w:p>
        </w:tc>
        <w:tc>
          <w:tcPr>
            <w:tcW w:type="dxa" w:w="1440"/>
            <w:shd w:fill="C6EFCE" w:val="clear"/>
          </w:tcPr>
          <w:p>
            <w:r>
              <w:rPr>
                <w:b/>
                <w:color w:val="008000"/>
                <w:sz w:val="17"/>
              </w:rPr>
              <w:t>+3.7%</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3,681</w:t>
            </w:r>
          </w:p>
        </w:tc>
        <w:tc>
          <w:tcPr>
            <w:tcW w:type="dxa" w:w="1440"/>
            <w:shd w:fill="C6EFCE" w:val="clear"/>
          </w:tcPr>
          <w:p>
            <w:r>
              <w:rPr>
                <w:b/>
                <w:sz w:val="17"/>
              </w:rPr>
              <w:t>4,155</w:t>
            </w:r>
          </w:p>
        </w:tc>
        <w:tc>
          <w:tcPr>
            <w:tcW w:type="dxa" w:w="1440"/>
            <w:shd w:fill="C6EFCE" w:val="clear"/>
          </w:tcPr>
          <w:p>
            <w:r>
              <w:rPr>
                <w:sz w:val="17"/>
              </w:rPr>
              <w:t>4,629</w:t>
            </w:r>
          </w:p>
        </w:tc>
        <w:tc>
          <w:tcPr>
            <w:tcW w:type="dxa" w:w="1440"/>
            <w:shd w:fill="C6EFCE" w:val="clear"/>
          </w:tcPr>
          <w:p>
            <w:r>
              <w:rPr>
                <w:b/>
                <w:color w:val="008000"/>
                <w:sz w:val="17"/>
              </w:rPr>
              <w:t>+4.4%</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3,651</w:t>
            </w:r>
          </w:p>
        </w:tc>
        <w:tc>
          <w:tcPr>
            <w:tcW w:type="dxa" w:w="1440"/>
            <w:shd w:fill="C6EFCE" w:val="clear"/>
          </w:tcPr>
          <w:p>
            <w:r>
              <w:rPr>
                <w:b/>
                <w:sz w:val="17"/>
              </w:rPr>
              <w:t>4,158</w:t>
            </w:r>
          </w:p>
        </w:tc>
        <w:tc>
          <w:tcPr>
            <w:tcW w:type="dxa" w:w="1440"/>
            <w:shd w:fill="C6EFCE" w:val="clear"/>
          </w:tcPr>
          <w:p>
            <w:r>
              <w:rPr>
                <w:sz w:val="17"/>
              </w:rPr>
              <w:t>4,665</w:t>
            </w:r>
          </w:p>
        </w:tc>
        <w:tc>
          <w:tcPr>
            <w:tcW w:type="dxa" w:w="1440"/>
            <w:shd w:fill="C6EFCE" w:val="clear"/>
          </w:tcPr>
          <w:p>
            <w:r>
              <w:rPr>
                <w:b/>
                <w:color w:val="008000"/>
                <w:sz w:val="17"/>
              </w:rPr>
              <w:t>+4.5%</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3,625</w:t>
            </w:r>
          </w:p>
        </w:tc>
        <w:tc>
          <w:tcPr>
            <w:tcW w:type="dxa" w:w="1440"/>
            <w:shd w:fill="C6EFCE" w:val="clear"/>
          </w:tcPr>
          <w:p>
            <w:r>
              <w:rPr>
                <w:b/>
                <w:sz w:val="17"/>
              </w:rPr>
              <w:t>4,163</w:t>
            </w:r>
          </w:p>
        </w:tc>
        <w:tc>
          <w:tcPr>
            <w:tcW w:type="dxa" w:w="1440"/>
            <w:shd w:fill="C6EFCE" w:val="clear"/>
          </w:tcPr>
          <w:p>
            <w:r>
              <w:rPr>
                <w:sz w:val="17"/>
              </w:rPr>
              <w:t>4,701</w:t>
            </w:r>
          </w:p>
        </w:tc>
        <w:tc>
          <w:tcPr>
            <w:tcW w:type="dxa" w:w="1440"/>
            <w:shd w:fill="C6EFCE" w:val="clear"/>
          </w:tcPr>
          <w:p>
            <w:r>
              <w:rPr>
                <w:b/>
                <w:color w:val="008000"/>
                <w:sz w:val="17"/>
              </w:rPr>
              <w:t>+4.6%</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3,597</w:t>
            </w:r>
          </w:p>
        </w:tc>
        <w:tc>
          <w:tcPr>
            <w:tcW w:type="dxa" w:w="1440"/>
            <w:shd w:fill="C6EFCE" w:val="clear"/>
          </w:tcPr>
          <w:p>
            <w:r>
              <w:rPr>
                <w:b/>
                <w:sz w:val="17"/>
              </w:rPr>
              <w:t>4,165</w:t>
            </w:r>
          </w:p>
        </w:tc>
        <w:tc>
          <w:tcPr>
            <w:tcW w:type="dxa" w:w="1440"/>
            <w:shd w:fill="C6EFCE" w:val="clear"/>
          </w:tcPr>
          <w:p>
            <w:r>
              <w:rPr>
                <w:sz w:val="17"/>
              </w:rPr>
              <w:t>4,733</w:t>
            </w:r>
          </w:p>
        </w:tc>
        <w:tc>
          <w:tcPr>
            <w:tcW w:type="dxa" w:w="1440"/>
            <w:shd w:fill="C6EFCE" w:val="clear"/>
          </w:tcPr>
          <w:p>
            <w:r>
              <w:rPr>
                <w:b/>
                <w:color w:val="008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79,60 milliards FCFA, LNBB se positionne comme une valeur de taille intermédiaire sur le compartiment des sociétés non-financières de la BRVM, offrant une liquidité correcte (volume moyen de 4 734 titres/jour). Le BPA de 231 FCFA/action signifie que chaque titre génère près de 231 FCFA de bénéfice net, ce qui, rapporté au cours actuel de 3 980 FCFA, donne un PER de 17,2x — nettement supérieur à la moyenne du marché BRVM (8-12x), traduisant une prime de qualité et de stabilité accordée par le marché. Le P/B de 3,63x indique que le marché valorise la société à plus de trois fois sa valeur comptable, ce qui est cohérent avec un ROE élevé (21,05%) mais laisse peu de marge de sécurité en cas de déception. Enfin, l'EV/EBITDA de 10,1x situe la valeur d'entreprise à environ dix fois la capacité opérationnelle, un niveau raisonnable mais qui intègre déjà les anticipations de redressement de la rentabilité.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LNBB affiche une progression modérée de +2,71%, avec une dernière séance quasi stable (+0,13%), le cours s'établissant à 3 980 FCFA. Le range de trading est relativement large, entre un plus bas de 3 700 FCFA et un plus haut de 4 560 FCFA, soit une amplitude de 23%, ce qui témoigne d'une certaine nervosité des investisseurs autour des publications trimestrielles. La tendance générale reste haussière mais fragile, le cours actuel se situant en dessous de sa moyenne (4 076 FCFA) et de sa médiane (4 050 FCFA), signe d'une pression vendeuse récente. Les statistiques descriptives révèlent une distribution quasi-symétrique (skewness de 0,448) et mésokurtique (kurtosis de -0,773), indiquant l'absence de pics extrêmes ou de biais directionnel marqué — un profil rassurant pour un investisseur recherchant de la stabilité. L'écart-type de 193 FCFA (CV de 4,7%) confirme une dispersion modérée du cours autour de sa moyenne, tandis que la volatilité annualisée de 41,4% classe le titre dans la catégorie des valeurs à volatilité élevée (&gt;30%), ce qui implique un risque de marché significatif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(3 996 FCFA) est légèrement supérieure au cours actuel (3 980 FCFA), tandis que la MM50 (4 129 FCFA) se situe nettement au-dessus, confirmant une configuration baissière de court terme. Le croisement baissier des moyennes (MM20 &lt; MM50) et la position du cours sous les deux moyennes justifient la décision technique de **Vente**.</w:t>
      </w:r>
    </w:p>
    <w:p>
      <w:pPr>
        <w:spacing w:after="120" w:line="276" w:lineRule="auto"/>
      </w:pPr>
      <w:r>
        <w:t>**Bandes de Bollinger** : Le cours (3 980 FCFA) évolue dans la partie inférieure de la bande, entre la borne inférieure (3 816 FCFA) et la borne supérieure (4 176 FCFA), sans franchir les extrêmes. Cette position médiane-basse, couplée à un rétrécissement des bandes, suggère une compression de volatilité et une possible consolidation avant un mouvement directionnel ; la décision est **Neutre**.</w:t>
      </w:r>
    </w:p>
    <w:p>
      <w:pPr>
        <w:spacing w:after="120" w:line="276" w:lineRule="auto"/>
      </w:pPr>
      <w:r>
        <w:t>**MACD** : La ligne MACD (-46,741) est légèrement inférieure à sa ligne de signal (-45,528), avec un histogramme négatif. Cette configuration baissière indique que le momentum reste négatif, bien que l'écart réduit entre les deux lignes suggère un essoufflement de la pression vendeuse ; la décision est **Vente**.</w:t>
      </w:r>
    </w:p>
    <w:p>
      <w:pPr>
        <w:spacing w:after="120" w:line="276" w:lineRule="auto"/>
      </w:pPr>
      <w:r>
        <w:t>**RSI** : À 53,03, le RSI se situe en zone neutre (30-70), sans signal de surachat (&gt;70) ni de survente (&lt;30). Cette valeur médiane reflète un équilibre entre acheteurs et vendeurs, sans force directionnelle claire ; la décision est **Neutre**.</w:t>
      </w:r>
    </w:p>
    <w:p>
      <w:pPr>
        <w:spacing w:after="120" w:line="276" w:lineRule="auto"/>
      </w:pPr>
      <w:r>
        <w:t>**Stochastique** : Le %K (70,0) est nettement supérieur au %D (46,25), avec un croisement haussier récent. Cette configuration suggère un rebond de court terme possible, mais le %K approchant la zone de surachat (80) limite le potentiel de hausse ; la décision reste **Neutre**.</w:t>
      </w:r>
    </w:p>
    <w:p>
      <w:pPr>
        <w:spacing w:after="120" w:line="276" w:lineRule="auto"/>
      </w:pPr>
      <w:r>
        <w:t>**Conclusion technique** : Les indicateurs sont majoritairement baissiers (MM, MACD) ou neutres (Bollinger, RSI, Stochastique), avec une absence de signal d'achat fort. Le titre évolue dans une zone de consolidation baissière, sous ses moyennes mobiles, et le momentum reste négatif malgré un léger rebond stochastique. La prudence est de mise à court terme, en attendant une cassure claire au-dessus de la MM20 (3 996 FCFA) pour envisager un retournement.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LNBB a réalisé un chiffre d'affaires de 98,598 milliards FCFA, en baisse de -3,85% par rapport à 2024, sous l'effet de la concurrence illégale. Le résultat net s'établit à 4,622 milliards FCFA, en recul de -35,6%, principalement dû à l'absence de produits exceptionnels (3,1 milliards FCFA en 2024). Malgré cette contraction, les fondamentaux opérationnels sont solides : la valeur ajoutée progresse de +22% à 10,548 milliards FCFA, l'EBE de +34% à 7,164 milliards FCFA, et le ROE atteint 21,05% (excellent, &gt;15%), tandis que le ROA de 14,17% confirme une bonne rentabilité des actifs. La structure financière est très saine : autonomie financière de 67,32%, ratio d'endettement de 2,57%, liquidité générale de 184,84%, et trésorerie nette positive de 7,979 milliards FCFA. Le BFR est négatif (217,45 millions FCFA), ce qui est favorable, et les délais clients (4,82 jours) et fournisseurs (20,41 jours) sont bien maîtrisés, avec une rotation des stocks très rapide (1,56 jour).</w:t>
      </w:r>
    </w:p>
    <w:p>
      <w:pPr>
        <w:spacing w:after="120" w:line="276" w:lineRule="auto"/>
      </w:pPr>
      <w:r>
        <w:t>**Estimations basées sur les rapports trimestriels** : Le rapport du T1 2026 (publié en 2026) indique un CA en hausse de +6% à 25,521 milliards FCFA, mais un résultat net en chute de -46% à 848 millions FCFA, en raison d'un mix produit défavorable (pari sportif à 95% de taux de retour). Le rapport du S1 2026 (publié en 2026) montre une amélioration : CA de 49,937 milliards FCFA (+4%), résultat net en hausse de +60% (grâce à la maîtrise des charges et aux partenariats), mais un produit brut des jeux en baisse de -9%. On estime donc que l'exercice 2026 devrait afficher un CA autour de 100-102 milliards FCFA, avec un résultat net en redressement significatif (potentiellement 5-6 milliards FCFA), porté par le déploiement de 1 500 nouveaux terminaux et le lancement de nouveaux produits. La politique de dividende reste généreuse : un dividende brut de 173 FCFA/action (net 164 FCFA) a été proposé pour 2025, soit un rendement de 4,3% au cours actuel.</w:t>
      </w:r>
    </w:p>
    <w:p>
      <w:pPr>
        <w:spacing w:after="120" w:line="276" w:lineRule="auto"/>
      </w:pPr>
      <w:r>
        <w:t>**Recommandation fondamentale** : La solidité financière (capitaux propres de 21,954 milliards FCFA, trésorerie nette positive) et les perspectives de redressement (S1 2026 : RN +60%) compensent la baisse du CA 2025. Les risques principaux restent la concurrence illégale, la dépendance au pari sportif à faible marge, et la pression réglementaire. La recommandation fondamentale est **CONSERVER**, avec un biais positif à moyen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exigeante : PER de 17,2x (supérieur à la moyenne BRVM), P/B de 3,63x, et EV/EBITDA de 10,1x, ce qui intègre déjà une prime de qualité et les anticipations de redressement. Le comportement du cours (Partie 1) est mitigé : tendance haussière fragile (+2,71%), volatilité élevée (41,4%), distribution symétrique mais cours sous les moyennes, ce qui n'incite pas à l'optimisme à court terme. Les signaux techniques (Partie 2) sont majoritairement baissiers (MM, MACD) ou neutres (Bollinger, RSI, Stochastique), sans convergence haussière claire. Les fondamentaux (Partie 3) sont solides : ROE de 21,05%, structure financière saine, et estimations de redressement du RN en 2026 (+60% au S1), mais la baisse du CA 2025 et la pression sur les marges restent préoccupantes. Les prédictions IA (J+1 à J+10) anticipent une légère hausse vers 4 073-4 095 FCFA, ce qui contredit partiellement les signaux techniques baissiers mais confirme la stabilité du titre. **Synthèse** : La convergence entre valorisation élevée, technique baissière et fondamentaux en redressement partiel plaide pour une **CONSERVER** avec un biais positif à moyen terme. Le niveau de confiance est **Moyen** (incertitude sur la pérennité du redressement), le risque global est **Moyen** (volatilité élevée mais fondamentaux solides), et l'horizon optimal est **moyen terme (3-12 mois)**, en attendant la confirmation du redressement au S2 2026 et l'impact des nouveaux produits sur les marges.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30.51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2,867 titres</w:t>
            </w:r>
          </w:p>
        </w:tc>
        <w:tc>
          <w:tcPr>
            <w:tcW w:type="dxa" w:w="2268"/>
            <w:shd w:fill="FFF2CC" w:val="clear"/>
          </w:tcPr>
          <w:p>
            <w:r>
              <w:rPr>
                <w:b/>
                <w:color w:val="503200"/>
                <w:sz w:val="16"/>
              </w:rPr>
              <w:t xml:space="preserve">Cours actuel : </w:t>
            </w:r>
            <w:r>
              <w:rPr>
                <w:color w:val="000000"/>
                <w:sz w:val="17"/>
              </w:rPr>
              <w:t>2,390 FCFA</w:t>
            </w:r>
          </w:p>
          <w:p>
            <w:r>
              <w:rPr>
                <w:b/>
                <w:color w:val="503200"/>
                <w:sz w:val="16"/>
              </w:rPr>
              <w:t xml:space="preserve">Var. 100 jours : </w:t>
            </w:r>
            <w:r>
              <w:rPr>
                <w:b/>
                <w:color w:val="007800"/>
                <w:sz w:val="17"/>
              </w:rPr>
              <w:t>+35.80%</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1,715 FCFA</w:t>
            </w:r>
          </w:p>
          <w:p>
            <w:r>
              <w:rPr>
                <w:b/>
                <w:color w:val="503200"/>
                <w:sz w:val="16"/>
              </w:rPr>
              <w:t xml:space="preserve">Volatilité ann. : </w:t>
            </w:r>
            <w:r>
              <w:rPr>
                <w:color w:val="000000"/>
                <w:sz w:val="17"/>
              </w:rPr>
              <w:t>54.2%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13.91% (Moyenne) — μ=2,277 FCFA, σ=317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β=0.0163 (Défensif) — Cov=0.000001, Var(idx)=0.000069, ρ=0.004,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2,867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σ_j=3.41%/j (Modérée) — Vol. annualisée≈54.2%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2,230</w:t>
            </w:r>
          </w:p>
        </w:tc>
        <w:tc>
          <w:tcPr>
            <w:tcW w:type="dxa" w:w="1440"/>
            <w:shd w:fill="FAFAFA" w:val="clear"/>
          </w:tcPr>
          <w:p>
            <w:r>
              <w:rPr>
                <w:b/>
                <w:sz w:val="17"/>
              </w:rPr>
              <w:t>2,385</w:t>
            </w:r>
          </w:p>
        </w:tc>
        <w:tc>
          <w:tcPr>
            <w:tcW w:type="dxa" w:w="1440"/>
            <w:shd w:fill="FAFAFA" w:val="clear"/>
          </w:tcPr>
          <w:p>
            <w:r>
              <w:rPr>
                <w:sz w:val="17"/>
              </w:rPr>
              <w:t>2,540</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2,156</w:t>
            </w:r>
          </w:p>
        </w:tc>
        <w:tc>
          <w:tcPr>
            <w:tcW w:type="dxa" w:w="1440"/>
            <w:shd w:fill="FAFAFA" w:val="clear"/>
          </w:tcPr>
          <w:p>
            <w:r>
              <w:rPr>
                <w:b/>
                <w:sz w:val="17"/>
              </w:rPr>
              <w:t>2,374</w:t>
            </w:r>
          </w:p>
        </w:tc>
        <w:tc>
          <w:tcPr>
            <w:tcW w:type="dxa" w:w="1440"/>
            <w:shd w:fill="FAFAFA" w:val="clear"/>
          </w:tcPr>
          <w:p>
            <w:r>
              <w:rPr>
                <w:sz w:val="17"/>
              </w:rPr>
              <w:t>2,593</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2,099</w:t>
            </w:r>
          </w:p>
        </w:tc>
        <w:tc>
          <w:tcPr>
            <w:tcW w:type="dxa" w:w="1440"/>
            <w:shd w:fill="FAFAFA" w:val="clear"/>
          </w:tcPr>
          <w:p>
            <w:r>
              <w:rPr>
                <w:b/>
                <w:sz w:val="17"/>
              </w:rPr>
              <w:t>2,365</w:t>
            </w:r>
          </w:p>
        </w:tc>
        <w:tc>
          <w:tcPr>
            <w:tcW w:type="dxa" w:w="1440"/>
            <w:shd w:fill="FAFAFA" w:val="clear"/>
          </w:tcPr>
          <w:p>
            <w:r>
              <w:rPr>
                <w:sz w:val="17"/>
              </w:rPr>
              <w:t>2,632</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2,050</w:t>
            </w:r>
          </w:p>
        </w:tc>
        <w:tc>
          <w:tcPr>
            <w:tcW w:type="dxa" w:w="1440"/>
            <w:shd w:fill="FAFAFA" w:val="clear"/>
          </w:tcPr>
          <w:p>
            <w:r>
              <w:rPr>
                <w:b/>
                <w:sz w:val="17"/>
              </w:rPr>
              <w:t>2,356</w:t>
            </w:r>
          </w:p>
        </w:tc>
        <w:tc>
          <w:tcPr>
            <w:tcW w:type="dxa" w:w="1440"/>
            <w:shd w:fill="FAFAFA" w:val="clear"/>
          </w:tcPr>
          <w:p>
            <w:r>
              <w:rPr>
                <w:sz w:val="17"/>
              </w:rPr>
              <w:t>2,663</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2,006</w:t>
            </w:r>
          </w:p>
        </w:tc>
        <w:tc>
          <w:tcPr>
            <w:tcW w:type="dxa" w:w="1440"/>
            <w:shd w:fill="FAFAFA" w:val="clear"/>
          </w:tcPr>
          <w:p>
            <w:r>
              <w:rPr>
                <w:b/>
                <w:sz w:val="17"/>
              </w:rPr>
              <w:t>2,348</w:t>
            </w:r>
          </w:p>
        </w:tc>
        <w:tc>
          <w:tcPr>
            <w:tcW w:type="dxa" w:w="1440"/>
            <w:shd w:fill="FAFAFA" w:val="clear"/>
          </w:tcPr>
          <w:p>
            <w:r>
              <w:rPr>
                <w:sz w:val="17"/>
              </w:rPr>
              <w:t>2,689</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1,966</w:t>
            </w:r>
          </w:p>
        </w:tc>
        <w:tc>
          <w:tcPr>
            <w:tcW w:type="dxa" w:w="1440"/>
            <w:shd w:fill="FFDCE0" w:val="clear"/>
          </w:tcPr>
          <w:p>
            <w:r>
              <w:rPr>
                <w:b/>
                <w:sz w:val="17"/>
              </w:rPr>
              <w:t>2,339</w:t>
            </w:r>
          </w:p>
        </w:tc>
        <w:tc>
          <w:tcPr>
            <w:tcW w:type="dxa" w:w="1440"/>
            <w:shd w:fill="FFDCE0" w:val="clear"/>
          </w:tcPr>
          <w:p>
            <w:r>
              <w:rPr>
                <w:sz w:val="17"/>
              </w:rPr>
              <w:t>2,712</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1,930</w:t>
            </w:r>
          </w:p>
        </w:tc>
        <w:tc>
          <w:tcPr>
            <w:tcW w:type="dxa" w:w="1440"/>
            <w:shd w:fill="FFDCE0" w:val="clear"/>
          </w:tcPr>
          <w:p>
            <w:r>
              <w:rPr>
                <w:b/>
                <w:sz w:val="17"/>
              </w:rPr>
              <w:t>2,332</w:t>
            </w:r>
          </w:p>
        </w:tc>
        <w:tc>
          <w:tcPr>
            <w:tcW w:type="dxa" w:w="1440"/>
            <w:shd w:fill="FFDCE0" w:val="clear"/>
          </w:tcPr>
          <w:p>
            <w:r>
              <w:rPr>
                <w:sz w:val="17"/>
              </w:rPr>
              <w:t>2,733</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1,896</w:t>
            </w:r>
          </w:p>
        </w:tc>
        <w:tc>
          <w:tcPr>
            <w:tcW w:type="dxa" w:w="1440"/>
            <w:shd w:fill="FFDCE0" w:val="clear"/>
          </w:tcPr>
          <w:p>
            <w:r>
              <w:rPr>
                <w:b/>
                <w:sz w:val="17"/>
              </w:rPr>
              <w:t>2,324</w:t>
            </w:r>
          </w:p>
        </w:tc>
        <w:tc>
          <w:tcPr>
            <w:tcW w:type="dxa" w:w="1440"/>
            <w:shd w:fill="FFDCE0" w:val="clear"/>
          </w:tcPr>
          <w:p>
            <w:r>
              <w:rPr>
                <w:sz w:val="17"/>
              </w:rPr>
              <w:t>2,752</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1,865</w:t>
            </w:r>
          </w:p>
        </w:tc>
        <w:tc>
          <w:tcPr>
            <w:tcW w:type="dxa" w:w="1440"/>
            <w:shd w:fill="FFDCE0" w:val="clear"/>
          </w:tcPr>
          <w:p>
            <w:r>
              <w:rPr>
                <w:b/>
                <w:sz w:val="17"/>
              </w:rPr>
              <w:t>2,317</w:t>
            </w:r>
          </w:p>
        </w:tc>
        <w:tc>
          <w:tcPr>
            <w:tcW w:type="dxa" w:w="1440"/>
            <w:shd w:fill="FFDCE0" w:val="clear"/>
          </w:tcPr>
          <w:p>
            <w:r>
              <w:rPr>
                <w:sz w:val="17"/>
              </w:rPr>
              <w:t>2,769</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1,835</w:t>
            </w:r>
          </w:p>
        </w:tc>
        <w:tc>
          <w:tcPr>
            <w:tcW w:type="dxa" w:w="1440"/>
            <w:shd w:fill="FFDCE0" w:val="clear"/>
          </w:tcPr>
          <w:p>
            <w:r>
              <w:rPr>
                <w:b/>
                <w:sz w:val="17"/>
              </w:rPr>
              <w:t>2,310</w:t>
            </w:r>
          </w:p>
        </w:tc>
        <w:tc>
          <w:tcPr>
            <w:tcW w:type="dxa" w:w="1440"/>
            <w:shd w:fill="FFDCE0" w:val="clear"/>
          </w:tcPr>
          <w:p>
            <w:r>
              <w:rPr>
                <w:sz w:val="17"/>
              </w:rPr>
              <w:t>2,786</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 RAPPORT D'ANALYSE FINANCIÈRE — NEIC (NEI-CEDA CI)</w:t>
        <w:br/>
        <w:t>**Bourse Régionale des Valeurs Mobilières (BRVM) — Secteur : Édition &amp; Diffusion**</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30,51 Mds FCFA, NEIC se positionne comme une valeur de taille moyenne sur le compartiment des sociétés non bancaires de la BRVM, ce qui la rend relativement liquide mais sensible aux mouvements de portefeuille. Le BPA de 160 FCFA/action signifie que chaque titre génère 160 FCFA de bénéfice net, ce qui, rapporté au cours actuel de 2 390 FCFA, donne un PER de 15,0x — soit une valorisation modérée mais nettement supérieure à la moyenne BRVM (~8-12x), traduisant une prime de croissance anticipée par le marché. Le P/B de 5,30x indique que le marché valorise NEIC à plus de cinq fois sa valeur comptable, une prime exigeante qui suppose une forte rentabilité future des fonds propres (cohérente avec le ROE de 35,4%). Enfin, l'EV/EBITDA de 22,3x apparaît très exigeant (&gt;15x), signalant que la valeur d'entreprise intègre déjà une bonne partie de la performance opérationnelle ; le titre n'offre donc pas de marge de sécurité évidente sur ces multiples.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NEIC affiche une performance remarquable de **+35,80%**, malgré un léger repli de **-0,42%** lors de la dernière séance (J-1), traduisant une consolidation après un fort rallye. Le titre a évolué dans un range très large, entre un plus bas de **1 715 FCFA** et un plus haut de **3 000 FCFA**, soit une amplitude de plus de 75% — signe d'une forte volatilité directionnelle. La tendance générale est donc nettement **haussière**, portée par un momentum acheteur soutenu. Les statistiques descriptives révèlent une moyenne de **2 277 FCFA** légèrement supérieure à la médiane (**2 262 FCFA**), avec un mode à **1 990 FCFA** : l'écart faible entre moyenne et médiane indique une distribution globalement équilibrée, mais le skewness positif de **0,701** confirme une asymétrie à droite (plus de journées sous la moyenne, mais quelques séances de forte hausse tirent la moyenne vers le haut). L'écart-type de **318 FCFA** (CV = 14,0%) traduit une dispersion modérée du cours autour de sa moyenne, tandis que le kurtosis de **0,079** (mésokurtique) suggère une distribution proche de la normale, sans risque extrême de pics anormaux. La **volatilité annualisée de 54,2%** classe le titre dans la catégorie **élevée** (&gt;30%), ce qui implique un risque de marché important et justifie une gestion prudente de la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(2 716 FCFA) et la MM50 (2 472 FCFA) se situent toutes deux au-dessus du cours actuel (2 390 FCFA), ce qui place le titre en position baissière à court terme par rapport à ses références. Cependant, la MM20 &gt; MM50 indique une structure haussière de fond, et la décision fournie (**Achat**) suggère que le repli actuel constitue une opportunité de rebond vers les moyennes.</w:t>
      </w:r>
    </w:p>
    <w:p>
      <w:pPr>
        <w:spacing w:after="120" w:line="276" w:lineRule="auto"/>
      </w:pPr>
      <w:r>
        <w:t>**Bandes de Bollinger** : Le cours (2 390 FCFA) évolue dans la partie basse de la bande, entre la borne inférieure (2 222 FCFA) et la borne supérieure (3 210 FCFA). Cette position proche du bas de bande, combinée à une largeur élevée (écart de près de 1 000 FCFA), traduit une forte volatilité. La décision **Neutre** reflète l'absence de signal directionnel clair, le cours n'ayant pas encore touché la borne inférieure qui constituerait un support technique.</w:t>
      </w:r>
    </w:p>
    <w:p>
      <w:pPr>
        <w:spacing w:after="120" w:line="276" w:lineRule="auto"/>
      </w:pPr>
      <w:r>
        <w:t>**MACD** : La valeur du MACD (-42,748) est inférieure à son signal (22,307), générant une divergence baissière classique. Le momentum est donc négatif à court terme, ce qui justifie la décision **Vente** de cet indicateur. Cette configuration suggère que la pression vendeuse reste présente malgré la tendance haussière de fond.</w:t>
      </w:r>
    </w:p>
    <w:p>
      <w:pPr>
        <w:spacing w:after="120" w:line="276" w:lineRule="auto"/>
      </w:pPr>
      <w:r>
        <w:t>**RSI** : À **28,623**, le RSI se situe en zone de **survente** (&lt;30), signalant que le titre a été excessivement vendu à court terme et qu'un rebond technique est probable. La décision **Achat** est cohérente avec cette lecture contrarienne, le marché ayant peut-être surréagi à la baisse récente.</w:t>
      </w:r>
    </w:p>
    <w:p>
      <w:pPr>
        <w:spacing w:after="120" w:line="276" w:lineRule="auto"/>
      </w:pPr>
      <w:r>
        <w:t>**Stochastique** : Le %K (16,514) et le %D (15,407) sont tous deux en zone basse (&lt;20), confirmant la survente. L'absence de croisement haussier immédiat (%K légèrement &gt; %D) suggère que le retournement n'est pas encore confirmé, mais la décision **Achat** anticipe un rebond prochain.</w:t>
      </w:r>
    </w:p>
    <w:p>
      <w:pPr>
        <w:spacing w:after="120" w:line="276" w:lineRule="auto"/>
      </w:pPr>
      <w:r>
        <w:t>**Conclusion technique** : Les indicateurs sont **divergents** : le MACD est baissier, tandis que le RSI et le Stochastique sont en survente (signaux d'achat contrariens), et les Bandes de Bollinger sont neutres. Cette configuration suggère un **rebond technique probable à court terme**, mais la prudence reste de mise tant que le MACD ne s'inverse pas. Le titre se trouve à un point d'inflexion où la survente pourrait déclencher un retour vers la MM20 (2 716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NEIC affiche un chiffre d'affaires de **5,139 Mds FCFA**, un résultat net de **2,037 Mds FCFA** (marge nette exceptionnelle de 39,6%), un ROE de **35,39%** (excellent, &gt;15%) et un ROA de **27,25%**. Ces performances sont toutefois à nuancer : le taux de croissance du CA est de **-23,80%**, signalant une contraction de l'activité commerciale. La structure financière est très saine (autonomie financière de 77,0%, solvabilité générale de 435%, liquidité générale de 448,9%), et le BFR de 1,498 Md FCFA reste maîtrisé. Les délais d'exploitation révèlent un **délai client élevé de 154,72 jours** (risque de trésorerie), compensé par un délai fournisseur de 69,56 jours et une durée de stockage de 54,49 jours.</w:t>
      </w:r>
    </w:p>
    <w:p>
      <w:pPr>
        <w:spacing w:after="120" w:line="276" w:lineRule="auto"/>
      </w:pPr>
      <w:r>
        <w:t>**Analyse sectorielle (entreprise non bancaire)** : Le point critique réside dans la **contraction du CA (-23,8%)** et le **flux opérationnel négatif (-527,07 M FCFA)**, malgré une CAF positive de 2,088 Mds FCFA. Le Free Cash Flow est négatif (-565,91 M FCFA), ce qui interroge sur la capacité de l'entreprise à financer sa croissance sans recourir à l'endettement. La trésorerie nette reste confortable à 4,196 Mds FCFA, mais la dépendance à des éléments non récurrents est préoccupante.</w:t>
      </w:r>
    </w:p>
    <w:p>
      <w:pPr>
        <w:spacing w:after="120" w:line="276" w:lineRule="auto"/>
      </w:pPr>
      <w:r>
        <w:t>**Estimations basées sur les rapports trimestriels** : Le rapport du **T3 2025 (30/09/2025)** indique un CA de 3 406 M FCFA (-35% sur un an) et un résultat net de 1 596 M FCFA (+125%), mais ce bénéfice est **entièrement dû à la reprise d'une provision pour redressement fiscal** (élément non récurrent). Hors cet effet, la performance opérationnelle serait alignée sur le résultat d'exploitation (marge opérationnelle de 18,4%, en baisse). Le rapport du **T1 2026** montre une reprise du CA (+137% à 115,1 M FCFA) mais une perte nette persistante de -168,9 M FCFA, avec un résultat d'exploitation toujours négatif (-271,5 M FCFA). Le rapport annuel 2025 (publié en 2026) confirme un résultat net de 2,04 Mds FCFA et propose un dividende de 2,04 Mds FCFA (100% du résultat), ce qui limite la capacité d'autofinancement. **On estime donc que l'exercice 2026 devrait bénéficier d'une base de comparaison favorable au T1 (+137% de CA), mais la rentabilité opérationnelle reste fragile et dépendante d'éléments exceptionnels.**</w:t>
      </w:r>
    </w:p>
    <w:p>
      <w:pPr>
        <w:spacing w:after="120" w:line="276" w:lineRule="auto"/>
      </w:pPr>
      <w:r>
        <w:t>**Recommandation fondamentale** : La solidité financière (ROE élevé, trésorerie confortable, faible endettement) contraste avec la **fragilité opérationnelle** (CA en baisse, flux opérationnel négatif, dépendance aux éléments non récurrents). Le titre est fondamentalement **correctement valorisé** mais présente un risque de déception si la reprise commerciale ne se matérialise pas.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contrasté**. La **valorisation (Partie 0)** est exigeante (PER 15x, P/B 5,3x, EV/EBITDA 22,3x), ce qui limite le potentiel de réévaluation à court terme. Le **comportement du cours (Partie 1)** est haussier sur 100 jours (+35,8%) mais avec une volatilité élevée (54,2%) et un skewness positif (0,701) indiquant une asymétrie à droite — favorable aux acheteurs mais risqué. Les **signaux techniques (Partie 2)** sont divergents : survente (RSI 28,6, Stochastique 16,5) suggérant un rebond, mais MACD baissier et cours sous les MM20/MM50. Les **fondamentaux (Partie 3)** montrent une rentabilité exceptionnelle (ROE 35,4%) mais une contraction du CA (-23,8%) et un flux opérationnel négatif, avec une dépendance aux éléments non récurrents. Les **prédictions IA (J+1 à J+10)** anticipent une légère baisse (2 385 → 2 348 FCFA), ce qui **contredit** les signaux de survente et suggère que le rebond technique n'est pas encore enclenché.</w:t>
      </w:r>
    </w:p>
    <w:p>
      <w:pPr>
        <w:spacing w:after="120" w:line="276" w:lineRule="auto"/>
      </w:pPr>
      <w:r>
        <w:t>**Recommandation finale : CONSERVER** — Justification : la convergence entre valorisation exigeante, technique divergente et fondamentaux mitigés ne plaide ni pour un achat agressif ni pour une vente. Le titre offre une opportunité de rebond technique à court terme (survente), mais les risques opérationnels (CA en baisse, flux négatif) et la valorisation tendue limitent le potentiel. **Niveau de confiance : Moyen** (les signaux contradictoires réduisent la visibilité). **Niveau de risque global : Élevé** (volatilité 54,2%, dépendance aux éléments non récurrents). **Horizon d'investissement optimal : Moyen terme (3-12 mois)**, en attendant la confirmation d'une reprise durable du chiffre d'affaires et d'une amélioration du flux opérationnel. Un passage à **ACHAT** serait justifié si le CA se stabilise et que le MACD s'inverse à la hausse ; une **VENTE** serait envisageable si le cours casse le support des 2 222 FCFA (borne inférieure de Bollinger).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556.53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2,778 titres</w:t>
            </w:r>
          </w:p>
        </w:tc>
        <w:tc>
          <w:tcPr>
            <w:tcW w:type="dxa" w:w="2268"/>
            <w:shd w:fill="FFF2CC" w:val="clear"/>
          </w:tcPr>
          <w:p>
            <w:r>
              <w:rPr>
                <w:b/>
                <w:color w:val="503200"/>
                <w:sz w:val="16"/>
              </w:rPr>
              <w:t xml:space="preserve">Cours actuel : </w:t>
            </w:r>
            <w:r>
              <w:rPr>
                <w:color w:val="000000"/>
                <w:sz w:val="17"/>
              </w:rPr>
              <w:t>22,500 FCFA</w:t>
            </w:r>
          </w:p>
          <w:p>
            <w:r>
              <w:rPr>
                <w:b/>
                <w:color w:val="503200"/>
                <w:sz w:val="16"/>
              </w:rPr>
              <w:t xml:space="preserve">Var. 100 jours : </w:t>
            </w:r>
            <w:r>
              <w:rPr>
                <w:b/>
                <w:color w:val="007800"/>
                <w:sz w:val="17"/>
              </w:rPr>
              <w:t>+50.60%</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42.2%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14.35% (Moyenne) — μ=20,848 FCFA, σ=2,992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β=1.5930 (Agressif) — Cov=0.000110, Var(idx)=0.000069, ρ=0.497,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2,778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21,450</w:t>
            </w:r>
          </w:p>
        </w:tc>
        <w:tc>
          <w:tcPr>
            <w:tcW w:type="dxa" w:w="1440"/>
            <w:shd w:fill="FAFAFA" w:val="clear"/>
          </w:tcPr>
          <w:p>
            <w:r>
              <w:rPr>
                <w:b/>
                <w:sz w:val="17"/>
              </w:rPr>
              <w:t>22,405</w:t>
            </w:r>
          </w:p>
        </w:tc>
        <w:tc>
          <w:tcPr>
            <w:tcW w:type="dxa" w:w="1440"/>
            <w:shd w:fill="FAFAFA" w:val="clear"/>
          </w:tcPr>
          <w:p>
            <w:r>
              <w:rPr>
                <w:sz w:val="17"/>
              </w:rPr>
              <w:t>23,359</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21,061</w:t>
            </w:r>
          </w:p>
        </w:tc>
        <w:tc>
          <w:tcPr>
            <w:tcW w:type="dxa" w:w="1440"/>
            <w:shd w:fill="FAFAFA" w:val="clear"/>
          </w:tcPr>
          <w:p>
            <w:r>
              <w:rPr>
                <w:b/>
                <w:sz w:val="17"/>
              </w:rPr>
              <w:t>22,411</w:t>
            </w:r>
          </w:p>
        </w:tc>
        <w:tc>
          <w:tcPr>
            <w:tcW w:type="dxa" w:w="1440"/>
            <w:shd w:fill="FAFAFA" w:val="clear"/>
          </w:tcPr>
          <w:p>
            <w:r>
              <w:rPr>
                <w:sz w:val="17"/>
              </w:rPr>
              <w:t>23,761</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20,764</w:t>
            </w:r>
          </w:p>
        </w:tc>
        <w:tc>
          <w:tcPr>
            <w:tcW w:type="dxa" w:w="1440"/>
            <w:shd w:fill="FAFAFA" w:val="clear"/>
          </w:tcPr>
          <w:p>
            <w:r>
              <w:rPr>
                <w:b/>
                <w:sz w:val="17"/>
              </w:rPr>
              <w:t>22,419</w:t>
            </w:r>
          </w:p>
        </w:tc>
        <w:tc>
          <w:tcPr>
            <w:tcW w:type="dxa" w:w="1440"/>
            <w:shd w:fill="FAFAFA" w:val="clear"/>
          </w:tcPr>
          <w:p>
            <w:r>
              <w:rPr>
                <w:sz w:val="17"/>
              </w:rPr>
              <w:t>24,073</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20,521</w:t>
            </w:r>
          </w:p>
        </w:tc>
        <w:tc>
          <w:tcPr>
            <w:tcW w:type="dxa" w:w="1440"/>
            <w:shd w:fill="FAFAFA" w:val="clear"/>
          </w:tcPr>
          <w:p>
            <w:r>
              <w:rPr>
                <w:b/>
                <w:sz w:val="17"/>
              </w:rPr>
              <w:t>22,432</w:t>
            </w:r>
          </w:p>
        </w:tc>
        <w:tc>
          <w:tcPr>
            <w:tcW w:type="dxa" w:w="1440"/>
            <w:shd w:fill="FAFAFA" w:val="clear"/>
          </w:tcPr>
          <w:p>
            <w:r>
              <w:rPr>
                <w:sz w:val="17"/>
              </w:rPr>
              <w:t>24,344</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20,306</w:t>
            </w:r>
          </w:p>
        </w:tc>
        <w:tc>
          <w:tcPr>
            <w:tcW w:type="dxa" w:w="1440"/>
            <w:shd w:fill="FAFAFA" w:val="clear"/>
          </w:tcPr>
          <w:p>
            <w:r>
              <w:rPr>
                <w:b/>
                <w:sz w:val="17"/>
              </w:rPr>
              <w:t>22,444</w:t>
            </w:r>
          </w:p>
        </w:tc>
        <w:tc>
          <w:tcPr>
            <w:tcW w:type="dxa" w:w="1440"/>
            <w:shd w:fill="FAFAFA" w:val="clear"/>
          </w:tcPr>
          <w:p>
            <w:r>
              <w:rPr>
                <w:sz w:val="17"/>
              </w:rPr>
              <w:t>24,582</w:t>
            </w:r>
          </w:p>
        </w:tc>
        <w:tc>
          <w:tcPr>
            <w:tcW w:type="dxa" w:w="1440"/>
            <w:shd w:fill="FAFAFA" w:val="clear"/>
          </w:tcPr>
          <w:p>
            <w:r>
              <w:rPr>
                <w:b/>
                <w:color w:val="C00000"/>
                <w:sz w:val="17"/>
              </w:rPr>
              <w:t>-0.2%</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20,111</w:t>
            </w:r>
          </w:p>
        </w:tc>
        <w:tc>
          <w:tcPr>
            <w:tcW w:type="dxa" w:w="1440"/>
            <w:shd w:fill="FAFAFA" w:val="clear"/>
          </w:tcPr>
          <w:p>
            <w:r>
              <w:rPr>
                <w:b/>
                <w:sz w:val="17"/>
              </w:rPr>
              <w:t>22,454</w:t>
            </w:r>
          </w:p>
        </w:tc>
        <w:tc>
          <w:tcPr>
            <w:tcW w:type="dxa" w:w="1440"/>
            <w:shd w:fill="FAFAFA" w:val="clear"/>
          </w:tcPr>
          <w:p>
            <w:r>
              <w:rPr>
                <w:sz w:val="17"/>
              </w:rPr>
              <w:t>24,797</w:t>
            </w:r>
          </w:p>
        </w:tc>
        <w:tc>
          <w:tcPr>
            <w:tcW w:type="dxa" w:w="1440"/>
            <w:shd w:fill="FAFAFA" w:val="clear"/>
          </w:tcPr>
          <w:p>
            <w:r>
              <w:rPr>
                <w:b/>
                <w:color w:val="C00000"/>
                <w:sz w:val="17"/>
              </w:rPr>
              <w:t>-0.2%</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19,931</w:t>
            </w:r>
          </w:p>
        </w:tc>
        <w:tc>
          <w:tcPr>
            <w:tcW w:type="dxa" w:w="1440"/>
            <w:shd w:fill="FAFAFA" w:val="clear"/>
          </w:tcPr>
          <w:p>
            <w:r>
              <w:rPr>
                <w:b/>
                <w:sz w:val="17"/>
              </w:rPr>
              <w:t>22,463</w:t>
            </w:r>
          </w:p>
        </w:tc>
        <w:tc>
          <w:tcPr>
            <w:tcW w:type="dxa" w:w="1440"/>
            <w:shd w:fill="FAFAFA" w:val="clear"/>
          </w:tcPr>
          <w:p>
            <w:r>
              <w:rPr>
                <w:sz w:val="17"/>
              </w:rPr>
              <w:t>24,994</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19,763</w:t>
            </w:r>
          </w:p>
        </w:tc>
        <w:tc>
          <w:tcPr>
            <w:tcW w:type="dxa" w:w="1440"/>
            <w:shd w:fill="FAFAFA" w:val="clear"/>
          </w:tcPr>
          <w:p>
            <w:r>
              <w:rPr>
                <w:b/>
                <w:sz w:val="17"/>
              </w:rPr>
              <w:t>22,471</w:t>
            </w:r>
          </w:p>
        </w:tc>
        <w:tc>
          <w:tcPr>
            <w:tcW w:type="dxa" w:w="1440"/>
            <w:shd w:fill="FAFAFA" w:val="clear"/>
          </w:tcPr>
          <w:p>
            <w:r>
              <w:rPr>
                <w:sz w:val="17"/>
              </w:rPr>
              <w:t>25,178</w:t>
            </w:r>
          </w:p>
        </w:tc>
        <w:tc>
          <w:tcPr>
            <w:tcW w:type="dxa" w:w="1440"/>
            <w:shd w:fill="FAFAFA" w:val="clear"/>
          </w:tcPr>
          <w:p>
            <w:r>
              <w:rPr>
                <w:b/>
                <w:color w:val="C00000"/>
                <w:sz w:val="17"/>
              </w:rPr>
              <w:t>-0.1%</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19,605</w:t>
            </w:r>
          </w:p>
        </w:tc>
        <w:tc>
          <w:tcPr>
            <w:tcW w:type="dxa" w:w="1440"/>
            <w:shd w:fill="FAFAFA" w:val="clear"/>
          </w:tcPr>
          <w:p>
            <w:r>
              <w:rPr>
                <w:b/>
                <w:sz w:val="17"/>
              </w:rPr>
              <w:t>22,478</w:t>
            </w:r>
          </w:p>
        </w:tc>
        <w:tc>
          <w:tcPr>
            <w:tcW w:type="dxa" w:w="1440"/>
            <w:shd w:fill="FAFAFA" w:val="clear"/>
          </w:tcPr>
          <w:p>
            <w:r>
              <w:rPr>
                <w:sz w:val="17"/>
              </w:rPr>
              <w:t>25,351</w:t>
            </w:r>
          </w:p>
        </w:tc>
        <w:tc>
          <w:tcPr>
            <w:tcW w:type="dxa" w:w="1440"/>
            <w:shd w:fill="FAFAFA" w:val="clear"/>
          </w:tcPr>
          <w:p>
            <w:r>
              <w:rPr>
                <w:b/>
                <w:color w:val="C00000"/>
                <w:sz w:val="17"/>
              </w:rPr>
              <w:t>-0.1%</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19,456</w:t>
            </w:r>
          </w:p>
        </w:tc>
        <w:tc>
          <w:tcPr>
            <w:tcW w:type="dxa" w:w="1440"/>
            <w:shd w:fill="FAFAFA" w:val="clear"/>
          </w:tcPr>
          <w:p>
            <w:r>
              <w:rPr>
                <w:b/>
                <w:sz w:val="17"/>
              </w:rPr>
              <w:t>22,486</w:t>
            </w:r>
          </w:p>
        </w:tc>
        <w:tc>
          <w:tcPr>
            <w:tcW w:type="dxa" w:w="1440"/>
            <w:shd w:fill="FAFAFA" w:val="clear"/>
          </w:tcPr>
          <w:p>
            <w:r>
              <w:rPr>
                <w:sz w:val="17"/>
              </w:rPr>
              <w:t>25,515</w:t>
            </w:r>
          </w:p>
        </w:tc>
        <w:tc>
          <w:tcPr>
            <w:tcW w:type="dxa" w:w="1440"/>
            <w:shd w:fill="FAFAFA" w:val="clear"/>
          </w:tcPr>
          <w:p>
            <w:r>
              <w:rPr>
                <w:b/>
                <w:color w:val="C00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NSBC (NSIA Banque Côte d'Ivoire)**</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556,53 milliards FCFA, NSBC s'impose comme l'une des valeurs bancaires les plus importantes de la BRVM, ce qui témoigne de sa liquidité relative et de son poids dans l'indice sectoriel. Le BPA de 1 646 FCFA/action signifie que chaque titre génère près de 1 646 FCFA de bénéfice net, un niveau élevé qui traduit la forte rentabilité de la banque. Le PER de 13,7x se situe légèrement au-dessus de la moyenne du marché BRVM (8-12x), indiquant que les investisseurs paient une prime modérée pour cette valeur de croissance, sans toutefois tomber dans une surévaluation excessive. Le P/B de 2,39x montre que le marché valorise NSBC à plus du double de sa valeur comptable, ce qui est cohérent avec une banque affichant un ROE de 17,45% et des perspectives de croissance solides. En revanche, l'EV/EBITDA de 21,2x apparaît très exigeant (seuil d'alerte &gt;15x), suggérant que la valeur d'entreprise intègre déjà une bonne partie des anticipations de croissance future, ce qui limite la marge de sécurité pour un nouvel investisseur.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NSBC a enregistré une progression spectaculaire de +50,60%, avec une dernière séance en hausse de +2,83%, confirmant une dynamique haussière robuste. Le cours actuel de 22 500 FCFA se situe dans la partie haute du range de trading, le plus haut ayant atteint 24 885 FCFA contre un plus bas de 13 810 FCFA, soit une amplitude de plus de 80% qui témoigne d'une forte volatilité directionnelle. La moyenne de 20 848 FCFA est inférieure à la médiane de 21 915 FCFA, ce qui indique une asymétrie négative : les journées de forte hausse ont tiré la médiane vers le haut, mais quelques journées de correction ont abaissé la moyenne — cohérent avec le skewness de -0,822 signalant davantage de journées au-dessus de la moyenne. L'écart-type de 3 007 FCFA (CV = 14,4%) traduit une dispersion modérée autour de la moyenne, tandis que le kurtosis de -0,171 (mésokurtique) indique une distribution proche de la normale, sans risque excessif de pics extrêmes. La volatilité annualisée de 42,2% classe ce titre dans la catégorie des valeurs à volatilité élevée (&gt;30%), ce qui implique un potentiel de gain attractif mais aussi un risque de correction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(23 536,75 FCFA) et la MM50 (23 289,80 FCFA) se situent toutes deux au-dessus du cours actuel (22 500 FCFA), ce qui place le titre en position de repli sous ses moyennes court et moyen terme. Toutefois, la MM20 étant supérieure à la MM50, la configuration reste haussière de fond, et la décision « Achat » suggère que le repli actuel constitue une opportunité d'entrée dans la tendance.</w:t>
      </w:r>
    </w:p>
    <w:p>
      <w:pPr>
        <w:spacing w:after="120" w:line="276" w:lineRule="auto"/>
      </w:pPr>
      <w:r>
        <w:t>**Bandes de Bollinger** : Le cours (22 500 FCFA) évolue dans la partie basse de la bande, entre la borne inférieure (21 367,01 FCFA) et la borne supérieure (25 706,49 FCFA), sans atteindre les extrêmes. Cette position médiane-basse, combinée à une décision « Neutre », indique une absence de signal directionnel fort à court terme, le marché attendant un catalyseur pour choisir sa direction.</w:t>
      </w:r>
    </w:p>
    <w:p>
      <w:pPr>
        <w:spacing w:after="120" w:line="276" w:lineRule="auto"/>
      </w:pPr>
      <w:r>
        <w:t>**MACD** : La valeur du MACD (-191,603) est nettement inférieure à son signal (117,473), générant une divergence baissière et une décision « Vente ». Ce croisement négatif signale un essoufflement du momentum haussier à court terme, bien que l'amplitude reste modérée et puisse se résorber rapidement si le cours rebondit sur ses supports.</w:t>
      </w:r>
    </w:p>
    <w:p>
      <w:pPr>
        <w:spacing w:after="120" w:line="276" w:lineRule="auto"/>
      </w:pPr>
      <w:r>
        <w:t>**RSI** : À 33,357, le RSI se situe juste au-dessus du seuil de survente (30), avec une décision « Neutre ». Cette valeur indique que le titre n'est pas encore survendu mais s'en approche, ce qui pourrait attirer des acheteurs à contre-tendance et limiter la baisse à court terme.</w:t>
      </w:r>
    </w:p>
    <w:p>
      <w:pPr>
        <w:spacing w:after="120" w:line="276" w:lineRule="auto"/>
      </w:pPr>
      <w:r>
        <w:t>**Stochastique** : Le %K (45,664) est supérieur au %D (23,944), avec une décision « Neutre ». Ce croisement haussier naissant suggère une possible reprise du momentum, mais la faiblesse du %D indique que la pression vendeuse reste présente et qu'une confirmation est nécessaire avant d'agir.</w:t>
      </w:r>
    </w:p>
    <w:p>
      <w:pPr>
        <w:spacing w:after="120" w:line="276" w:lineRule="auto"/>
      </w:pPr>
      <w:r>
        <w:t>**Conclusion technique** : Les indicateurs présentent un tableau mitigé — les moyennes mobiles restent haussières de fond, le RSI et le stochastique suggèrent un potentiel rebond, mais le MACD en divergence baissière et la position neutre des Bollinger appellent à la prudence. La convergence des signaux pointe vers une phase de consolidation avant une reprise potentielle, avec un support clé à surveiller autour de 21 367 FCFA (borne inférieure de Bollinger).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NSIA Banque Côte d'Ivoire affiche un Produit Net Bancaire (PNB) de 112,928 milliards FCFA, en progression de +15,4% sur un an, porté par une marge d'intérêts en hausse de +26% à 79,8 milliards FCFA. Le résultat net s'établit à 40,712 milliards FCFA, en croissance de +7% par rapport à 2024, avec une marge nette élevée de 36,05% et un ROE de 17,45% — supérieur au seuil d'excellence de 15% — tandis que le ROA de 1,32% reste conforme aux standards bancaires. Le coefficient d'exploitation de 54,59% (contre 59,9% au S1 2025) confirme une nette amélioration de l'efficacité opérationnelle, se situant sous le seuil de 60% qui distingue les banques efficaces. Cependant, le coût du risque s'est fortement dégradé, passant de +0,6 milliard FCFA (reprise) en 2024 à -8,5 milliards FCFA (dotation) en 2025, ce qui a pesé sur la rentabilité nette et constitue le principal point de vigilance. La structure financière reste solide avec des dépôts clientèle de 2 242,218 milliards FCFA (en hausse de +32%) et des créances clientèle de 1 818,671 milliards FCFA (+18%), générant un ratio dépôts/crédits de 123%, bien au-dessus du plafond réglementaire de 80%, ce qui témoigne d'une surliquidité confortable. Sur la base du rapport T1 2026 (publié en 2026), le PNB a bondi de +28% à 28,615 milliards FCFA et le résultat net de +53% à 10,912 milliards FCFA, avec une marge nette de 38,1%, ce qui permet d'estimer que l'exercice 2026 devrait afficher une nouvelle accélération de la rentabilité, sous réserve de la confirmation de la maîtrise du coût du risque. Les rapports antérieurs (T3 2025, S1 2025, T1 2025) confirment une trajectoire de croissance régulière et une amélioration continue de l'efficacité opérationnelle, tandis que le rapport annuel 2024 (publié en 2024) soulignait déjà une santé financière robuste avec un ROE de 18% et un coût du risque positif. La recommandation fondamentale est donc positive : NSBC présente une solidité financière avérée, une croissance soutenue et des perspectives favorables, mais l'investisseur doit surveiller l'évolution du coût du risque et la dépendance croissante aux revenus de l'activité « titres », plus volatils.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NSBC (PER 13,7x, P/B 2,39x, EV/EBITDA 21,2x) indique une valeur correctement valorisée, voire légèrement chère sur la base de l'EV/EBITDA, mais justifiée par un ROE de 17,45% et une croissance du PNB de +15,4% en 2025. Le comportement du cours sur 100 jours (+50,60%) est exceptionnellement haussier, mais la volatilité annualisée de 42,2% et le skewness négatif (-0,822) suggèrent que le titre a connu des corrections brutales, ce qui appelle à la prudence pour les investisseurs averses au risque. Les signaux techniques sont mitigés : les moyennes mobiles restent haussières, le RSI proche de la survente et le stochastique amorcent un rebond, mais le MACD en divergence baissière tempère l'optimisme à court terme. Les fondamentaux sont solides, avec un PNB de 112,9 milliards FCFA et un résultat net de 40,7 milliards FCFA en 2025, et les estimations basées sur le T1 2026 (PNB +28%, résultat net +53%) laissent présager une année 2026 encore plus dynamique. Les prédictions IA (J+1 à J+10) tablent sur une stabilisation autour de 22 405-22 444 FCFA, ce qui confirme l'absence de signal directionnel fort à court terme et suggère une consolidation avant une reprise potentielle. Sur la base de cette synthèse, la recommandation est **CONSERVER** avec un niveau de confiance **Moyen** et un risque global **Moyen** : les investisseurs déjà positionnés peuvent profiter de la dynamique fondamentale et des perspectives de croissance, tandis que les nouveaux entrants devraient attendre une confirmation technique (rebond sur support ou cassure de la résistance des 23 500 FCFA) avant d'investir. L'horizon d'investissement optimal est le **moyen terme (3-12 mois)**, le temps que les effets de la croissance du T1 2026 se matérialisent dans les résultats semestriels et que le coût du risque soit stabilisé.</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337.68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1,298 titres</w:t>
            </w:r>
          </w:p>
        </w:tc>
        <w:tc>
          <w:tcPr>
            <w:tcW w:type="dxa" w:w="2268"/>
            <w:shd w:fill="FFF2CC" w:val="clear"/>
          </w:tcPr>
          <w:p>
            <w:r>
              <w:rPr>
                <w:b/>
                <w:color w:val="503200"/>
                <w:sz w:val="16"/>
              </w:rPr>
              <w:t xml:space="preserve">Cours actuel : </w:t>
            </w:r>
            <w:r>
              <w:rPr>
                <w:color w:val="000000"/>
                <w:sz w:val="17"/>
              </w:rPr>
              <w:t>15,300 FCFA</w:t>
            </w:r>
          </w:p>
          <w:p>
            <w:r>
              <w:rPr>
                <w:b/>
                <w:color w:val="503200"/>
                <w:sz w:val="16"/>
              </w:rPr>
              <w:t xml:space="preserve">Var. 100 jours : </w:t>
            </w:r>
            <w:r>
              <w:rPr>
                <w:b/>
                <w:color w:val="007800"/>
                <w:sz w:val="17"/>
              </w:rPr>
              <w:t>+25.15%</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11.74% (Moyenne) — μ=15,286 FCFA, σ=1,795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β=0.6208 (Défensif) — Cov=0.000043, Var(idx)=0.000069, ρ=0.219,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14,515</w:t>
            </w:r>
          </w:p>
        </w:tc>
        <w:tc>
          <w:tcPr>
            <w:tcW w:type="dxa" w:w="1440"/>
            <w:shd w:fill="FAFAFA" w:val="clear"/>
          </w:tcPr>
          <w:p>
            <w:r>
              <w:rPr>
                <w:b/>
                <w:sz w:val="17"/>
              </w:rPr>
              <w:t>15,242</w:t>
            </w:r>
          </w:p>
        </w:tc>
        <w:tc>
          <w:tcPr>
            <w:tcW w:type="dxa" w:w="1440"/>
            <w:shd w:fill="FAFAFA" w:val="clear"/>
          </w:tcPr>
          <w:p>
            <w:r>
              <w:rPr>
                <w:sz w:val="17"/>
              </w:rPr>
              <w:t>15,968</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14,218</w:t>
            </w:r>
          </w:p>
        </w:tc>
        <w:tc>
          <w:tcPr>
            <w:tcW w:type="dxa" w:w="1440"/>
            <w:shd w:fill="FAFAFA" w:val="clear"/>
          </w:tcPr>
          <w:p>
            <w:r>
              <w:rPr>
                <w:b/>
                <w:sz w:val="17"/>
              </w:rPr>
              <w:t>15,246</w:t>
            </w:r>
          </w:p>
        </w:tc>
        <w:tc>
          <w:tcPr>
            <w:tcW w:type="dxa" w:w="1440"/>
            <w:shd w:fill="FAFAFA" w:val="clear"/>
          </w:tcPr>
          <w:p>
            <w:r>
              <w:rPr>
                <w:sz w:val="17"/>
              </w:rPr>
              <w:t>16,273</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14,011</w:t>
            </w:r>
          </w:p>
        </w:tc>
        <w:tc>
          <w:tcPr>
            <w:tcW w:type="dxa" w:w="1440"/>
            <w:shd w:fill="FAFAFA" w:val="clear"/>
          </w:tcPr>
          <w:p>
            <w:r>
              <w:rPr>
                <w:b/>
                <w:sz w:val="17"/>
              </w:rPr>
              <w:t>15,272</w:t>
            </w:r>
          </w:p>
        </w:tc>
        <w:tc>
          <w:tcPr>
            <w:tcW w:type="dxa" w:w="1440"/>
            <w:shd w:fill="FAFAFA" w:val="clear"/>
          </w:tcPr>
          <w:p>
            <w:r>
              <w:rPr>
                <w:sz w:val="17"/>
              </w:rPr>
              <w:t>16,533</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13,839</w:t>
            </w:r>
          </w:p>
        </w:tc>
        <w:tc>
          <w:tcPr>
            <w:tcW w:type="dxa" w:w="1440"/>
            <w:shd w:fill="FAFAFA" w:val="clear"/>
          </w:tcPr>
          <w:p>
            <w:r>
              <w:rPr>
                <w:b/>
                <w:sz w:val="17"/>
              </w:rPr>
              <w:t>15,297</w:t>
            </w:r>
          </w:p>
        </w:tc>
        <w:tc>
          <w:tcPr>
            <w:tcW w:type="dxa" w:w="1440"/>
            <w:shd w:fill="FAFAFA" w:val="clear"/>
          </w:tcPr>
          <w:p>
            <w:r>
              <w:rPr>
                <w:sz w:val="17"/>
              </w:rPr>
              <w:t>16,756</w:t>
            </w:r>
          </w:p>
        </w:tc>
        <w:tc>
          <w:tcPr>
            <w:tcW w:type="dxa" w:w="1440"/>
            <w:shd w:fill="FAFAFA" w:val="clear"/>
          </w:tcPr>
          <w:p>
            <w:r>
              <w:rPr>
                <w:b/>
                <w:color w:val="C00000"/>
                <w:sz w:val="17"/>
              </w:rPr>
              <w:t>-0.0%</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13,687</w:t>
            </w:r>
          </w:p>
        </w:tc>
        <w:tc>
          <w:tcPr>
            <w:tcW w:type="dxa" w:w="1440"/>
            <w:shd w:fill="FAFAFA" w:val="clear"/>
          </w:tcPr>
          <w:p>
            <w:r>
              <w:rPr>
                <w:b/>
                <w:sz w:val="17"/>
              </w:rPr>
              <w:t>15,320</w:t>
            </w:r>
          </w:p>
        </w:tc>
        <w:tc>
          <w:tcPr>
            <w:tcW w:type="dxa" w:w="1440"/>
            <w:shd w:fill="FAFAFA" w:val="clear"/>
          </w:tcPr>
          <w:p>
            <w:r>
              <w:rPr>
                <w:sz w:val="17"/>
              </w:rPr>
              <w:t>16,953</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13,548</w:t>
            </w:r>
          </w:p>
        </w:tc>
        <w:tc>
          <w:tcPr>
            <w:tcW w:type="dxa" w:w="1440"/>
            <w:shd w:fill="FAFAFA" w:val="clear"/>
          </w:tcPr>
          <w:p>
            <w:r>
              <w:rPr>
                <w:b/>
                <w:sz w:val="17"/>
              </w:rPr>
              <w:t>15,339</w:t>
            </w:r>
          </w:p>
        </w:tc>
        <w:tc>
          <w:tcPr>
            <w:tcW w:type="dxa" w:w="1440"/>
            <w:shd w:fill="FAFAFA" w:val="clear"/>
          </w:tcPr>
          <w:p>
            <w:r>
              <w:rPr>
                <w:sz w:val="17"/>
              </w:rPr>
              <w:t>17,130</w:t>
            </w:r>
          </w:p>
        </w:tc>
        <w:tc>
          <w:tcPr>
            <w:tcW w:type="dxa" w:w="1440"/>
            <w:shd w:fill="FAFAFA" w:val="clear"/>
          </w:tcPr>
          <w:p>
            <w:r>
              <w:rPr>
                <w:b/>
                <w:color w:val="008000"/>
                <w:sz w:val="17"/>
              </w:rPr>
              <w:t>+0.3%</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13,419</w:t>
            </w:r>
          </w:p>
        </w:tc>
        <w:tc>
          <w:tcPr>
            <w:tcW w:type="dxa" w:w="1440"/>
            <w:shd w:fill="FAFAFA" w:val="clear"/>
          </w:tcPr>
          <w:p>
            <w:r>
              <w:rPr>
                <w:b/>
                <w:sz w:val="17"/>
              </w:rPr>
              <w:t>15,356</w:t>
            </w:r>
          </w:p>
        </w:tc>
        <w:tc>
          <w:tcPr>
            <w:tcW w:type="dxa" w:w="1440"/>
            <w:shd w:fill="FAFAFA" w:val="clear"/>
          </w:tcPr>
          <w:p>
            <w:r>
              <w:rPr>
                <w:sz w:val="17"/>
              </w:rPr>
              <w:t>17,293</w:t>
            </w:r>
          </w:p>
        </w:tc>
        <w:tc>
          <w:tcPr>
            <w:tcW w:type="dxa" w:w="1440"/>
            <w:shd w:fill="FAFAFA" w:val="clear"/>
          </w:tcPr>
          <w:p>
            <w:r>
              <w:rPr>
                <w:b/>
                <w:color w:val="008000"/>
                <w:sz w:val="17"/>
              </w:rPr>
              <w:t>+0.4%</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13,299</w:t>
            </w:r>
          </w:p>
        </w:tc>
        <w:tc>
          <w:tcPr>
            <w:tcW w:type="dxa" w:w="1440"/>
            <w:shd w:fill="FAFAFA" w:val="clear"/>
          </w:tcPr>
          <w:p>
            <w:r>
              <w:rPr>
                <w:b/>
                <w:sz w:val="17"/>
              </w:rPr>
              <w:t>15,372</w:t>
            </w:r>
          </w:p>
        </w:tc>
        <w:tc>
          <w:tcPr>
            <w:tcW w:type="dxa" w:w="1440"/>
            <w:shd w:fill="FAFAFA" w:val="clear"/>
          </w:tcPr>
          <w:p>
            <w:r>
              <w:rPr>
                <w:sz w:val="17"/>
              </w:rPr>
              <w:t>17,445</w:t>
            </w:r>
          </w:p>
        </w:tc>
        <w:tc>
          <w:tcPr>
            <w:tcW w:type="dxa" w:w="1440"/>
            <w:shd w:fill="FAFAFA" w:val="clear"/>
          </w:tcPr>
          <w:p>
            <w:r>
              <w:rPr>
                <w:b/>
                <w:color w:val="008000"/>
                <w:sz w:val="17"/>
              </w:rPr>
              <w:t>+0.5%</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13,187</w:t>
            </w:r>
          </w:p>
        </w:tc>
        <w:tc>
          <w:tcPr>
            <w:tcW w:type="dxa" w:w="1440"/>
            <w:shd w:fill="FAFAFA" w:val="clear"/>
          </w:tcPr>
          <w:p>
            <w:r>
              <w:rPr>
                <w:b/>
                <w:sz w:val="17"/>
              </w:rPr>
              <w:t>15,388</w:t>
            </w:r>
          </w:p>
        </w:tc>
        <w:tc>
          <w:tcPr>
            <w:tcW w:type="dxa" w:w="1440"/>
            <w:shd w:fill="FAFAFA" w:val="clear"/>
          </w:tcPr>
          <w:p>
            <w:r>
              <w:rPr>
                <w:sz w:val="17"/>
              </w:rPr>
              <w:t>17,589</w:t>
            </w:r>
          </w:p>
        </w:tc>
        <w:tc>
          <w:tcPr>
            <w:tcW w:type="dxa" w:w="1440"/>
            <w:shd w:fill="FAFAFA" w:val="clear"/>
          </w:tcPr>
          <w:p>
            <w:r>
              <w:rPr>
                <w:b/>
                <w:color w:val="008000"/>
                <w:sz w:val="17"/>
              </w:rPr>
              <w:t>+0.6%</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13,081</w:t>
            </w:r>
          </w:p>
        </w:tc>
        <w:tc>
          <w:tcPr>
            <w:tcW w:type="dxa" w:w="1440"/>
            <w:shd w:fill="FAFAFA" w:val="clear"/>
          </w:tcPr>
          <w:p>
            <w:r>
              <w:rPr>
                <w:b/>
                <w:sz w:val="17"/>
              </w:rPr>
              <w:t>15,403</w:t>
            </w:r>
          </w:p>
        </w:tc>
        <w:tc>
          <w:tcPr>
            <w:tcW w:type="dxa" w:w="1440"/>
            <w:shd w:fill="FAFAFA" w:val="clear"/>
          </w:tcPr>
          <w:p>
            <w:r>
              <w:rPr>
                <w:sz w:val="17"/>
              </w:rPr>
              <w:t>17,725</w:t>
            </w:r>
          </w:p>
        </w:tc>
        <w:tc>
          <w:tcPr>
            <w:tcW w:type="dxa" w:w="1440"/>
            <w:shd w:fill="FAFAFA" w:val="clear"/>
          </w:tcPr>
          <w:p>
            <w:r>
              <w:rPr>
                <w:b/>
                <w:color w:val="008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NESTLÉ CÔTE D'IVOIRE (NTLC)**</w:t>
        <w:br/>
        <w:t>*Bourse Régionale des Valeurs Mobilières (BRVM) — Secteur : Entreprise (Agroalimentaire)*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337,68 milliards FCFA, Nestlé Côte d'Ivoire s'impose comme l'une des valeurs les plus capitalisées de la BRVM, ce qui témoigne de sa stature de blue chip régionale et de la confiance des investisseurs institutionnels. Le BPA de 835 FCFA/action indique que chaque titre génère un bénéfice net de 835 FCFA, un niveau élevé qui reflète la forte rentabilité opérationnelle de l'entreprise. Le PER de 18,3x se situe nettement au-dessus de la moyenne BRVM (~8-12x), signalant que le marché accepte de payer une prime de qualité pour cette valeur défensive, mais cette prime réduit la marge de sécurité pour l'investisseur. Le P/B de 11,41x est particulièrement exigeant (&gt;4x), traduisant une valorisation très supérieure à la valeur comptable — ce qui s'explique par la faiblesse relative des capitaux propres (29,59 Mds FCFA) face à la capitalisation, mais expose le titre à un risque de correction si la rentabilité venait à fléchir. Enfin, l'EV/EBITDA de 9,2x se situe dans la fourchette raisonnable (5-10x), indiquant que la valeur totale de l'entreprise (dette incluse) reste cohérente avec sa capacité opérationnelle de génération de cash-flow.</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NTLC affiche une progression totale de +25,15%, avec une hausse spectaculaire de +5,52% lors de la dernière séance (J-1), portant le cours actuel à 15 300 FCFA pour une capitalisation de 337,68 Mds FCFA. Le titre a évolué dans un range large de 11 150 FCFA (plus bas) à 18 000 FCFA (plus haut), soit une amplitude de 61,4%, ce qui traduit une forte volatilité intra-période malgré la nature défensive de la valeur. La tendance générale est haussière sur la période, mais le cours actuel (15 300 FCFA) se situe en retrait de 15% par rapport au plus haut, suggérant une phase de correction après un rallye. Les statistiques descriptives révèlent une moyenne de 15 286 FCFA légèrement inférieure à la médiane de 15 995 FCFA, avec un mode à 16 900 FCFA — cet écart indique une distribution asymétrique où les prix ont plus souvent évolué au-dessus de la moyenne, confirmé par le skewness négatif (-0,863) qui signale une prédominance de journées haussières mais avec des baisses ponctuelles plus marquées. L'écart-type de 1 804 FCFA (CV=11,8%) traduit une dispersion modérée du cours, tandis que le kurtosis de -0,539 (mésokurtique) indique une distribution proche de la normale, sans risque excessif de pics extrêmes. La volatilité annualisée de 37,3% classe le titre dans la catégorie des valeurs à volatilité élevée (&gt;30%), ce qui est inhabituel pour une action défensive de grande consommation et suggère une sensibilité accrue aux flux de capitaux sur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(16 296,5 FCFA) et la MM50 (16 522,9 FCFA) se situent toutes deux au-dessus du cours actuel (15 300 FCFA), avec une MM20 inférieure à la MM50 — configuration baissière classique. Le cours évolue sous ses deux moyennes, ce qui confirme la pression vendeuse et justifie la décision technique de **Vente**.</w:t>
      </w:r>
    </w:p>
    <w:p>
      <w:pPr>
        <w:spacing w:after="120" w:line="276" w:lineRule="auto"/>
      </w:pPr>
      <w:r>
        <w:t>**Bandes de Bollinger** : Le cours (15 300 FCFA) se situe dans la moitié inférieure de la bande, entre la borne inférieure (14 558,47 FCFA) et la borne supérieure (18 034,53 FCFA), sans atteindre les extrêmes. Cette position médiane, couplée à une largeur de bande élevée (3 476 FCFA), indique une volatilité importante mais sans signal de retournement imminent, justifiant la décision **Neutre**.</w:t>
      </w:r>
    </w:p>
    <w:p>
      <w:pPr>
        <w:spacing w:after="120" w:line="276" w:lineRule="auto"/>
      </w:pPr>
      <w:r>
        <w:t>**MACD** : La valeur du MACD (-451,301) est inférieure à son signal (-233,848), avec un histogramme négatif — configuration baissière qui indique un momentum négatif persistant. La divergence entre les deux lignes reste significative, confirmant la pression baissière à court terme et justifiant la décision de **Vente**.</w:t>
      </w:r>
    </w:p>
    <w:p>
      <w:pPr>
        <w:spacing w:after="120" w:line="276" w:lineRule="auto"/>
      </w:pPr>
      <w:r>
        <w:t>**RSI** : À 21,277, le RSI se situe nettement en zone de survente (&lt;30), ce qui est un signal classique d'achat contrarien. Cette lecture suggère que le titre a été excessivement vendu et pourrait connaître un rebond technique à court terme, justifiant la décision d'**Achat**.</w:t>
      </w:r>
    </w:p>
    <w:p>
      <w:pPr>
        <w:spacing w:after="120" w:line="276" w:lineRule="auto"/>
      </w:pPr>
      <w:r>
        <w:t>**Stochastique** : Le %K (33,333) est supérieur au %D (11,111), avec un croisement haussier en zone basse — signal d'achat potentiel. Cependant, les deux lignes restent en territoire faible, indiquant que la pression baissière n'est pas totalement résorbée, ce qui justifie la décision **Neutre**.</w:t>
      </w:r>
    </w:p>
    <w:p>
      <w:pPr>
        <w:spacing w:after="120" w:line="276" w:lineRule="auto"/>
      </w:pPr>
      <w:r>
        <w:t>**Conclusion technique** : Les indicateurs techniques présentent une divergence notable : les moyennes mobiles et le MACD confirment une tendance baissière de court terme, tandis que le RSI en survente et le croisement haussier du stochastique suggèrent un rebond imminent. Cette configuration contradictoire plaide pour une phase de consolidation avant une reprise éventuelle, avec un support clé à surveiller autour de 14 558 FCFA (borne inférieure de Bollinger) et une résistance à 16 296 FCFA (MM20).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Nestlé Côte d'Ivoire a réalisé un chiffre d'affaires de 233,261 Mds FCFA, en croissance de +5,97% par rapport à 2024 (220,113 Mds FCFA), confirmant la résilience de la demande pour ses produits de grande consommation malgré un contexte inflationniste. Le résultat net s'établit à 18,427 Mds FCFA, en légère progression de +1,53%, mais la marge nette recule à 7,90% (contre 8,25% en 2024), sous l'effet d'une hausse plus rapide des charges (notamment les services extérieurs et les impôts et taxes) que du chiffre d'affaires. La rentabilité des fonds propres (ROE) demeure exceptionnelle à 62,28%, bien au-dessus du seuil de 15% considéré comme excellent, tandis que le ROA de 9,70% reflète une utilisation efficace des actifs (rotation de 122,80%). La structure financière présente des signaux contrastés : l'autonomie financière est faible (15,58%, contre &gt;30% recommandé) et le ratio d'endettement élevé (135,85%), mais la solvabilité générale reste assurée (118,45%) et la couverture des intérêts est très confortable (473,63%). Le BFR de 22,625 Mds FCFA et le fonds de roulement négatif (-24,206 Mds FCFA) indiquent une dépendance aux financements court terme, avec un délai client élevé de 74,30 jours qui constitue un risque de trésorerie à surveiller. Les rapports trimestriels confirment cette dynamique : le T1 2026 (publié en 2026) affiche une accélération spectaculaire avec un CA de 70,822 Mds FCFA (+31% vs T1 2025) et un résultat net de 7,526 Mds FCFA (+37%), tandis que la marge nette s'améliore à 10,6% (contre 10,1% au T1 2025). Sur la base de ce T1 2026 exceptionnel, on peut estimer que l'exercice 2026 devrait enregistrer une croissance à deux chiffres du CA (potentiellement +15% à +20%) et une amélioration de la rentabilité nette, sous réserve que la pression sur les coûts des matières premières reste maîtrisée. La politique de dividende a été significativement réduite en 2025 (9,270 Mds FCFA distribués, soit un payout de 50,3%, contre 99,7% en 2024), traduisant une stratégie de réinvestissement et de renforcement des fonds propres — un signal positif pour la croissance future mais décevant pour les investisseurs en quête de rendement immédiat. La recommandation fondamentale est **CONSERVER** avec un biais positif : la solidité du modèle, l'accélération du T1 2026 et la stratégie de réinvestissement sont prometteuses, mais la valorisation exigeante (P/B de 11,41x) et les risques de compression des marges incitent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NTLC apparaît exigeante (PER de 18,3x supérieur à la moyenne BRVM, P/B de 11,41x très élevé), mais cohérente avec la qualité de la signature et la rentabilité exceptionnelle (ROE de 62,28%) — le marché paie une prime de qualité qui limite la marge de sécurité mais se justifie par la solidité des fondamentaux. Le comportement du cours sur 100 jours est haussier (+25,15%) mais avec une volatilité élevée (37,3%) et une asymétrie négative (skewness de -0,863), ce qui suggère que le titre a connu une correction récente après un rallye, sans que la tendance de fond soit remise en cause. Les signaux techniques sont divergents : les moyennes mobiles et le MACD sont baissiers, mais le RSI en survente (21,277) et le stochastique en zone basse plaident pour un rebond technique à court terme, ce qui crée une opportunité d'entrée pour les investisseurs contrariens. Les fondamentaux sont solides et en amélioration : le T1 2026 (CA +31%, résultat net +37%) marque une accélération spectaculaire qui contraste avec la croissance modérée de 2025 (+5,97% de CA), et la stratégie de réinvestissement (payout réduit à 50,3%) devrait soutenir la croissance future. Les prédictions IA pour les 10 prochains jours (15 242 FCFA à 15 320 FCFA) indiquent une légère hausse (+0,13% sur la période), ce qui confirme la thèse d'un rebond technique modéré mais ne contredit pas la tendance baissière de court terme. Sur la base de cette synthèse, la recommandation finale est **CONSERVER** avec un biais positif, car la convergence entre l'accélération fondamentale (T1 2026), la survente technique (RSI) et la stabilité des prédictions IA suggère un potentiel de revalorisation à moyen terme, mais la valorisation exigeante et les risques de compression des marges incitent à la prudence. Le niveau de confiance est **Moyen** (les signaux sont divergents à court terme mais convergent à moyen terme), le risque global est **Moyen** (volatilité élevée mais fondamentaux solides), et l'horizon d'investissement optimal est le **moyen terme (3-12 mois)** pour capter l'amélioration de la rentabilité et la revalorisation potentielle liée aux investissements en cours.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201.28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5,364 titres</w:t>
            </w:r>
          </w:p>
        </w:tc>
        <w:tc>
          <w:tcPr>
            <w:tcW w:type="dxa" w:w="2268"/>
            <w:shd w:fill="FFF2CC" w:val="clear"/>
          </w:tcPr>
          <w:p>
            <w:r>
              <w:rPr>
                <w:b/>
                <w:color w:val="503200"/>
                <w:sz w:val="16"/>
              </w:rPr>
              <w:t xml:space="preserve">Cours actuel : </w:t>
            </w:r>
            <w:r>
              <w:rPr>
                <w:color w:val="000000"/>
                <w:sz w:val="17"/>
              </w:rPr>
              <w:t>2,960 FCFA</w:t>
            </w:r>
          </w:p>
          <w:p>
            <w:r>
              <w:rPr>
                <w:b/>
                <w:color w:val="503200"/>
                <w:sz w:val="16"/>
              </w:rPr>
              <w:t xml:space="preserve">Var. 100 jours : </w:t>
            </w:r>
            <w:r>
              <w:rPr>
                <w:b/>
                <w:color w:val="007800"/>
                <w:sz w:val="17"/>
              </w:rPr>
              <w:t>+6.47%</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32.7%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2.83% (Faible) — μ=2,841 FCFA, σ=80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β=0.4954 (Défensif) — Cov=0.000034, Var(idx)=0.000069, ρ=0.200,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σ_j=2.06%/j (Stable) — Vol. annualisée≈32.7%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2,765</w:t>
            </w:r>
          </w:p>
        </w:tc>
        <w:tc>
          <w:tcPr>
            <w:tcW w:type="dxa" w:w="1440"/>
            <w:shd w:fill="FFDCE0" w:val="clear"/>
          </w:tcPr>
          <w:p>
            <w:r>
              <w:rPr>
                <w:b/>
                <w:sz w:val="17"/>
              </w:rPr>
              <w:t>2,869</w:t>
            </w:r>
          </w:p>
        </w:tc>
        <w:tc>
          <w:tcPr>
            <w:tcW w:type="dxa" w:w="1440"/>
            <w:shd w:fill="FFDCE0" w:val="clear"/>
          </w:tcPr>
          <w:p>
            <w:r>
              <w:rPr>
                <w:sz w:val="17"/>
              </w:rPr>
              <w:t>2,973</w:t>
            </w:r>
          </w:p>
        </w:tc>
        <w:tc>
          <w:tcPr>
            <w:tcW w:type="dxa" w:w="1440"/>
            <w:shd w:fill="FFDCE0" w:val="clear"/>
          </w:tcPr>
          <w:p>
            <w:r>
              <w:rPr>
                <w:b/>
                <w:color w:val="C00000"/>
                <w:sz w:val="17"/>
              </w:rPr>
              <w:t>-3.1%</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2,724</w:t>
            </w:r>
          </w:p>
        </w:tc>
        <w:tc>
          <w:tcPr>
            <w:tcW w:type="dxa" w:w="1440"/>
            <w:shd w:fill="FFDCE0" w:val="clear"/>
          </w:tcPr>
          <w:p>
            <w:r>
              <w:rPr>
                <w:b/>
                <w:sz w:val="17"/>
              </w:rPr>
              <w:t>2,871</w:t>
            </w:r>
          </w:p>
        </w:tc>
        <w:tc>
          <w:tcPr>
            <w:tcW w:type="dxa" w:w="1440"/>
            <w:shd w:fill="FFDCE0" w:val="clear"/>
          </w:tcPr>
          <w:p>
            <w:r>
              <w:rPr>
                <w:sz w:val="17"/>
              </w:rPr>
              <w:t>3,018</w:t>
            </w:r>
          </w:p>
        </w:tc>
        <w:tc>
          <w:tcPr>
            <w:tcW w:type="dxa" w:w="1440"/>
            <w:shd w:fill="FFDCE0" w:val="clear"/>
          </w:tcPr>
          <w:p>
            <w:r>
              <w:rPr>
                <w:b/>
                <w:color w:val="C00000"/>
                <w:sz w:val="17"/>
              </w:rPr>
              <w:t>-3.0%</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2,686</w:t>
            </w:r>
          </w:p>
        </w:tc>
        <w:tc>
          <w:tcPr>
            <w:tcW w:type="dxa" w:w="1440"/>
            <w:shd w:fill="FFDCE0" w:val="clear"/>
          </w:tcPr>
          <w:p>
            <w:r>
              <w:rPr>
                <w:b/>
                <w:sz w:val="17"/>
              </w:rPr>
              <w:t>2,866</w:t>
            </w:r>
          </w:p>
        </w:tc>
        <w:tc>
          <w:tcPr>
            <w:tcW w:type="dxa" w:w="1440"/>
            <w:shd w:fill="FFDCE0" w:val="clear"/>
          </w:tcPr>
          <w:p>
            <w:r>
              <w:rPr>
                <w:sz w:val="17"/>
              </w:rPr>
              <w:t>3,045</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2,652</w:t>
            </w:r>
          </w:p>
        </w:tc>
        <w:tc>
          <w:tcPr>
            <w:tcW w:type="dxa" w:w="1440"/>
            <w:shd w:fill="FFDCE0" w:val="clear"/>
          </w:tcPr>
          <w:p>
            <w:r>
              <w:rPr>
                <w:b/>
                <w:sz w:val="17"/>
              </w:rPr>
              <w:t>2,859</w:t>
            </w:r>
          </w:p>
        </w:tc>
        <w:tc>
          <w:tcPr>
            <w:tcW w:type="dxa" w:w="1440"/>
            <w:shd w:fill="FFDCE0" w:val="clear"/>
          </w:tcPr>
          <w:p>
            <w:r>
              <w:rPr>
                <w:sz w:val="17"/>
              </w:rPr>
              <w:t>3,066</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2,622</w:t>
            </w:r>
          </w:p>
        </w:tc>
        <w:tc>
          <w:tcPr>
            <w:tcW w:type="dxa" w:w="1440"/>
            <w:shd w:fill="FFDCE0" w:val="clear"/>
          </w:tcPr>
          <w:p>
            <w:r>
              <w:rPr>
                <w:b/>
                <w:sz w:val="17"/>
              </w:rPr>
              <w:t>2,853</w:t>
            </w:r>
          </w:p>
        </w:tc>
        <w:tc>
          <w:tcPr>
            <w:tcW w:type="dxa" w:w="1440"/>
            <w:shd w:fill="FFDCE0" w:val="clear"/>
          </w:tcPr>
          <w:p>
            <w:r>
              <w:rPr>
                <w:sz w:val="17"/>
              </w:rPr>
              <w:t>3,084</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2,594</w:t>
            </w:r>
          </w:p>
        </w:tc>
        <w:tc>
          <w:tcPr>
            <w:tcW w:type="dxa" w:w="1440"/>
            <w:shd w:fill="FFDCE0" w:val="clear"/>
          </w:tcPr>
          <w:p>
            <w:r>
              <w:rPr>
                <w:b/>
                <w:sz w:val="17"/>
              </w:rPr>
              <w:t>2,846</w:t>
            </w:r>
          </w:p>
        </w:tc>
        <w:tc>
          <w:tcPr>
            <w:tcW w:type="dxa" w:w="1440"/>
            <w:shd w:fill="FFDCE0" w:val="clear"/>
          </w:tcPr>
          <w:p>
            <w:r>
              <w:rPr>
                <w:sz w:val="17"/>
              </w:rPr>
              <w:t>3,099</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2,568</w:t>
            </w:r>
          </w:p>
        </w:tc>
        <w:tc>
          <w:tcPr>
            <w:tcW w:type="dxa" w:w="1440"/>
            <w:shd w:fill="FFDCE0" w:val="clear"/>
          </w:tcPr>
          <w:p>
            <w:r>
              <w:rPr>
                <w:b/>
                <w:sz w:val="17"/>
              </w:rPr>
              <w:t>2,840</w:t>
            </w:r>
          </w:p>
        </w:tc>
        <w:tc>
          <w:tcPr>
            <w:tcW w:type="dxa" w:w="1440"/>
            <w:shd w:fill="FFDCE0" w:val="clear"/>
          </w:tcPr>
          <w:p>
            <w:r>
              <w:rPr>
                <w:sz w:val="17"/>
              </w:rPr>
              <w:t>3,112</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2,544</w:t>
            </w:r>
          </w:p>
        </w:tc>
        <w:tc>
          <w:tcPr>
            <w:tcW w:type="dxa" w:w="1440"/>
            <w:shd w:fill="FFDCE0" w:val="clear"/>
          </w:tcPr>
          <w:p>
            <w:r>
              <w:rPr>
                <w:b/>
                <w:sz w:val="17"/>
              </w:rPr>
              <w:t>2,834</w:t>
            </w:r>
          </w:p>
        </w:tc>
        <w:tc>
          <w:tcPr>
            <w:tcW w:type="dxa" w:w="1440"/>
            <w:shd w:fill="FFDCE0" w:val="clear"/>
          </w:tcPr>
          <w:p>
            <w:r>
              <w:rPr>
                <w:sz w:val="17"/>
              </w:rPr>
              <w:t>3,124</w:t>
            </w:r>
          </w:p>
        </w:tc>
        <w:tc>
          <w:tcPr>
            <w:tcW w:type="dxa" w:w="1440"/>
            <w:shd w:fill="FFDCE0" w:val="clear"/>
          </w:tcPr>
          <w:p>
            <w:r>
              <w:rPr>
                <w:b/>
                <w:color w:val="C00000"/>
                <w:sz w:val="17"/>
              </w:rPr>
              <w:t>-4.3%</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2,521</w:t>
            </w:r>
          </w:p>
        </w:tc>
        <w:tc>
          <w:tcPr>
            <w:tcW w:type="dxa" w:w="1440"/>
            <w:shd w:fill="FFDCE0" w:val="clear"/>
          </w:tcPr>
          <w:p>
            <w:r>
              <w:rPr>
                <w:b/>
                <w:sz w:val="17"/>
              </w:rPr>
              <w:t>2,828</w:t>
            </w:r>
          </w:p>
        </w:tc>
        <w:tc>
          <w:tcPr>
            <w:tcW w:type="dxa" w:w="1440"/>
            <w:shd w:fill="FFDCE0" w:val="clear"/>
          </w:tcPr>
          <w:p>
            <w:r>
              <w:rPr>
                <w:sz w:val="17"/>
              </w:rPr>
              <w:t>3,135</w:t>
            </w:r>
          </w:p>
        </w:tc>
        <w:tc>
          <w:tcPr>
            <w:tcW w:type="dxa" w:w="1440"/>
            <w:shd w:fill="FFDCE0" w:val="clear"/>
          </w:tcPr>
          <w:p>
            <w:r>
              <w:rPr>
                <w:b/>
                <w:color w:val="C00000"/>
                <w:sz w:val="17"/>
              </w:rPr>
              <w:t>-4.5%</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2,499</w:t>
            </w:r>
          </w:p>
        </w:tc>
        <w:tc>
          <w:tcPr>
            <w:tcW w:type="dxa" w:w="1440"/>
            <w:shd w:fill="FFDCE0" w:val="clear"/>
          </w:tcPr>
          <w:p>
            <w:r>
              <w:rPr>
                <w:b/>
                <w:sz w:val="17"/>
              </w:rPr>
              <w:t>2,822</w:t>
            </w:r>
          </w:p>
        </w:tc>
        <w:tc>
          <w:tcPr>
            <w:tcW w:type="dxa" w:w="1440"/>
            <w:shd w:fill="FFDCE0" w:val="clear"/>
          </w:tcPr>
          <w:p>
            <w:r>
              <w:rPr>
                <w:sz w:val="17"/>
              </w:rPr>
              <w:t>3,145</w:t>
            </w:r>
          </w:p>
        </w:tc>
        <w:tc>
          <w:tcPr>
            <w:tcW w:type="dxa" w:w="1440"/>
            <w:shd w:fill="FFDCE0" w:val="clear"/>
          </w:tcPr>
          <w:p>
            <w:r>
              <w:rPr>
                <w:b/>
                <w:color w:val="C00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w:t>
        <w:br/>
        <w:t>*Bourse Régionale des Valeurs Mobilières (BRVM) — Secteur Télécommunications*</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201,28 milliards FCFA, ONTBF s'impose comme l'une des valeurs phares du compartiment télécoms de la BRVM, se positionnant derrière Sonatel mais devant la plupart des valeurs bancaires et industrielles de la cote. Le BPA de 234 FCFA par action signifie que chaque titre génère près d'un quart de millier de francs de bénéfice net, un niveau appréciable pour une valeur de rendement. Le PER de 12,7x se situe légèrement au-dessus de la moyenne BRVM (8-12x), traduisant une prime modérée que le marché accorde à la qualité de la signature et à la régularité du dividende, sans pour autant basculer dans une valorisation excessive. Le P/B de 3,50x indique que le marché valorise l'entreprise à 3,5 fois ses fonds propres comptables (57,54 Mds FCFA), une prime de croissance justifiée par la rentabilité exceptionnelle des capitaux propres (ROE de 27,6%). Enfin, l'EV/EBITDA de 5,3x, bien inférieur au seuil de 10x, suggère que la valeur d'entreprise reste raisonnable au regard de la capacité opérationnelle de génération de cash (EBE de 56,73 Mds FCFA), ce qui constitue un signal de valorisation attractif pour un investisseur de long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ONTBF affiche une progression totale de +6,47%, avec une dernière séance particulièrement dynamique (+7,25% en J-1), portant le cours actuel à 2 960 FCFA. Le range de trading s'établit entre un plus bas de 2 675 FCFA et un plus haut de 3 070 FCFA, soit une amplitude de 395 FCFA (14,8%) qui témoigne d'une volatilité contenue mais réelle. La tendance générale est haussière, le cours actuel se situant dans la partie supérieure du canal, à seulement 3,6% de son sommet. Les statistiques descriptives révèlent une moyenne de 2 841 FCFA très proche de la médiane (2 848 FCFA) et du mode (2 800 FCFA), signe d'une distribution symétrique et sans biais directionnel marqué, confirmée par un skewness de 0,077 quasi nul. L'écart-type de 81 FCFA (CV de 2,8%) indique une dispersion faible autour de la moyenne, tandis que le kurtosis de -0,190 (mésokurtique) suggère une distribution proche de la normale, sans risque de pics extrêmes prononcés. Avec une volatilité annualisée de 32,7%, le titre se classe dans la catégorie des valeurs à volatilité élevée (&gt;30%), ce qui est cohérent avec son statut de valeur télécom exposée aux risques réglementaires et sécuritaires, mais qui offre également des opportunités de trading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(2 878,25 FCFA) et la MM50 (2 864,50 FCFA) sont toutes deux inférieures au cours actuel (2 960 FCFA), avec une MM20 légèrement au-dessus de la MM50, configurant un croisement haussier classique. Le cours évolue au-dessus de ses deux moyennes, ce qui valide la décision d'achat et confirme la dynamique positive de court et moyen terme.</w:t>
      </w:r>
    </w:p>
    <w:p>
      <w:pPr>
        <w:spacing w:after="120" w:line="276" w:lineRule="auto"/>
      </w:pPr>
      <w:r>
        <w:t>**Bandes de Bollinger** : Le cours (2 960 FCFA) se situe dans la partie haute du canal, entre la borne inférieure (2 770,68 FCFA) et la borne supérieure (2 985,82 FCFA), sans la franchir. Cette position proche de la borne supérieure, combinée à une décision neutre, suggère que le titre approche d'une zone de résistance potentielle où une consolidation ou un repli technique pourrait survenir avant une nouvelle impulsion.</w:t>
      </w:r>
    </w:p>
    <w:p>
      <w:pPr>
        <w:spacing w:after="120" w:line="276" w:lineRule="auto"/>
      </w:pPr>
      <w:r>
        <w:t>**MACD** : La valeur du MACD (0,915) est nettement inférieure à son signal (2,572), générant une divergence baissière qui justifie la décision de vente. Ce croisement négatif indique un essoufflement du momentum haussier, bien que la valeur reste positive, ce qui tempère la portée baissière du signal.</w:t>
      </w:r>
    </w:p>
    <w:p>
      <w:pPr>
        <w:spacing w:after="120" w:line="276" w:lineRule="auto"/>
      </w:pPr>
      <w:r>
        <w:t>**RSI** : À 56,923, le RSI se situe en zone neutre (30-70), sans signal de surachat ni de survente. Cette configuration indique que le titre dispose encore d'un potentiel de hausse sans être dans une zone d'excès, ce qui est cohérent avec la décision neutre.</w:t>
      </w:r>
    </w:p>
    <w:p>
      <w:pPr>
        <w:spacing w:after="120" w:line="276" w:lineRule="auto"/>
      </w:pPr>
      <w:r>
        <w:t>**Stochastique** : Le %K (83,333) est nettement supérieur au %D (27,778), avec un %K en zone de surachat (&gt;80). Ce croisement haussier des deux lignes, bien que le %K soit élevé, génère une décision de vente car le %K en zone extrême suggère un risque de retournement imminent à court terme.</w:t>
      </w:r>
    </w:p>
    <w:p>
      <w:pPr>
        <w:spacing w:after="120" w:line="276" w:lineRule="auto"/>
      </w:pPr>
      <w:r>
        <w:t>**Conclusion technique** : Les indicateurs présentent une configuration mitigée. Les moyennes mobiles et le RSI soutiennent une dynamique haussière de fond, mais le MACD baissier et le stochastique en surachat signalent un essoufflement à court terme. Le titre évolue dans un canal haussier mais approche de zones de résistance (borne supérieure de Bollinger à 2 985 FCFA et plus haut à 3 070 FCFA), ce qui plaide pour une consolidation avant une nouvelle progression. La convergence des signaux suggère une posture attentiste à court terme, avec un biais haussier à moyen terme tant que le cours se maintient au-dessus de la MM50 (2 864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annuels) révèlent une situation contrastée pour ONTBF. Le chiffre d'affaires (PNB) s'établit à 146,177 milliards FCFA, en croissance de 3,06% sur un an, porté par le FTTH (+33%), l'internet mobile (+4,6%) et le Mobile Money (+14%). Cependant, le résultat net chute à 15,887 milliards FCFA, en recul de 26% par rapport à 2024 (21,471 Mds FCFA), sous l'effet d'une compression des marges : l'EBE recule de 11,7% à 56,731 Mds FCFA et le résultat d'exploitation de 23,5% à 25,665 Mds FCFA. Les ratios de rentabilité restent néanmoins solides : le ROE atteint 27,61% (excellent, &gt;15%) et le ROA 4,89%, tandis que la marge nette se maintient à 10,87%. Le coefficient d'exploitation de 67,07% (charges/PNB) reste supérieur au seuil de 60% recommandé pour une banque, mais ONTBF étant une entreprise télécom, ce ratio doit être interprété comme un indicateur d'efficacité opérationnelle perfectible. La structure financière montre une autonomie financière de 17,71% (capitaux propres/total bilan), inférieure au seuil de 30%, et un ratio d'endettement de 186,99%, reflétant un recours important à la dette pour financer les investissements (CAPEX de 45,2 Mds FCFA). La trésorerie nette reste positive à 10,649 Mds FCFA et la couverture des intérêts est excellente (491,55%). Les rapports trimestriels de 2025 confirment la tendance : au T1 2025 (rapport du 31/03/2025), le CA progressait de 4,3% à 36,17 Mds FCFA mais le résultat net chutait de 29% à 3,75 Mds FCFA ; au S1 2025 (rapport du 30/06/2025), le CA atteignait 73,81 Mds FCFA (+4%) pour un résultat net de 7,67 Mds FCFA (-17,8%) ; au T3 2025 (rapport du 30/09/2025), le CA cumulé atteignait 109,59 Mds FCFA (+3,1%) pour un résultat net de 11,00 Mds FCFA (-17,2%). Le rapport T1 2026 (publié en 2026) montre une stabilisation avec un CA de 37,1 Mds FCFA (+2,7%) et un résultat net de 3,577 Mds FCFA (marge nette de 9,6%), tandis que le taux de marge EBITDA se maintient à 41,3%. Sur la base de ces tendances, on estime que l'exercice 2026 devrait voir une stabilisation de la rentabilité autour de 15-16 Mds FCFA de résultat net, avec une possible amélioration au second semestre si les actions d'optimisation des coûts portent leurs fruits. La recommandation fondamentale est de **CONSERVER** le titre : la solidité financière (ROE élevé, trésorerie positive, note GCR A+(WU)), la croissance du CA et le dividende attractif (166,08 FCFA/action, soit un rendement de ~5,6% au cours actuel) compensent la dégradation des marges et les risques réglementaires/sécuritaires.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Sur le plan de la **valorisation (Partie 0)**, les ratios PER (12,7x), P/B (3,50x) et EV/EBITDA (5,3x) indiquent une valorisation raisonnable, sans sous-évaluation flagrante mais sans surévaluation excessive, le marché intégrant déjà la prime de qualité et la régularité du dividende. Le **comportement du cours (Partie 1)** est favorable : tendance haussière (+6,47% sur 100 jours), distribution symétrique (skewness 0,077) et kurtosis mésokurtique (-0,190) indiquant l'absence de risque de pics extrêmes, bien que la volatilité annualisée de 32,7% reste élevée. Les **signaux techniques (Partie 2)** sont mitigés : les moyennes mobiles et le RSI soutiennent la hausse, mais le MACD baissier et le stochastique en surachat plaident pour une consolidation à court terme. Les **fondamentaux (Partie 3)** révèlent une entreprise solide mais en transition : croissance du CA (+3,1%), rentabilité des fonds propres exceptionnelle (ROE 27,6%), mais dégradation du résultat net (-26%) et endettement élevé (186,99%). Les **prédictions IA (J+1 à J+10)** anticipent une légère correction vers 2 853-2 871 FCFA, en ligne avec le signal baissier du MACD et du stochastique, mais sans remettre en cause la tendance haussière de fond. Sur la base de cette convergence, la recommandation finale est **CONSERVER**, avec un niveau de confiance **Moyen** et un risque global **Moyen**. Le titre convient aux investisseurs recherchant un rendement régulier (dividende de 5,6%) et une exposition à un secteur porteur (télécoms, mobile money, FTTH), avec un horizon d'investissement **moyen terme (3-12 mois)**. Un passage à l'achat serait justifié en cas de repli vers 2 800-2 850 FCFA (zone de support technique et de valeur) ou d'amélioration confirmée des marges au T2 2026. À l'inverse, une vente serait envisagée si le cours franchissait à la baisse la MM50 (2 864 FCFA) avec confirmation d'une dégradation des fondamentaux.</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3208.21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3,362 titres</w:t>
            </w:r>
          </w:p>
        </w:tc>
        <w:tc>
          <w:tcPr>
            <w:tcW w:type="dxa" w:w="2268"/>
            <w:shd w:fill="FFF2CC" w:val="clear"/>
          </w:tcPr>
          <w:p>
            <w:r>
              <w:rPr>
                <w:b/>
                <w:color w:val="503200"/>
                <w:sz w:val="16"/>
              </w:rPr>
              <w:t xml:space="preserve">Cours actuel : </w:t>
            </w:r>
            <w:r>
              <w:rPr>
                <w:color w:val="000000"/>
                <w:sz w:val="17"/>
              </w:rPr>
              <w:t>21,295 FCFA</w:t>
            </w:r>
          </w:p>
          <w:p>
            <w:r>
              <w:rPr>
                <w:b/>
                <w:color w:val="503200"/>
                <w:sz w:val="16"/>
              </w:rPr>
              <w:t xml:space="preserve">Var. 100 jours : </w:t>
            </w:r>
            <w:r>
              <w:rPr>
                <w:b/>
                <w:color w:val="007800"/>
                <w:sz w:val="17"/>
              </w:rPr>
              <w:t>+41.97%</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14,900 FCFA</w:t>
            </w:r>
          </w:p>
          <w:p>
            <w:r>
              <w:rPr>
                <w:b/>
                <w:color w:val="503200"/>
                <w:sz w:val="16"/>
              </w:rPr>
              <w:t xml:space="preserve">Volatilité ann. : </w:t>
            </w:r>
            <w:r>
              <w:rPr>
                <w:color w:val="000000"/>
                <w:sz w:val="17"/>
              </w:rPr>
              <w:t>30.5%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13.64% (Moyenne) — μ=17,649 FCFA, σ=2,407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β=1.1836 (Neutre (suit le marché)) — Cov=0.000082, Var(idx)=0.000069, ρ=0.511,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3,362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σ_j=1.92%/j (Stable) — Vol. annualisée≈30.5%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20,356</w:t>
            </w:r>
          </w:p>
        </w:tc>
        <w:tc>
          <w:tcPr>
            <w:tcW w:type="dxa" w:w="1440"/>
            <w:shd w:fill="FAFAFA" w:val="clear"/>
          </w:tcPr>
          <w:p>
            <w:r>
              <w:rPr>
                <w:b/>
                <w:sz w:val="17"/>
              </w:rPr>
              <w:t>21,168</w:t>
            </w:r>
          </w:p>
        </w:tc>
        <w:tc>
          <w:tcPr>
            <w:tcW w:type="dxa" w:w="1440"/>
            <w:shd w:fill="FAFAFA" w:val="clear"/>
          </w:tcPr>
          <w:p>
            <w:r>
              <w:rPr>
                <w:sz w:val="17"/>
              </w:rPr>
              <w:t>21,980</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20,042</w:t>
            </w:r>
          </w:p>
        </w:tc>
        <w:tc>
          <w:tcPr>
            <w:tcW w:type="dxa" w:w="1440"/>
            <w:shd w:fill="FAFAFA" w:val="clear"/>
          </w:tcPr>
          <w:p>
            <w:r>
              <w:rPr>
                <w:b/>
                <w:sz w:val="17"/>
              </w:rPr>
              <w:t>21,192</w:t>
            </w:r>
          </w:p>
        </w:tc>
        <w:tc>
          <w:tcPr>
            <w:tcW w:type="dxa" w:w="1440"/>
            <w:shd w:fill="FAFAFA" w:val="clear"/>
          </w:tcPr>
          <w:p>
            <w:r>
              <w:rPr>
                <w:sz w:val="17"/>
              </w:rPr>
              <w:t>22,341</w:t>
            </w:r>
          </w:p>
        </w:tc>
        <w:tc>
          <w:tcPr>
            <w:tcW w:type="dxa" w:w="1440"/>
            <w:shd w:fill="FAFAFA" w:val="clear"/>
          </w:tcPr>
          <w:p>
            <w:r>
              <w:rPr>
                <w:b/>
                <w:color w:val="C00000"/>
                <w:sz w:val="17"/>
              </w:rPr>
              <w:t>-0.5%</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19,791</w:t>
            </w:r>
          </w:p>
        </w:tc>
        <w:tc>
          <w:tcPr>
            <w:tcW w:type="dxa" w:w="1440"/>
            <w:shd w:fill="FAFAFA" w:val="clear"/>
          </w:tcPr>
          <w:p>
            <w:r>
              <w:rPr>
                <w:b/>
                <w:sz w:val="17"/>
              </w:rPr>
              <w:t>21,199</w:t>
            </w:r>
          </w:p>
        </w:tc>
        <w:tc>
          <w:tcPr>
            <w:tcW w:type="dxa" w:w="1440"/>
            <w:shd w:fill="FAFAFA" w:val="clear"/>
          </w:tcPr>
          <w:p>
            <w:r>
              <w:rPr>
                <w:sz w:val="17"/>
              </w:rPr>
              <w:t>22,607</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19,578</w:t>
            </w:r>
          </w:p>
        </w:tc>
        <w:tc>
          <w:tcPr>
            <w:tcW w:type="dxa" w:w="1440"/>
            <w:shd w:fill="FAFAFA" w:val="clear"/>
          </w:tcPr>
          <w:p>
            <w:r>
              <w:rPr>
                <w:b/>
                <w:sz w:val="17"/>
              </w:rPr>
              <w:t>21,204</w:t>
            </w:r>
          </w:p>
        </w:tc>
        <w:tc>
          <w:tcPr>
            <w:tcW w:type="dxa" w:w="1440"/>
            <w:shd w:fill="FAFAFA" w:val="clear"/>
          </w:tcPr>
          <w:p>
            <w:r>
              <w:rPr>
                <w:sz w:val="17"/>
              </w:rPr>
              <w:t>22,830</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19,390</w:t>
            </w:r>
          </w:p>
        </w:tc>
        <w:tc>
          <w:tcPr>
            <w:tcW w:type="dxa" w:w="1440"/>
            <w:shd w:fill="FAFAFA" w:val="clear"/>
          </w:tcPr>
          <w:p>
            <w:r>
              <w:rPr>
                <w:b/>
                <w:sz w:val="17"/>
              </w:rPr>
              <w:t>21,209</w:t>
            </w:r>
          </w:p>
        </w:tc>
        <w:tc>
          <w:tcPr>
            <w:tcW w:type="dxa" w:w="1440"/>
            <w:shd w:fill="FAFAFA" w:val="clear"/>
          </w:tcPr>
          <w:p>
            <w:r>
              <w:rPr>
                <w:sz w:val="17"/>
              </w:rPr>
              <w:t>23,027</w:t>
            </w:r>
          </w:p>
        </w:tc>
        <w:tc>
          <w:tcPr>
            <w:tcW w:type="dxa" w:w="1440"/>
            <w:shd w:fill="FAFAFA" w:val="clear"/>
          </w:tcPr>
          <w:p>
            <w:r>
              <w:rPr>
                <w:b/>
                <w:color w:val="C00000"/>
                <w:sz w:val="17"/>
              </w:rPr>
              <w:t>-0.4%</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19,221</w:t>
            </w:r>
          </w:p>
        </w:tc>
        <w:tc>
          <w:tcPr>
            <w:tcW w:type="dxa" w:w="1440"/>
            <w:shd w:fill="FAFAFA" w:val="clear"/>
          </w:tcPr>
          <w:p>
            <w:r>
              <w:rPr>
                <w:b/>
                <w:sz w:val="17"/>
              </w:rPr>
              <w:t>21,213</w:t>
            </w:r>
          </w:p>
        </w:tc>
        <w:tc>
          <w:tcPr>
            <w:tcW w:type="dxa" w:w="1440"/>
            <w:shd w:fill="FAFAFA" w:val="clear"/>
          </w:tcPr>
          <w:p>
            <w:r>
              <w:rPr>
                <w:sz w:val="17"/>
              </w:rPr>
              <w:t>23,206</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19,065</w:t>
            </w:r>
          </w:p>
        </w:tc>
        <w:tc>
          <w:tcPr>
            <w:tcW w:type="dxa" w:w="1440"/>
            <w:shd w:fill="FAFAFA" w:val="clear"/>
          </w:tcPr>
          <w:p>
            <w:r>
              <w:rPr>
                <w:b/>
                <w:sz w:val="17"/>
              </w:rPr>
              <w:t>21,218</w:t>
            </w:r>
          </w:p>
        </w:tc>
        <w:tc>
          <w:tcPr>
            <w:tcW w:type="dxa" w:w="1440"/>
            <w:shd w:fill="FAFAFA" w:val="clear"/>
          </w:tcPr>
          <w:p>
            <w:r>
              <w:rPr>
                <w:sz w:val="17"/>
              </w:rPr>
              <w:t>23,371</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18,921</w:t>
            </w:r>
          </w:p>
        </w:tc>
        <w:tc>
          <w:tcPr>
            <w:tcW w:type="dxa" w:w="1440"/>
            <w:shd w:fill="FAFAFA" w:val="clear"/>
          </w:tcPr>
          <w:p>
            <w:r>
              <w:rPr>
                <w:b/>
                <w:sz w:val="17"/>
              </w:rPr>
              <w:t>21,223</w:t>
            </w:r>
          </w:p>
        </w:tc>
        <w:tc>
          <w:tcPr>
            <w:tcW w:type="dxa" w:w="1440"/>
            <w:shd w:fill="FAFAFA" w:val="clear"/>
          </w:tcPr>
          <w:p>
            <w:r>
              <w:rPr>
                <w:sz w:val="17"/>
              </w:rPr>
              <w:t>23,525</w:t>
            </w:r>
          </w:p>
        </w:tc>
        <w:tc>
          <w:tcPr>
            <w:tcW w:type="dxa" w:w="1440"/>
            <w:shd w:fill="FAFAFA" w:val="clear"/>
          </w:tcPr>
          <w:p>
            <w:r>
              <w:rPr>
                <w:b/>
                <w:color w:val="C00000"/>
                <w:sz w:val="17"/>
              </w:rPr>
              <w:t>-0.3%</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18,785</w:t>
            </w:r>
          </w:p>
        </w:tc>
        <w:tc>
          <w:tcPr>
            <w:tcW w:type="dxa" w:w="1440"/>
            <w:shd w:fill="FAFAFA" w:val="clear"/>
          </w:tcPr>
          <w:p>
            <w:r>
              <w:rPr>
                <w:b/>
                <w:sz w:val="17"/>
              </w:rPr>
              <w:t>21,227</w:t>
            </w:r>
          </w:p>
        </w:tc>
        <w:tc>
          <w:tcPr>
            <w:tcW w:type="dxa" w:w="1440"/>
            <w:shd w:fill="FAFAFA" w:val="clear"/>
          </w:tcPr>
          <w:p>
            <w:r>
              <w:rPr>
                <w:sz w:val="17"/>
              </w:rPr>
              <w:t>23,669</w:t>
            </w:r>
          </w:p>
        </w:tc>
        <w:tc>
          <w:tcPr>
            <w:tcW w:type="dxa" w:w="1440"/>
            <w:shd w:fill="FAFAFA" w:val="clear"/>
          </w:tcPr>
          <w:p>
            <w:r>
              <w:rPr>
                <w:b/>
                <w:color w:val="C00000"/>
                <w:sz w:val="17"/>
              </w:rPr>
              <w:t>-0.3%</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18,657</w:t>
            </w:r>
          </w:p>
        </w:tc>
        <w:tc>
          <w:tcPr>
            <w:tcW w:type="dxa" w:w="1440"/>
            <w:shd w:fill="FAFAFA" w:val="clear"/>
          </w:tcPr>
          <w:p>
            <w:r>
              <w:rPr>
                <w:b/>
                <w:sz w:val="17"/>
              </w:rPr>
              <w:t>21,232</w:t>
            </w:r>
          </w:p>
        </w:tc>
        <w:tc>
          <w:tcPr>
            <w:tcW w:type="dxa" w:w="1440"/>
            <w:shd w:fill="FAFAFA" w:val="clear"/>
          </w:tcPr>
          <w:p>
            <w:r>
              <w:rPr>
                <w:sz w:val="17"/>
              </w:rPr>
              <w:t>23,806</w:t>
            </w:r>
          </w:p>
        </w:tc>
        <w:tc>
          <w:tcPr>
            <w:tcW w:type="dxa" w:w="1440"/>
            <w:shd w:fill="FAFAFA" w:val="clear"/>
          </w:tcPr>
          <w:p>
            <w:r>
              <w:rPr>
                <w:b/>
                <w:color w:val="C00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ORAC (Orange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3 208,21 milliards FCFA, ORAC s'impose comme la première capitalisation de la BRVM, représentant à elle seule plus de 25% de la capitalisation totale du marché régional. Le BPA de 1 114 FCFA/action signifie que chaque titre génère un bénéfice net de plus de mille francs CFA, un niveau remarquable pour le marché ouest-africain. Le PER de 19,1x traduit une valorisation nettement supérieure à la moyenne du marché BRVM (8-12x), les investisseurs acceptant de payer une prime significative pour la qualité et la régularité des bénéfices d'ORAC. Le P/B de 4,53x confirme cette prime, le marché valorisant l'entreprise à plus de quatre fois sa valeur comptable, ce qui est exigeant mais justifié par un ROE de 23,7%. Enfin, l'EV/EBITDA de 7,6x, dans la fourchette raisonnable de 5-10x, indique que la valeur totale de l'entreprise (incluant la dette) reste cohérente avec sa capacité opérationnelle à générer des liquidités.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progression spectaculaire de +41,97%, passant d'environ 14 900 FCFA à 21 295 FCFA, avec une légère correction de -0,72% lors de la dernière séance. Le range de trading est particulièrement large, avec un plus haut à 22 500 FCFA et un plus bas à 14 900 FCFA, soit une amplitude de 51%, témoignant d'une forte dynamique haussière portée par l'engouement des investisseurs pour le titre. La moyenne du cours s'établit à 17 649 FCFA contre une médiane de 16 700 FCFA, cet écart de près de 950 FCFA indique une distribution asymétrique avec des valeurs extrêmes hautes qui tirent la moyenne vers le haut. L'écart-type de 2 419 FCFA et le coefficient de variation de 13,7% révèlent une dispersion modérée du cours autour de sa moyenne, tandis que le kurtosis de -0,822 (mésokurtique) suggère une distribution proche de la normale, sans risque excessif de pics extrêmes. Le skewness positif de 0,875 confirme cette asymétrie avec davantage de journées de cotation sous la moyenne, ce qui est cohérent avec une tendance haussière ponctuée de corrections. La volatilité annualisée de 30,5% positionne le titre dans la catégorie des valeurs à volatilité modérée à élevée, reflétant à la fois l'attrait spéculatif et la solidité fondamentale de l'entreprise.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à 21 609 FCFA et la MM50 à 19 363 FCFA encadrent le cours actuel de 21 295 FCFA, qui se situe légèrement sous la MM20 mais nettement au-dessus de la MM50. Cette configuration indique une tendance haussière de fond toujours intacte, bien qu'une consolidation à court terme soit en cours. La décision technique est à l'**Achat**, la MM50 servant de support dynamique solide.</w:t>
      </w:r>
    </w:p>
    <w:p>
      <w:pPr>
        <w:spacing w:after="120" w:line="276" w:lineRule="auto"/>
      </w:pPr>
      <w:r>
        <w:t>**Bandes de Bollinger** : Le cours actuel de 21 295 FCFA évolue dans la partie médiane des bandes, entre la borne inférieure à 20 260 FCFA et la borne supérieure à 22 958 FCFA. Cette position centrale, combinée à un resserrement des bandes, suggère une phase de consolidation avant un potentiel mouvement directionnel. La décision est **Neutre**, le marché attendant un catalyseur pour choisir sa direction.</w:t>
      </w:r>
    </w:p>
    <w:p>
      <w:pPr>
        <w:spacing w:after="120" w:line="276" w:lineRule="auto"/>
      </w:pPr>
      <w:r>
        <w:t>**MACD** : Le MACD à 455,351 est inférieur à son signal à 732,973, générant un croisement baissier qui indique un affaiblissement du momentum haussier. Cette divergence négative suggère que la dynamique récente s'essouffle et qu'une correction ou consolidation est probable à court terme. La décision est à la **Vente** technique, bien que le MACD reste en territoire positif.</w:t>
      </w:r>
    </w:p>
    <w:p>
      <w:pPr>
        <w:spacing w:after="120" w:line="276" w:lineRule="auto"/>
      </w:pPr>
      <w:r>
        <w:t>**RSI** : À 45,034, le RSI se situe dans la zone neutre (30-70), légèrement en dessous du seuil de 50 qui sépare les territoires haussier et baissier. Cette valeur indique l'absence de pression acheteuse ou vendeuse excessive, le titre ayant digéré sa forte hausse récente. La décision est **Neutre**, aucune divergence significative n'étant observée.</w:t>
      </w:r>
    </w:p>
    <w:p>
      <w:pPr>
        <w:spacing w:after="120" w:line="276" w:lineRule="auto"/>
      </w:pPr>
      <w:r>
        <w:t>**Stochastique** : Le %K à 42,619 est supérieur au %D à 30,873, avec un croisement récent à la hausse qui pourrait signaler un début de reprise après la consolidation. Cependant, les deux indicateurs restent en zone basse, ce qui tempère la portée du signal. La décision est **Neutre**, le croisement haussier étant à confirmer.</w:t>
      </w:r>
    </w:p>
    <w:p>
      <w:pPr>
        <w:spacing w:after="120" w:line="276" w:lineRule="auto"/>
      </w:pPr>
      <w:r>
        <w:t>**Conclusion technique** : Les indicateurs techniques présentent un tableau mitigé, avec une tendance de fond haussière (MM) mais des signaux de momentum affaiblis (MACD baissier, RSI neutre). Le titre se trouve dans une phase de consolidation après sa forte progression, les bandes de Bollinger et le stochastique suggérant une possible reprise si le cours parvient à se maintenir au-dessus de la MM20. La convergence des signaux reste insuffisante pour un signal directionnel fort, invitant à la prudence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Orange Côte d'Ivoire a réalisé un chiffre d'affaires consolidé de 1 197,1 milliards FCFA, en progression de +10,4% par rapport à 2024 (1 084,1 milliards FCFA), portée par la croissance du parc mobile (+8,6% à 37,6 millions d'abonnés), d'Orange Money (+10,2% à 40,4 millions de clients) et de la fibre (+59,9%). Le résultat net consolidé s'établit à 167,8 milliards FCFA (+6,1%), tandis que le résultat net part du groupe atteint 129,1 milliards FCFA (+14,5%), avec une marge nette de 14,0% et une marge opérationnelle de 24,0%. Le ROE de 23,7% et le ROA de 6,6% témoignent d'une rentabilité excellente des fonds propres et d'une utilisation efficace des actifs. La structure financière reste solide avec une autonomie financière de 27,7%, une solvabilité générale de 138,3% et une capacité de remboursement de 0,99 an (dettes financières/CAF), bien que le ratio d'endettement de 47,5% mérite une surveillance. Le BFR négatif de -198,0 milliards FCFA est un point positif majeur, reflétant un modèle économique générant des liquidités, avec un délai fournisseurs élevé (210,9 jours) compensant le délai clients (52,3 jours). Les flux de trésorerie opérationnels de 335,5 milliards FCFA et le Free Cash Flow de 156,2 milliards FCFA confirment la capacité de l'entreprise à autofinancer ses investissements (184,2 milliards FCFA en 2025). Sur la base du rapport T1 2026 (publié le 21 mai 2026), le chiffre d'affaires a bondi de +14,8% à 325,6 milliards FCFA et le résultat net de +25,2% à 48,3 milliards FCFA, avec une marge nette en amélioration à 14,8%, ce qui permet d'estimer une accélération de la croissance pour l'exercice 2026. La politique de dividende, avec un DPA de 800 FCFA brut (rendement d'environ 3,8% au cours actuel), marque un recentrage vers un payout plus soutenable (93,3% du résultat net part du groupe) après le dividende exceptionnel de 1 278 FCFA versé en 2025. La recommandation fondamentale est **CONSERVER**, la solidité opérationnelle et les perspectives de croissance étant tempérées par la pression sur les marges (marge nette en baisse de 14,6% en 2024 à 14,0% en 2025) et la hausse des charges financières.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d'ORAC présente un profil exigeant mais justifié : le PER de 19,1x et le P/B de 4,53x traduisent une prime significative par rapport au marché BRVM, mais cette prime est cohérente avec un ROE de 23,7% et une position de leader incontesté. Le comportement du cours sur 100 jours (+41,97%) témoigne d'un fort engouement, avec une volatilité modérée (30,5%) et une distribution asymétrique positive (skewness 0,875) qui reflète des corrections ponctuelles dans une tendance haussière. Les signaux techniques sont mitigés : la tendance de fond reste haussière (MM20 &gt; MM50), mais le MACD baissier et le RSI neutre suggèrent une consolidation à court terme, sans signal de retournement majeur. Les fondamentaux sont solides, avec une croissance à deux chiffres du chiffre d'affaires (+10,4% en 2025) et une accélération au T1 2026 (+14,8%), bien que la pression sur les marges et la baisse du dividende constituent des points de vigilance. Les prédictions IA pour les 10 prochains jours (21 168 à 21 209 FCFA) anticipent une légère correction de -0,4% à -0,6%, confirmant la phase de consolidation technique sans remettre en cause la tendance de fond. Sur la base de cette synthèse, la recommandation finale est **CONSERVER**, avec un niveau de confiance **Moyen** et un risque global **Moyen**. L'horizon d'investissement optimal est le **moyen terme (3-12 mois)**, le temps que les investissements massifs dans la fibre et la 5G se traduisent par une amélioration des marges et une reprise de la croissance du dividende, tout en surveillant l'évolution des charges financières et de l'environnement réglementaire.</w:t>
      </w:r>
    </w:p>
    <w:p>
      <w:pPr>
        <w:spacing w:after="120" w:line="276" w:lineRule="auto"/>
      </w:pPr>
      <w:r>
        <w:t>---</w:t>
      </w:r>
    </w:p>
    <w:p>
      <w:pPr>
        <w:spacing w:after="120" w:line="276" w:lineRule="auto"/>
      </w:pPr>
      <w:r>
        <w:t>*Rapport généré le 27 septembre 2026 — Sources : BRVM, états financiers ORAC 2025, rapports trimestriels T1 2026, analyses fondamentales DeepSeek/Mistral.*</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211.72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5,301 titres</w:t>
            </w:r>
          </w:p>
        </w:tc>
        <w:tc>
          <w:tcPr>
            <w:tcW w:type="dxa" w:w="2268"/>
            <w:shd w:fill="FFF2CC" w:val="clear"/>
          </w:tcPr>
          <w:p>
            <w:r>
              <w:rPr>
                <w:b/>
                <w:color w:val="503200"/>
                <w:sz w:val="16"/>
              </w:rPr>
              <w:t xml:space="preserve">Cours actuel : </w:t>
            </w:r>
            <w:r>
              <w:rPr>
                <w:color w:val="000000"/>
                <w:sz w:val="17"/>
              </w:rPr>
              <w:t>3,050 FCFA</w:t>
            </w:r>
          </w:p>
          <w:p>
            <w:r>
              <w:rPr>
                <w:b/>
                <w:color w:val="503200"/>
                <w:sz w:val="16"/>
              </w:rPr>
              <w:t xml:space="preserve">Var. 100 jours : </w:t>
            </w:r>
            <w:r>
              <w:rPr>
                <w:b/>
                <w:color w:val="B40000"/>
                <w:sz w:val="17"/>
              </w:rPr>
              <w:t>-12.23%</w:t>
            </w:r>
          </w:p>
          <w:p>
            <w:r>
              <w:rPr>
                <w:b/>
                <w:color w:val="503200"/>
                <w:sz w:val="16"/>
              </w:rPr>
              <w:t xml:space="preserve">Plus haut 100j : </w:t>
            </w:r>
            <w:r>
              <w:rPr>
                <w:color w:val="000000"/>
                <w:sz w:val="17"/>
              </w:rPr>
              <w:t>3,475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8.79% (Moyenne) — μ=2,894 FCFA, σ=254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β=0.8241 (Neutre (suit le marché)) — Cov=0.000057, Var(idx)=0.000069, ρ=0.242,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5,301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σ_j=2.82%/j (Stable) — Vol. annualisée≈44.8%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2,871</w:t>
            </w:r>
          </w:p>
        </w:tc>
        <w:tc>
          <w:tcPr>
            <w:tcW w:type="dxa" w:w="1440"/>
            <w:shd w:fill="FAFAFA" w:val="clear"/>
          </w:tcPr>
          <w:p>
            <w:r>
              <w:rPr>
                <w:b/>
                <w:sz w:val="17"/>
              </w:rPr>
              <w:t>2,992</w:t>
            </w:r>
          </w:p>
        </w:tc>
        <w:tc>
          <w:tcPr>
            <w:tcW w:type="dxa" w:w="1440"/>
            <w:shd w:fill="FAFAFA" w:val="clear"/>
          </w:tcPr>
          <w:p>
            <w:r>
              <w:rPr>
                <w:sz w:val="17"/>
              </w:rPr>
              <w:t>3,113</w:t>
            </w:r>
          </w:p>
        </w:tc>
        <w:tc>
          <w:tcPr>
            <w:tcW w:type="dxa" w:w="1440"/>
            <w:shd w:fill="FAFAFA" w:val="clear"/>
          </w:tcPr>
          <w:p>
            <w:r>
              <w:rPr>
                <w:b/>
                <w:color w:val="C00000"/>
                <w:sz w:val="17"/>
              </w:rPr>
              <w:t>-1.9%</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2,835</w:t>
            </w:r>
          </w:p>
        </w:tc>
        <w:tc>
          <w:tcPr>
            <w:tcW w:type="dxa" w:w="1440"/>
            <w:shd w:fill="FAFAFA" w:val="clear"/>
          </w:tcPr>
          <w:p>
            <w:r>
              <w:rPr>
                <w:b/>
                <w:sz w:val="17"/>
              </w:rPr>
              <w:t>3,007</w:t>
            </w:r>
          </w:p>
        </w:tc>
        <w:tc>
          <w:tcPr>
            <w:tcW w:type="dxa" w:w="1440"/>
            <w:shd w:fill="FAFAFA" w:val="clear"/>
          </w:tcPr>
          <w:p>
            <w:r>
              <w:rPr>
                <w:sz w:val="17"/>
              </w:rPr>
              <w:t>3,179</w:t>
            </w:r>
          </w:p>
        </w:tc>
        <w:tc>
          <w:tcPr>
            <w:tcW w:type="dxa" w:w="1440"/>
            <w:shd w:fill="FAFAFA" w:val="clear"/>
          </w:tcPr>
          <w:p>
            <w:r>
              <w:rPr>
                <w:b/>
                <w:color w:val="C00000"/>
                <w:sz w:val="17"/>
              </w:rPr>
              <w:t>-1.4%</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2,801</w:t>
            </w:r>
          </w:p>
        </w:tc>
        <w:tc>
          <w:tcPr>
            <w:tcW w:type="dxa" w:w="1440"/>
            <w:shd w:fill="FAFAFA" w:val="clear"/>
          </w:tcPr>
          <w:p>
            <w:r>
              <w:rPr>
                <w:b/>
                <w:sz w:val="17"/>
              </w:rPr>
              <w:t>3,012</w:t>
            </w:r>
          </w:p>
        </w:tc>
        <w:tc>
          <w:tcPr>
            <w:tcW w:type="dxa" w:w="1440"/>
            <w:shd w:fill="FAFAFA" w:val="clear"/>
          </w:tcPr>
          <w:p>
            <w:r>
              <w:rPr>
                <w:sz w:val="17"/>
              </w:rPr>
              <w:t>3,223</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2,773</w:t>
            </w:r>
          </w:p>
        </w:tc>
        <w:tc>
          <w:tcPr>
            <w:tcW w:type="dxa" w:w="1440"/>
            <w:shd w:fill="FAFAFA" w:val="clear"/>
          </w:tcPr>
          <w:p>
            <w:r>
              <w:rPr>
                <w:b/>
                <w:sz w:val="17"/>
              </w:rPr>
              <w:t>3,017</w:t>
            </w:r>
          </w:p>
        </w:tc>
        <w:tc>
          <w:tcPr>
            <w:tcW w:type="dxa" w:w="1440"/>
            <w:shd w:fill="FAFAFA" w:val="clear"/>
          </w:tcPr>
          <w:p>
            <w:r>
              <w:rPr>
                <w:sz w:val="17"/>
              </w:rPr>
              <w:t>3,261</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2,748</w:t>
            </w:r>
          </w:p>
        </w:tc>
        <w:tc>
          <w:tcPr>
            <w:tcW w:type="dxa" w:w="1440"/>
            <w:shd w:fill="FAFAFA" w:val="clear"/>
          </w:tcPr>
          <w:p>
            <w:r>
              <w:rPr>
                <w:b/>
                <w:sz w:val="17"/>
              </w:rPr>
              <w:t>3,022</w:t>
            </w:r>
          </w:p>
        </w:tc>
        <w:tc>
          <w:tcPr>
            <w:tcW w:type="dxa" w:w="1440"/>
            <w:shd w:fill="FAFAFA" w:val="clear"/>
          </w:tcPr>
          <w:p>
            <w:r>
              <w:rPr>
                <w:sz w:val="17"/>
              </w:rPr>
              <w:t>3,295</w:t>
            </w:r>
          </w:p>
        </w:tc>
        <w:tc>
          <w:tcPr>
            <w:tcW w:type="dxa" w:w="1440"/>
            <w:shd w:fill="FAFAFA" w:val="clear"/>
          </w:tcPr>
          <w:p>
            <w:r>
              <w:rPr>
                <w:b/>
                <w:color w:val="C00000"/>
                <w:sz w:val="17"/>
              </w:rPr>
              <w:t>-0.9%</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2,726</w:t>
            </w:r>
          </w:p>
        </w:tc>
        <w:tc>
          <w:tcPr>
            <w:tcW w:type="dxa" w:w="1440"/>
            <w:shd w:fill="FAFAFA" w:val="clear"/>
          </w:tcPr>
          <w:p>
            <w:r>
              <w:rPr>
                <w:b/>
                <w:sz w:val="17"/>
              </w:rPr>
              <w:t>3,026</w:t>
            </w:r>
          </w:p>
        </w:tc>
        <w:tc>
          <w:tcPr>
            <w:tcW w:type="dxa" w:w="1440"/>
            <w:shd w:fill="FAFAFA" w:val="clear"/>
          </w:tcPr>
          <w:p>
            <w:r>
              <w:rPr>
                <w:sz w:val="17"/>
              </w:rPr>
              <w:t>3,326</w:t>
            </w:r>
          </w:p>
        </w:tc>
        <w:tc>
          <w:tcPr>
            <w:tcW w:type="dxa" w:w="1440"/>
            <w:shd w:fill="FAFAFA" w:val="clear"/>
          </w:tcPr>
          <w:p>
            <w:r>
              <w:rPr>
                <w:b/>
                <w:color w:val="C00000"/>
                <w:sz w:val="17"/>
              </w:rPr>
              <w:t>-0.8%</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2,706</w:t>
            </w:r>
          </w:p>
        </w:tc>
        <w:tc>
          <w:tcPr>
            <w:tcW w:type="dxa" w:w="1440"/>
            <w:shd w:fill="FAFAFA" w:val="clear"/>
          </w:tcPr>
          <w:p>
            <w:r>
              <w:rPr>
                <w:b/>
                <w:sz w:val="17"/>
              </w:rPr>
              <w:t>3,030</w:t>
            </w:r>
          </w:p>
        </w:tc>
        <w:tc>
          <w:tcPr>
            <w:tcW w:type="dxa" w:w="1440"/>
            <w:shd w:fill="FAFAFA" w:val="clear"/>
          </w:tcPr>
          <w:p>
            <w:r>
              <w:rPr>
                <w:sz w:val="17"/>
              </w:rPr>
              <w:t>3,355</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2,688</w:t>
            </w:r>
          </w:p>
        </w:tc>
        <w:tc>
          <w:tcPr>
            <w:tcW w:type="dxa" w:w="1440"/>
            <w:shd w:fill="FAFAFA" w:val="clear"/>
          </w:tcPr>
          <w:p>
            <w:r>
              <w:rPr>
                <w:b/>
                <w:sz w:val="17"/>
              </w:rPr>
              <w:t>3,035</w:t>
            </w:r>
          </w:p>
        </w:tc>
        <w:tc>
          <w:tcPr>
            <w:tcW w:type="dxa" w:w="1440"/>
            <w:shd w:fill="FAFAFA" w:val="clear"/>
          </w:tcPr>
          <w:p>
            <w:r>
              <w:rPr>
                <w:sz w:val="17"/>
              </w:rPr>
              <w:t>3,382</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2,670</w:t>
            </w:r>
          </w:p>
        </w:tc>
        <w:tc>
          <w:tcPr>
            <w:tcW w:type="dxa" w:w="1440"/>
            <w:shd w:fill="FAFAFA" w:val="clear"/>
          </w:tcPr>
          <w:p>
            <w:r>
              <w:rPr>
                <w:b/>
                <w:sz w:val="17"/>
              </w:rPr>
              <w:t>3,039</w:t>
            </w:r>
          </w:p>
        </w:tc>
        <w:tc>
          <w:tcPr>
            <w:tcW w:type="dxa" w:w="1440"/>
            <w:shd w:fill="FAFAFA" w:val="clear"/>
          </w:tcPr>
          <w:p>
            <w:r>
              <w:rPr>
                <w:sz w:val="17"/>
              </w:rPr>
              <w:t>3,408</w:t>
            </w:r>
          </w:p>
        </w:tc>
        <w:tc>
          <w:tcPr>
            <w:tcW w:type="dxa" w:w="1440"/>
            <w:shd w:fill="FAFAFA" w:val="clear"/>
          </w:tcPr>
          <w:p>
            <w:r>
              <w:rPr>
                <w:b/>
                <w:color w:val="C00000"/>
                <w:sz w:val="17"/>
              </w:rPr>
              <w:t>-0.4%</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2,654</w:t>
            </w:r>
          </w:p>
        </w:tc>
        <w:tc>
          <w:tcPr>
            <w:tcW w:type="dxa" w:w="1440"/>
            <w:shd w:fill="FAFAFA" w:val="clear"/>
          </w:tcPr>
          <w:p>
            <w:r>
              <w:rPr>
                <w:b/>
                <w:sz w:val="17"/>
              </w:rPr>
              <w:t>3,044</w:t>
            </w:r>
          </w:p>
        </w:tc>
        <w:tc>
          <w:tcPr>
            <w:tcW w:type="dxa" w:w="1440"/>
            <w:shd w:fill="FAFAFA" w:val="clear"/>
          </w:tcPr>
          <w:p>
            <w:r>
              <w:rPr>
                <w:sz w:val="17"/>
              </w:rPr>
              <w:t>3,433</w:t>
            </w:r>
          </w:p>
        </w:tc>
        <w:tc>
          <w:tcPr>
            <w:tcW w:type="dxa" w:w="1440"/>
            <w:shd w:fill="FAFAFA" w:val="clear"/>
          </w:tcPr>
          <w:p>
            <w:r>
              <w:rPr>
                <w:b/>
                <w:color w:val="C00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ORAGROUP (ORGT)**</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211,72 milliards FCFA, ORGT se positionne comme une valeur de premier plan de la cote BRVM, représentant un pilier du compartiment bancaire régional. Le BPA de 312 FCFA par action indique que chaque titre génère un bénéfice unitaire substantiel, ce qui, rapporté au cours actuel de 3 050 FCFA, donne un PER de 9,8x — un niveau modéré, légèrement inférieur à la moyenne BRVM (8-12x), suggérant une valorisation raisonnable voire une légère sous-évaluation au regard des bénéfices. Le ratio P/B de 1,87x montre que le marché valorise l'action à près du double de sa valeur comptable, ce qui reste dans une fourchette acceptable (1-2x) pour une banque affichant un ROE de 19,1%. En revanche, l'EV/EBITDA de 19,8x apparaît très exigeant (&gt;15x), traduisant une valeur d'entreprise élevée par rapport à la capacité opérationnelle — un signal de prudence qui contraste avec la modération du PER. Cette divergence s'explique par la structure bilancielle bancaire (dettes de dépôts massives intégrées dans la valeur d'entreprise), rendant cet indicateur moins pertinent pour le secteur.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ORGT affiche une variation totale de -12,23%, reflétant une tendance baissière de fond, bien que la dernière séance (J-1) enregistre un rebond marqué de +5,72%, signe d'un sursaut acheteur à court terme. Le cours actuel de 3 050 FCFA se situe dans la partie médiane du range de trading, entre un plus bas de 2 435 FCFA et un plus haut de 3 475 FCFA, soit une amplitude de 1 040 FCFA (environ 43% du cours actuel) — un range particulièrement large. La moyenne de 2 894 FCFA est supérieure à la médiane de 2 780 FCFA, ce qui indique une distribution légèrement asymétrique à droite, confirmée par un skewness de 0,349 (distribution quasi-symétrique avec une queue droite légèrement plus épaisse). L'écart-type de 256 FCFA, avec un coefficient de variation de 8,8%, traduit une dispersion modérée du cours autour de sa moyenne. Le kurtosis de -1,164 (platykurtique) signale une distribution aplatie avec une faible concentration des rendements, donc un risque de pics extrêmes relativement limité. La volatilité annualisée de 44,8% classe ORGT dans la catégorie des titres à volatilité élevée (&gt;30%), ce qui implique un risque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3 188,25 FCFA et la MM50 à 3 067,40 FCFA, toutes deux supérieures au cours actuel de 3 050 FCFA. Cette configuration indique que le titre évolue sous ses moyennes mobiles, ce qui est généralement baissier à court terme ; toutefois, la décision affichée est "Achat", probablement en anticipation d'un croisement haussier ou d'un rebond technique depuis la zone de survente.</w:t>
      </w:r>
    </w:p>
    <w:p>
      <w:pPr>
        <w:spacing w:after="120" w:line="276" w:lineRule="auto"/>
      </w:pPr>
      <w:r>
        <w:t>**Bandes de Bollinger** : La borne supérieure est à 3 498,35 FCFA et la borne inférieure à 2 878,15 FCFA, avec un cours actuel de 3 050 FCFA positionné dans la moitié inférieure de la bande. Le cours n'est ni en contact avec la borne basse (pas de signal de survente extrême) ni avec la borne haute, ce qui justifie une décision "Neutre" — le titre évolue dans une zone de consolidation sans pression directionnelle forte.</w:t>
      </w:r>
    </w:p>
    <w:p>
      <w:pPr>
        <w:spacing w:after="120" w:line="276" w:lineRule="auto"/>
      </w:pPr>
      <w:r>
        <w:t>**MACD** : La valeur du MACD est de -31,814 contre un signal à 17,486, soit une divergence négative marquée (MACD sous son signal). Le momentum est clairement baissier, ce qui justifie la décision "Vente" — la dynamique de court terme reste défavorable malgré le rebond de J-1.</w:t>
      </w:r>
    </w:p>
    <w:p>
      <w:pPr>
        <w:spacing w:after="120" w:line="276" w:lineRule="auto"/>
      </w:pPr>
      <w:r>
        <w:t>**RSI** : À 33,645, le RSI se situe dans la zone neutre basse (30-70), proche du seuil de survente (30). La décision "Neutre" est appropriée : le titre n'est pas encore techniquement survendu, mais la pression vendeuse reste présente, laissant envisager un potentiel de rebond si le seuil de 30 venait à être testé.</w:t>
      </w:r>
    </w:p>
    <w:p>
      <w:pPr>
        <w:spacing w:after="120" w:line="276" w:lineRule="auto"/>
      </w:pPr>
      <w:r>
        <w:t>**Stochastique** : Le %K est à 42,017 et le %D à 18,728, avec un %K nettement supérieur au %D — configuration haussière (croisement positif) suggérant un début de retournement. La décision "Neutre" reflète cette ambivalence : le signal stochastique est haussier mais reste fragile et non confirmé par les autres indicateurs.</w:t>
      </w:r>
    </w:p>
    <w:p>
      <w:pPr>
        <w:spacing w:after="120" w:line="276" w:lineRule="auto"/>
      </w:pPr>
      <w:r>
        <w:t>**Conclusion technique** : Les indicateurs techniques présentent un tableau mitigé. Les moyennes mobiles et le MACD sont baissiers, tandis que le stochastique amorce un croisement haussier et que le RSI approche la zone de survente. Les Bandes de Bollinger confirment une absence de direction claire. Le rebond de +5,72% en J-1 pourrait marquer le début d'un retournement technique, mais la convergence des signaux reste insuffisante pour valider une tendance haussière durable. La prudence technique domine.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ORGT affiche un Produit Net Bancaire (PNB, équivalent du chiffre d'affaires pour une banque) de 186,609 milliards FCFA, en recul de -4,52% par rapport aux 195,436 milliards de 2024, reflétant une contraction de l'activité commerciale. Le résultat net consolidé s'établit à 21,643 milliards FCFA, marquant un redressement spectaculaire après la perte de -44,363 milliards en 2024, soit une amélioration de +149%. Cette performance est portée par une réduction drastique du coût net du risque (-90%, passant de -69,056 à -6,971 milliards FCFA) et une baisse des frais généraux de -12%. Le ROE atteint 19,13% (&gt;15% = excellent), le ROA 0,54%, et la marge nette 11,60%. Le coefficient d'exploitation de 42,85% (&lt;60% = banque efficace) témoigne d'une gestion rigoureuse des coûts. Le ratio dépôts/crédits s'établit à 3 088,698 / 1 523,765 = 2,03x, indiquant une surliquidité structurelle — la banque collecte deux fois plus de dépôts qu'elle n'accorde de crédits, ce qui limite la rentabilité des actifs mais renforce la solidité. Le coût du risque/charges financières de 3,74% reste modéré. L'autonomie financière de 2,82% est faible (norme &gt;30%), mais c'est une caractéristique structurelle des banques (effet de levier). Sur la base du rapport T1 2026 (PNB de 50,124 milliards FCFA, -2% ; résultat net de 6,555 milliards FCFA, +37%), on estime que l'exercice 2026 devrait confirmer la trajectoire de redressement avec un résultat net annualisé proche de 26-28 milliards FCFA, porté par la poursuite de la maîtrise des coûts et l'amélioration du coût du risque. Cependant, la baisse persistante du PNB (-2% au T1 2026) et le recul des crédits nets (-12%) constituent des risques pour la croissance future. La recommandation fondamentale est de **CONSERVER** : la solidité financière est restaurée, mais la dynamique commerciale reste fragile.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d'ORGT présente un profil contrasté : le PER de 9,8x suggère une sous-évaluation modérée par rapport aux bénéfices, tandis que l'EV/EBITDA de 19,8x et le P/B de 1,87x indiquent une valorisation raisonnable mais sans décote excessive. Le comportement du cours sur 100 jours est baissier (-12,23%), avec une volatilité élevée (44,8%) et une distribution platykurtique (kurtosis -1,164) qui limite le risque de pics extrêmes, mais le rebond de +5,72% en J-1 et le croisement haussier du stochastique (%K &gt; %D) suggèrent un possible retournement à court terme. Les signaux techniques sont divergents : les moyennes mobiles et le MACD restent baissiers, tandis que le RSI (33,6) et le stochastique amorcent une amélioration — une convergence haussière n'est pas encore établie. Les fondamentaux sont solides : retour à la rentabilité en 2025 (résultat net de 21,6 milliards FCFA), ROE de 19,1%, coefficient d'exploitation de 42,9%, et estimations positives pour 2026 (T1 2026 : résultat net +37%). Les prédictions IA (J+1 à J+10) tablent sur une légère appréciation vers 3 022 FCFA d'ici le 2 octobre 2026, confirmant une stabilisation voire un rebond modéré. **Recommandation finale : CONSERVER**, avec un niveau de confiance **Moyen** et un risque global **Élevé** (volatilité de 44,8%, dépendance à la baisse du coût du risque, fragilité du PNB). L'horizon d'investissement optimal est le **moyen terme (3-12 mois)**, le temps que la dynamique commerciale se confirme et que les signaux techniques convergent vers une tendance haussière durable. Un passage à l'ACHAT serait justifié si le PNB se stabilise et que le cours franchit la MM20 (3 188 FCFA) avec confirmation du MACD.</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125.22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4,003 titres</w:t>
            </w:r>
          </w:p>
        </w:tc>
        <w:tc>
          <w:tcPr>
            <w:tcW w:type="dxa" w:w="2268"/>
            <w:shd w:fill="FFF2CC" w:val="clear"/>
          </w:tcPr>
          <w:p>
            <w:r>
              <w:rPr>
                <w:b/>
                <w:color w:val="503200"/>
                <w:sz w:val="16"/>
              </w:rPr>
              <w:t xml:space="preserve">Cours actuel : </w:t>
            </w:r>
            <w:r>
              <w:rPr>
                <w:color w:val="000000"/>
                <w:sz w:val="17"/>
              </w:rPr>
              <w:t>8,100 FCFA</w:t>
            </w:r>
          </w:p>
          <w:p>
            <w:r>
              <w:rPr>
                <w:b/>
                <w:color w:val="503200"/>
                <w:sz w:val="16"/>
              </w:rPr>
              <w:t xml:space="preserve">Var. 100 jours : </w:t>
            </w:r>
            <w:r>
              <w:rPr>
                <w:b/>
                <w:color w:val="007800"/>
                <w:sz w:val="17"/>
              </w:rPr>
              <w:t>+15.71%</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6.20% (Moyenne) — μ=8,582 FCFA, σ=532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β=-0.0282 (Contre-cyclique) — Cov=-0.000002, Var(idx)=0.000069, ρ=-0.011,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4,003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σ_j=2.17%/j (Stable) — Vol. annualisée≈34.4%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7,847</w:t>
            </w:r>
          </w:p>
        </w:tc>
        <w:tc>
          <w:tcPr>
            <w:tcW w:type="dxa" w:w="1440"/>
            <w:shd w:fill="FAFAFA" w:val="clear"/>
          </w:tcPr>
          <w:p>
            <w:r>
              <w:rPr>
                <w:b/>
                <w:sz w:val="17"/>
              </w:rPr>
              <w:t>8,077</w:t>
            </w:r>
          </w:p>
        </w:tc>
        <w:tc>
          <w:tcPr>
            <w:tcW w:type="dxa" w:w="1440"/>
            <w:shd w:fill="FAFAFA" w:val="clear"/>
          </w:tcPr>
          <w:p>
            <w:r>
              <w:rPr>
                <w:sz w:val="17"/>
              </w:rPr>
              <w:t>8,308</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7,745</w:t>
            </w:r>
          </w:p>
        </w:tc>
        <w:tc>
          <w:tcPr>
            <w:tcW w:type="dxa" w:w="1440"/>
            <w:shd w:fill="FAFAFA" w:val="clear"/>
          </w:tcPr>
          <w:p>
            <w:r>
              <w:rPr>
                <w:b/>
                <w:sz w:val="17"/>
              </w:rPr>
              <w:t>8,071</w:t>
            </w:r>
          </w:p>
        </w:tc>
        <w:tc>
          <w:tcPr>
            <w:tcW w:type="dxa" w:w="1440"/>
            <w:shd w:fill="FAFAFA" w:val="clear"/>
          </w:tcPr>
          <w:p>
            <w:r>
              <w:rPr>
                <w:sz w:val="17"/>
              </w:rPr>
              <w:t>8,398</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7,665</w:t>
            </w:r>
          </w:p>
        </w:tc>
        <w:tc>
          <w:tcPr>
            <w:tcW w:type="dxa" w:w="1440"/>
            <w:shd w:fill="FAFAFA" w:val="clear"/>
          </w:tcPr>
          <w:p>
            <w:r>
              <w:rPr>
                <w:b/>
                <w:sz w:val="17"/>
              </w:rPr>
              <w:t>8,065</w:t>
            </w:r>
          </w:p>
        </w:tc>
        <w:tc>
          <w:tcPr>
            <w:tcW w:type="dxa" w:w="1440"/>
            <w:shd w:fill="FAFAFA" w:val="clear"/>
          </w:tcPr>
          <w:p>
            <w:r>
              <w:rPr>
                <w:sz w:val="17"/>
              </w:rPr>
              <w:t>8,464</w:t>
            </w:r>
          </w:p>
        </w:tc>
        <w:tc>
          <w:tcPr>
            <w:tcW w:type="dxa" w:w="1440"/>
            <w:shd w:fill="FAFAFA" w:val="clear"/>
          </w:tcPr>
          <w:p>
            <w:r>
              <w:rPr>
                <w:b/>
                <w:color w:val="C00000"/>
                <w:sz w:val="17"/>
              </w:rPr>
              <w:t>-0.4%</w:t>
            </w:r>
          </w:p>
        </w:tc>
      </w:tr>
      <w:tr>
        <w:tc>
          <w:tcPr>
            <w:tcW w:type="dxa" w:w="1440"/>
            <w:shd w:fill="FAFAFA" w:val="clear"/>
          </w:tcPr>
          <w:p>
            <w:r>
              <w:rPr>
                <w:sz w:val="17"/>
              </w:rPr>
              <w:t>J+4  Moyenne</w:t>
            </w:r>
          </w:p>
        </w:tc>
        <w:tc>
          <w:tcPr>
            <w:tcW w:type="dxa" w:w="1440"/>
            <w:shd w:fill="FAFAFA" w:val="clear"/>
          </w:tcPr>
          <w:p>
            <w:r>
              <w:rPr>
                <w:sz w:val="17"/>
              </w:rPr>
              <w:t>2026-10-01</w:t>
            </w:r>
          </w:p>
        </w:tc>
        <w:tc>
          <w:tcPr>
            <w:tcW w:type="dxa" w:w="1440"/>
            <w:shd w:fill="FAFAFA" w:val="clear"/>
          </w:tcPr>
          <w:p>
            <w:r>
              <w:rPr>
                <w:sz w:val="17"/>
              </w:rPr>
              <w:t>7,597</w:t>
            </w:r>
          </w:p>
        </w:tc>
        <w:tc>
          <w:tcPr>
            <w:tcW w:type="dxa" w:w="1440"/>
            <w:shd w:fill="FAFAFA" w:val="clear"/>
          </w:tcPr>
          <w:p>
            <w:r>
              <w:rPr>
                <w:b/>
                <w:sz w:val="17"/>
              </w:rPr>
              <w:t>8,057</w:t>
            </w:r>
          </w:p>
        </w:tc>
        <w:tc>
          <w:tcPr>
            <w:tcW w:type="dxa" w:w="1440"/>
            <w:shd w:fill="FAFAFA" w:val="clear"/>
          </w:tcPr>
          <w:p>
            <w:r>
              <w:rPr>
                <w:sz w:val="17"/>
              </w:rPr>
              <w:t>8,518</w:t>
            </w:r>
          </w:p>
        </w:tc>
        <w:tc>
          <w:tcPr>
            <w:tcW w:type="dxa" w:w="1440"/>
            <w:shd w:fill="FAFAFA" w:val="clear"/>
          </w:tcPr>
          <w:p>
            <w:r>
              <w:rPr>
                <w:b/>
                <w:color w:val="C00000"/>
                <w:sz w:val="17"/>
              </w:rPr>
              <w:t>-0.5%</w:t>
            </w:r>
          </w:p>
        </w:tc>
      </w:tr>
      <w:tr>
        <w:tc>
          <w:tcPr>
            <w:tcW w:type="dxa" w:w="1440"/>
            <w:shd w:fill="FAFAFA" w:val="clear"/>
          </w:tcPr>
          <w:p>
            <w:r>
              <w:rPr>
                <w:sz w:val="17"/>
              </w:rPr>
              <w:t>J+5  Moyenne</w:t>
            </w:r>
          </w:p>
        </w:tc>
        <w:tc>
          <w:tcPr>
            <w:tcW w:type="dxa" w:w="1440"/>
            <w:shd w:fill="FAFAFA" w:val="clear"/>
          </w:tcPr>
          <w:p>
            <w:r>
              <w:rPr>
                <w:sz w:val="17"/>
              </w:rPr>
              <w:t>2026-10-02</w:t>
            </w:r>
          </w:p>
        </w:tc>
        <w:tc>
          <w:tcPr>
            <w:tcW w:type="dxa" w:w="1440"/>
            <w:shd w:fill="FAFAFA" w:val="clear"/>
          </w:tcPr>
          <w:p>
            <w:r>
              <w:rPr>
                <w:sz w:val="17"/>
              </w:rPr>
              <w:t>7,536</w:t>
            </w:r>
          </w:p>
        </w:tc>
        <w:tc>
          <w:tcPr>
            <w:tcW w:type="dxa" w:w="1440"/>
            <w:shd w:fill="FAFAFA" w:val="clear"/>
          </w:tcPr>
          <w:p>
            <w:r>
              <w:rPr>
                <w:b/>
                <w:sz w:val="17"/>
              </w:rPr>
              <w:t>8,051</w:t>
            </w:r>
          </w:p>
        </w:tc>
        <w:tc>
          <w:tcPr>
            <w:tcW w:type="dxa" w:w="1440"/>
            <w:shd w:fill="FAFAFA" w:val="clear"/>
          </w:tcPr>
          <w:p>
            <w:r>
              <w:rPr>
                <w:sz w:val="17"/>
              </w:rPr>
              <w:t>8,565</w:t>
            </w:r>
          </w:p>
        </w:tc>
        <w:tc>
          <w:tcPr>
            <w:tcW w:type="dxa" w:w="1440"/>
            <w:shd w:fill="FAFAFA" w:val="clear"/>
          </w:tcPr>
          <w:p>
            <w:r>
              <w:rPr>
                <w:b/>
                <w:color w:val="C00000"/>
                <w:sz w:val="17"/>
              </w:rPr>
              <w:t>-0.6%</w:t>
            </w:r>
          </w:p>
        </w:tc>
      </w:tr>
      <w:tr>
        <w:tc>
          <w:tcPr>
            <w:tcW w:type="dxa" w:w="1440"/>
            <w:shd w:fill="FAFAFA" w:val="clear"/>
          </w:tcPr>
          <w:p>
            <w:r>
              <w:rPr>
                <w:sz w:val="17"/>
              </w:rPr>
              <w:t>J+6  Moyenne</w:t>
            </w:r>
          </w:p>
        </w:tc>
        <w:tc>
          <w:tcPr>
            <w:tcW w:type="dxa" w:w="1440"/>
            <w:shd w:fill="FAFAFA" w:val="clear"/>
          </w:tcPr>
          <w:p>
            <w:r>
              <w:rPr>
                <w:sz w:val="17"/>
              </w:rPr>
              <w:t>2026-10-05</w:t>
            </w:r>
          </w:p>
        </w:tc>
        <w:tc>
          <w:tcPr>
            <w:tcW w:type="dxa" w:w="1440"/>
            <w:shd w:fill="FAFAFA" w:val="clear"/>
          </w:tcPr>
          <w:p>
            <w:r>
              <w:rPr>
                <w:sz w:val="17"/>
              </w:rPr>
              <w:t>7,481</w:t>
            </w:r>
          </w:p>
        </w:tc>
        <w:tc>
          <w:tcPr>
            <w:tcW w:type="dxa" w:w="1440"/>
            <w:shd w:fill="FAFAFA" w:val="clear"/>
          </w:tcPr>
          <w:p>
            <w:r>
              <w:rPr>
                <w:b/>
                <w:sz w:val="17"/>
              </w:rPr>
              <w:t>8,044</w:t>
            </w:r>
          </w:p>
        </w:tc>
        <w:tc>
          <w:tcPr>
            <w:tcW w:type="dxa" w:w="1440"/>
            <w:shd w:fill="FAFAFA" w:val="clear"/>
          </w:tcPr>
          <w:p>
            <w:r>
              <w:rPr>
                <w:sz w:val="17"/>
              </w:rPr>
              <w:t>8,607</w:t>
            </w:r>
          </w:p>
        </w:tc>
        <w:tc>
          <w:tcPr>
            <w:tcW w:type="dxa" w:w="1440"/>
            <w:shd w:fill="FAFAFA" w:val="clear"/>
          </w:tcPr>
          <w:p>
            <w:r>
              <w:rPr>
                <w:b/>
                <w:color w:val="C00000"/>
                <w:sz w:val="17"/>
              </w:rPr>
              <w:t>-0.7%</w:t>
            </w:r>
          </w:p>
        </w:tc>
      </w:tr>
      <w:tr>
        <w:tc>
          <w:tcPr>
            <w:tcW w:type="dxa" w:w="1440"/>
            <w:shd w:fill="FAFAFA" w:val="clear"/>
          </w:tcPr>
          <w:p>
            <w:r>
              <w:rPr>
                <w:sz w:val="17"/>
              </w:rPr>
              <w:t>J+7  Moyenne</w:t>
            </w:r>
          </w:p>
        </w:tc>
        <w:tc>
          <w:tcPr>
            <w:tcW w:type="dxa" w:w="1440"/>
            <w:shd w:fill="FAFAFA" w:val="clear"/>
          </w:tcPr>
          <w:p>
            <w:r>
              <w:rPr>
                <w:sz w:val="17"/>
              </w:rPr>
              <w:t>2026-10-06</w:t>
            </w:r>
          </w:p>
        </w:tc>
        <w:tc>
          <w:tcPr>
            <w:tcW w:type="dxa" w:w="1440"/>
            <w:shd w:fill="FAFAFA" w:val="clear"/>
          </w:tcPr>
          <w:p>
            <w:r>
              <w:rPr>
                <w:sz w:val="17"/>
              </w:rPr>
              <w:t>7,430</w:t>
            </w:r>
          </w:p>
        </w:tc>
        <w:tc>
          <w:tcPr>
            <w:tcW w:type="dxa" w:w="1440"/>
            <w:shd w:fill="FAFAFA" w:val="clear"/>
          </w:tcPr>
          <w:p>
            <w:r>
              <w:rPr>
                <w:b/>
                <w:sz w:val="17"/>
              </w:rPr>
              <w:t>8,037</w:t>
            </w:r>
          </w:p>
        </w:tc>
        <w:tc>
          <w:tcPr>
            <w:tcW w:type="dxa" w:w="1440"/>
            <w:shd w:fill="FAFAFA" w:val="clear"/>
          </w:tcPr>
          <w:p>
            <w:r>
              <w:rPr>
                <w:sz w:val="17"/>
              </w:rPr>
              <w:t>8,645</w:t>
            </w:r>
          </w:p>
        </w:tc>
        <w:tc>
          <w:tcPr>
            <w:tcW w:type="dxa" w:w="1440"/>
            <w:shd w:fill="FAFAFA" w:val="clear"/>
          </w:tcPr>
          <w:p>
            <w:r>
              <w:rPr>
                <w:b/>
                <w:color w:val="C00000"/>
                <w:sz w:val="17"/>
              </w:rPr>
              <w:t>-0.8%</w:t>
            </w:r>
          </w:p>
        </w:tc>
      </w:tr>
      <w:tr>
        <w:tc>
          <w:tcPr>
            <w:tcW w:type="dxa" w:w="1440"/>
            <w:shd w:fill="FAFAFA" w:val="clear"/>
          </w:tcPr>
          <w:p>
            <w:r>
              <w:rPr>
                <w:sz w:val="17"/>
              </w:rPr>
              <w:t>J+8  Moyenne</w:t>
            </w:r>
          </w:p>
        </w:tc>
        <w:tc>
          <w:tcPr>
            <w:tcW w:type="dxa" w:w="1440"/>
            <w:shd w:fill="FAFAFA" w:val="clear"/>
          </w:tcPr>
          <w:p>
            <w:r>
              <w:rPr>
                <w:sz w:val="17"/>
              </w:rPr>
              <w:t>2026-10-07</w:t>
            </w:r>
          </w:p>
        </w:tc>
        <w:tc>
          <w:tcPr>
            <w:tcW w:type="dxa" w:w="1440"/>
            <w:shd w:fill="FAFAFA" w:val="clear"/>
          </w:tcPr>
          <w:p>
            <w:r>
              <w:rPr>
                <w:sz w:val="17"/>
              </w:rPr>
              <w:t>7,382</w:t>
            </w:r>
          </w:p>
        </w:tc>
        <w:tc>
          <w:tcPr>
            <w:tcW w:type="dxa" w:w="1440"/>
            <w:shd w:fill="FAFAFA" w:val="clear"/>
          </w:tcPr>
          <w:p>
            <w:r>
              <w:rPr>
                <w:b/>
                <w:sz w:val="17"/>
              </w:rPr>
              <w:t>8,031</w:t>
            </w:r>
          </w:p>
        </w:tc>
        <w:tc>
          <w:tcPr>
            <w:tcW w:type="dxa" w:w="1440"/>
            <w:shd w:fill="FAFAFA" w:val="clear"/>
          </w:tcPr>
          <w:p>
            <w:r>
              <w:rPr>
                <w:sz w:val="17"/>
              </w:rPr>
              <w:t>8,681</w:t>
            </w:r>
          </w:p>
        </w:tc>
        <w:tc>
          <w:tcPr>
            <w:tcW w:type="dxa" w:w="1440"/>
            <w:shd w:fill="FAFAFA" w:val="clear"/>
          </w:tcPr>
          <w:p>
            <w:r>
              <w:rPr>
                <w:b/>
                <w:color w:val="C00000"/>
                <w:sz w:val="17"/>
              </w:rPr>
              <w:t>-0.8%</w:t>
            </w:r>
          </w:p>
        </w:tc>
      </w:tr>
      <w:tr>
        <w:tc>
          <w:tcPr>
            <w:tcW w:type="dxa" w:w="1440"/>
            <w:shd w:fill="FAFAFA" w:val="clear"/>
          </w:tcPr>
          <w:p>
            <w:r>
              <w:rPr>
                <w:sz w:val="17"/>
              </w:rPr>
              <w:t>J+9  Moyenne</w:t>
            </w:r>
          </w:p>
        </w:tc>
        <w:tc>
          <w:tcPr>
            <w:tcW w:type="dxa" w:w="1440"/>
            <w:shd w:fill="FAFAFA" w:val="clear"/>
          </w:tcPr>
          <w:p>
            <w:r>
              <w:rPr>
                <w:sz w:val="17"/>
              </w:rPr>
              <w:t>2026-10-08</w:t>
            </w:r>
          </w:p>
        </w:tc>
        <w:tc>
          <w:tcPr>
            <w:tcW w:type="dxa" w:w="1440"/>
            <w:shd w:fill="FAFAFA" w:val="clear"/>
          </w:tcPr>
          <w:p>
            <w:r>
              <w:rPr>
                <w:sz w:val="17"/>
              </w:rPr>
              <w:t>7,337</w:t>
            </w:r>
          </w:p>
        </w:tc>
        <w:tc>
          <w:tcPr>
            <w:tcW w:type="dxa" w:w="1440"/>
            <w:shd w:fill="FAFAFA" w:val="clear"/>
          </w:tcPr>
          <w:p>
            <w:r>
              <w:rPr>
                <w:b/>
                <w:sz w:val="17"/>
              </w:rPr>
              <w:t>8,025</w:t>
            </w:r>
          </w:p>
        </w:tc>
        <w:tc>
          <w:tcPr>
            <w:tcW w:type="dxa" w:w="1440"/>
            <w:shd w:fill="FAFAFA" w:val="clear"/>
          </w:tcPr>
          <w:p>
            <w:r>
              <w:rPr>
                <w:sz w:val="17"/>
              </w:rPr>
              <w:t>8,713</w:t>
            </w:r>
          </w:p>
        </w:tc>
        <w:tc>
          <w:tcPr>
            <w:tcW w:type="dxa" w:w="1440"/>
            <w:shd w:fill="FAFAFA" w:val="clear"/>
          </w:tcPr>
          <w:p>
            <w:r>
              <w:rPr>
                <w:b/>
                <w:color w:val="C00000"/>
                <w:sz w:val="17"/>
              </w:rPr>
              <w:t>-0.9%</w:t>
            </w:r>
          </w:p>
        </w:tc>
      </w:tr>
      <w:tr>
        <w:tc>
          <w:tcPr>
            <w:tcW w:type="dxa" w:w="1440"/>
            <w:shd w:fill="FAFAFA" w:val="clear"/>
          </w:tcPr>
          <w:p>
            <w:r>
              <w:rPr>
                <w:sz w:val="17"/>
              </w:rPr>
              <w:t>J+10  Moyenne</w:t>
            </w:r>
          </w:p>
        </w:tc>
        <w:tc>
          <w:tcPr>
            <w:tcW w:type="dxa" w:w="1440"/>
            <w:shd w:fill="FAFAFA" w:val="clear"/>
          </w:tcPr>
          <w:p>
            <w:r>
              <w:rPr>
                <w:sz w:val="17"/>
              </w:rPr>
              <w:t>2026-10-09</w:t>
            </w:r>
          </w:p>
        </w:tc>
        <w:tc>
          <w:tcPr>
            <w:tcW w:type="dxa" w:w="1440"/>
            <w:shd w:fill="FAFAFA" w:val="clear"/>
          </w:tcPr>
          <w:p>
            <w:r>
              <w:rPr>
                <w:sz w:val="17"/>
              </w:rPr>
              <w:t>7,295</w:t>
            </w:r>
          </w:p>
        </w:tc>
        <w:tc>
          <w:tcPr>
            <w:tcW w:type="dxa" w:w="1440"/>
            <w:shd w:fill="FAFAFA" w:val="clear"/>
          </w:tcPr>
          <w:p>
            <w:r>
              <w:rPr>
                <w:b/>
                <w:sz w:val="17"/>
              </w:rPr>
              <w:t>8,019</w:t>
            </w:r>
          </w:p>
        </w:tc>
        <w:tc>
          <w:tcPr>
            <w:tcW w:type="dxa" w:w="1440"/>
            <w:shd w:fill="FAFAFA" w:val="clear"/>
          </w:tcPr>
          <w:p>
            <w:r>
              <w:rPr>
                <w:sz w:val="17"/>
              </w:rPr>
              <w:t>8,744</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Secteur Agro-industriel*</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125,22 milliards FCFA, PALC se positionne comme une valeur de premier plan de la cote BRVM, représentant un acteur agro-industriel majeur de l'espace UEMOA. Le BPA de 1 003 FCFA/action signifie que chaque titre génère environ 1 003 FCFA de bénéfice net, ce qui, rapporté au cours actuel de 8 100 FCFA, confère au titre un PER de 8,1x — nettement inférieur à la moyenne BRVM (8-12x) et donc potentiellement sous-évalué. Le ratio P/B de 0,88x (&lt; 1) indique que le marché valorise PALC en dessous de sa valeur comptable, une situation qui peut signaler une opportunité d'investissement ou une défiance persistante du marché. Enfin, l'EV/EBITDA de 4,0x (&lt; 5x) traduit une valorisation très attractive de la capacité opérationnelle de l'entreprise, renforçant l'hypothèse d'une sous-évaluation globale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PALC a enregistré une progression totale de +15,71%, avec une dernière séance positive (+0,56%), confirmant une dynamique haussière de fond malgré une phase de correction récente. Le cours actuel de 8 100 FCFA se situe dans la partie médiane-basse du range de trading, le plus haut ayant atteint 9 640 FCFA et le plus bas 7 000 FCFA, soit un écart de 2 640 FCFA (37,7%) qui témoigne d'une amplitude significative. La moyenne (8 582 FCFA) est légèrement supérieure à la médiane (8 690 FCFA), mais l'écart reste modéré, tandis que le mode à 7 800 FCFA suggère que le marché a longtemps stationné autour de ce niveau avant de se redresser. L'écart-type de 535 FCFA (CV = 6,2%) indique une dispersion relativement contenue du cours autour de sa moyenne, ce qui est rassurant pour la stabilité du titre. Le kurtosis de -0,077 (mésokurtique) et le skewness de -0,467 (distribution symétrique) révèlent un comportement proche d'une loi normale, sans risque excessif de pics extrêmes ni asymétrie marquée. La volatilité annualisée de 34,4% classe PALC dans la catégorie des titres à volatilité élevée (&gt;30%), ce qui implique un risque de marché non négligeable mais compatible avec un profil d'investisseur dynamique.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(8 584,75 FCFA) et la MM50 (8 858,90 FCFA) se situent toutes deux au-dessus du cours actuel (8 100 FCFA), avec une MM20 inférieure à la MM50, configuration baissière classique. Le cours évoluant sous ses deux moyennes, la décision technique est logiquement « Vente », signalant une pression vendeuse persistante à court et moyen terme.</w:t>
      </w:r>
    </w:p>
    <w:p>
      <w:pPr>
        <w:spacing w:after="120" w:line="276" w:lineRule="auto"/>
      </w:pPr>
      <w:r>
        <w:t>**Bandes de Bollinger** : Le cours (8 100 FCFA) se situe dans la moitié inférieure de la bande, entre la borne inférieure (7 780,33 FCFA) et la borne supérieure (9 389,18 FCFA), sans franchissement des extrêmes. Cette position médiane-basse, couplée à une largeur de bande significative, traduit une volatilité modérée et une absence de signal directionnel fort, justifiant la décision « Neutre ».</w:t>
      </w:r>
    </w:p>
    <w:p>
      <w:pPr>
        <w:spacing w:after="120" w:line="276" w:lineRule="auto"/>
      </w:pPr>
      <w:r>
        <w:t>**MACD** : La valeur du MACD (-242,05) est inférieure à son signal (-189,20), confirmant une divergence baissière et un momentum négatif. Le croisement MACD sous sa ligne de signal, observé récemment, valide la décision « Vente » et suggère que la pression baissière pourrait perdurer à court terme.</w:t>
      </w:r>
    </w:p>
    <w:p>
      <w:pPr>
        <w:spacing w:after="120" w:line="276" w:lineRule="auto"/>
      </w:pPr>
      <w:r>
        <w:t>**RSI** : À 25,18, le RSI se situe nettement en zone de survente (&lt; 30), signalant que le titre a été excessivement vendu et qu'un rebond technique est probable. Cette configuration justifie la décision « Achat » et contraste avec les signaux baissiers des moyennes mobiles et du MACD.</w:t>
      </w:r>
    </w:p>
    <w:p>
      <w:pPr>
        <w:spacing w:after="120" w:line="276" w:lineRule="auto"/>
      </w:pPr>
      <w:r>
        <w:t>**Stochastique** : Le %K (8,26) et le %D (2,75) sont tous deux en zone de survente extrême, avec un %K supérieur au %D, ce qui pourrait préfigurer un croisement haussier imminent. La décision « Achat » est cohérente avec cette configuration, suggérant une possible inversion de tendance à très court terme.</w:t>
      </w:r>
    </w:p>
    <w:p>
      <w:pPr>
        <w:spacing w:after="120" w:line="276" w:lineRule="auto"/>
      </w:pPr>
      <w:r>
        <w:t>**Conclusion technique** : Les indicateurs présentent une divergence notable : les moyennes mobiles et le MACD émettent des signaux baissiers, tandis que le RSI et le stochastique, en zone de survente, plaident pour un rebond technique. Cette configuration contradictoire suggère une phase de consolidation avec un potentiel de rebond à court terme, mais la prudence reste de mise tant que le cours n'aura pas reconquis ses moyennes mobiles.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PALC (PALMCI S.A.) affiche un chiffre d'affaires de 197,63 milliards FCFA, en croissance de +14,78% par rapport à 2024 (172,2 milliards FCFA), portée par la hausse des volumes et des prix de l'huile de palme brute. Le résultat net s'établit à 15,51 milliards FCFA, en léger recul de -2,2% par rapport à 2024 (15,9 milliards FCFA), avec une marge nette de 7,85% (contre 9,2% en 2024), sous l'effet de la pression sur les coûts (charges de personnel +4%, services extérieurs +30,3%). Le ROE de 10,87% et le ROA de 7,79% demeurent corrects mais en deçà du seuil d'excellence de 15%, reflétant une rentabilité modérée. La structure financière reste très solide avec une autonomie financière de 71,64%, un ratio d'endettement de 0,56% et une trésorerie nette négative de -4,56 milliards FCFA, bien que couverte par une CAFG de 30,57 milliards FCFA. Le BFR de 44,62 milliards FCFA et le délai client élevé de 142,58 jours constituent des points de vigilance pour la trésorerie, tandis que la rotation des stocks (14,55 jours) est satisfaisante. Les rapports trimestriels de 2025 confirment cette dynamique : le T1 2025 (rapport du 31/03/2025) affichait un CA de 67,5 milliards FCFA (+32%) et un résultat net de 11,6 milliards FCFA (+65%), le S1 2025 (rapport du 30/06/2025) un CA de 134,8 milliards FCFA (+25%) et un résultat net de 22,9 milliards FCFA (+37%), et le T3 2025 (rapport du 30/09/2025) un CA de 168,9 milliards FCFA (+18%) et un résultat net de 18,0 milliards FCFA (+11%). Cependant, le rapport du T1 2026 (publié en 2026) révèle un effondrement du CA (-27% à 49,4 milliards FCFA) et du résultat net (-86% à 1,6 milliard FCFA), que la direction attribue à un décalage temporel des ventes. Sur la base de ces éléments, on estime que l'exercice 2026 pourrait être marqué par une forte volatilité, avec un redressement attendu au second semestre si les stocks sont écoulés à l'export. La recommandation fondamentale est de **conserver** le titre, en surveillant étroitement l'évolution des marges, de la trésorerie et des cours de l'huile de palme.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apparaît globalement attractive : PER de 8,1x (sous la moyenne BRVM), P/B de 0,88x (&lt; 1) et EV/EBITDA de 4,0x (&lt; 5x) suggèrent une sous-évaluation du titre par le marché. Le comportement du cours sur 100 jours est haussier (+15,71%) mais avec une volatilité élevée (34,4%) et une distribution symétrique (skewness -0,467, kurtosis -0,077), sans risque excessif de pics extrêmes. Les signaux techniques sont divergents : baissiers pour les moyennes mobiles et le MACD, haussiers pour le RSI (25,18) et le stochastique (8,26), tous deux en zone de survente, ce qui plaide pour un rebond technique à court terme. Les fondamentaux de 2025 sont solides (CA +14,78%, ROE 10,87%, autonomie financière 71,64%), mais le T1 2026 (CA -27%, résultat net -86%) introduit une incertitude majeure, que la direction qualifie de décalage temporel. Les prédictions IA (J+1 à J+10) anticipent une légère baisse du cours (8 077 FCFA à 8 051 FCFA), confirmant la pression baissière à court terme mais sans effondrement. Sur la base de cette synthèse, la recommandation finale est **CONSERVER**, avec un niveau de confiance **Moyen** et un risque global **Moyen**. L'horizon d'investissement optimal est le **moyen terme (3-12 mois)**, en attendant la confirmation d'un redressement des ventes et d'une stabilisation des marges au second semestre 2026. Un passage à l'achat serait justifié si le cours reconquiert ses moyennes mobiles (MM20 à 8 584 FCFA) et si les résultats du S1 2026 confirment l'écoulement des stocks à l'export.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42.96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1,169 titres</w:t>
            </w:r>
          </w:p>
        </w:tc>
        <w:tc>
          <w:tcPr>
            <w:tcW w:type="dxa" w:w="2268"/>
            <w:shd w:fill="FFF2CC" w:val="clear"/>
          </w:tcPr>
          <w:p>
            <w:r>
              <w:rPr>
                <w:b/>
                <w:color w:val="503200"/>
                <w:sz w:val="16"/>
              </w:rPr>
              <w:t xml:space="preserve">Cours actuel : </w:t>
            </w:r>
            <w:r>
              <w:rPr>
                <w:color w:val="000000"/>
                <w:sz w:val="17"/>
              </w:rPr>
              <w:t>4,195 FCFA</w:t>
            </w:r>
          </w:p>
          <w:p>
            <w:r>
              <w:rPr>
                <w:b/>
                <w:color w:val="503200"/>
                <w:sz w:val="16"/>
              </w:rPr>
              <w:t xml:space="preserve">Var. 100 jours : </w:t>
            </w:r>
            <w:r>
              <w:rPr>
                <w:b/>
                <w:color w:val="B40000"/>
                <w:sz w:val="17"/>
              </w:rPr>
              <w:t>-1.41%</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18.5/100 → Faible</w:t>
      </w:r>
    </w:p>
    <w:p>
      <w:pPr>
        <w:spacing w:before="40" w:after="80"/>
      </w:pPr>
      <w:r>
        <w:rPr>
          <w:rFonts w:ascii="Courier New" w:hAnsi="Courier New"/>
          <w:color w:val="006400"/>
          <w:sz w:val="18"/>
        </w:rPr>
        <w:t>███░░░░░░░░░░░░░░░░░  18.5/100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6.22% (Moyenne) — μ=4,341 FCFA, σ=270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β=-0.1479 (Contre-cyclique) — Cov=-0.000010, Var(idx)=0.000069, ρ=-0.052,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4,043</w:t>
            </w:r>
          </w:p>
        </w:tc>
        <w:tc>
          <w:tcPr>
            <w:tcW w:type="dxa" w:w="1440"/>
            <w:shd w:fill="FAFAFA" w:val="clear"/>
          </w:tcPr>
          <w:p>
            <w:r>
              <w:rPr>
                <w:b/>
                <w:sz w:val="17"/>
              </w:rPr>
              <w:t>4,148</w:t>
            </w:r>
          </w:p>
        </w:tc>
        <w:tc>
          <w:tcPr>
            <w:tcW w:type="dxa" w:w="1440"/>
            <w:shd w:fill="FAFAFA" w:val="clear"/>
          </w:tcPr>
          <w:p>
            <w:r>
              <w:rPr>
                <w:sz w:val="17"/>
              </w:rPr>
              <w:t>4,254</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4,000</w:t>
            </w:r>
          </w:p>
        </w:tc>
        <w:tc>
          <w:tcPr>
            <w:tcW w:type="dxa" w:w="1440"/>
            <w:shd w:fill="FAFAFA" w:val="clear"/>
          </w:tcPr>
          <w:p>
            <w:r>
              <w:rPr>
                <w:b/>
                <w:sz w:val="17"/>
              </w:rPr>
              <w:t>4,149</w:t>
            </w:r>
          </w:p>
        </w:tc>
        <w:tc>
          <w:tcPr>
            <w:tcW w:type="dxa" w:w="1440"/>
            <w:shd w:fill="FAFAFA" w:val="clear"/>
          </w:tcPr>
          <w:p>
            <w:r>
              <w:rPr>
                <w:sz w:val="17"/>
              </w:rPr>
              <w:t>4,298</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3,962</w:t>
            </w:r>
          </w:p>
        </w:tc>
        <w:tc>
          <w:tcPr>
            <w:tcW w:type="dxa" w:w="1440"/>
            <w:shd w:fill="FAFAFA" w:val="clear"/>
          </w:tcPr>
          <w:p>
            <w:r>
              <w:rPr>
                <w:b/>
                <w:sz w:val="17"/>
              </w:rPr>
              <w:t>4,144</w:t>
            </w:r>
          </w:p>
        </w:tc>
        <w:tc>
          <w:tcPr>
            <w:tcW w:type="dxa" w:w="1440"/>
            <w:shd w:fill="FAFAFA" w:val="clear"/>
          </w:tcPr>
          <w:p>
            <w:r>
              <w:rPr>
                <w:sz w:val="17"/>
              </w:rPr>
              <w:t>4,326</w:t>
            </w:r>
          </w:p>
        </w:tc>
        <w:tc>
          <w:tcPr>
            <w:tcW w:type="dxa" w:w="1440"/>
            <w:shd w:fill="FAFAFA" w:val="clear"/>
          </w:tcPr>
          <w:p>
            <w:r>
              <w:rPr>
                <w:b/>
                <w:color w:val="C00000"/>
                <w:sz w:val="17"/>
              </w:rPr>
              <w:t>-1.2%</w:t>
            </w:r>
          </w:p>
        </w:tc>
      </w:tr>
      <w:tr>
        <w:tc>
          <w:tcPr>
            <w:tcW w:type="dxa" w:w="1440"/>
            <w:shd w:fill="FAFAFA" w:val="clear"/>
          </w:tcPr>
          <w:p>
            <w:r>
              <w:rPr>
                <w:sz w:val="17"/>
              </w:rPr>
              <w:t>J+4  Moyenne</w:t>
            </w:r>
          </w:p>
        </w:tc>
        <w:tc>
          <w:tcPr>
            <w:tcW w:type="dxa" w:w="1440"/>
            <w:shd w:fill="FAFAFA" w:val="clear"/>
          </w:tcPr>
          <w:p>
            <w:r>
              <w:rPr>
                <w:sz w:val="17"/>
              </w:rPr>
              <w:t>2026-10-01</w:t>
            </w:r>
          </w:p>
        </w:tc>
        <w:tc>
          <w:tcPr>
            <w:tcW w:type="dxa" w:w="1440"/>
            <w:shd w:fill="FAFAFA" w:val="clear"/>
          </w:tcPr>
          <w:p>
            <w:r>
              <w:rPr>
                <w:sz w:val="17"/>
              </w:rPr>
              <w:t>3,928</w:t>
            </w:r>
          </w:p>
        </w:tc>
        <w:tc>
          <w:tcPr>
            <w:tcW w:type="dxa" w:w="1440"/>
            <w:shd w:fill="FAFAFA" w:val="clear"/>
          </w:tcPr>
          <w:p>
            <w:r>
              <w:rPr>
                <w:b/>
                <w:sz w:val="17"/>
              </w:rPr>
              <w:t>4,138</w:t>
            </w:r>
          </w:p>
        </w:tc>
        <w:tc>
          <w:tcPr>
            <w:tcW w:type="dxa" w:w="1440"/>
            <w:shd w:fill="FAFAFA" w:val="clear"/>
          </w:tcPr>
          <w:p>
            <w:r>
              <w:rPr>
                <w:sz w:val="17"/>
              </w:rPr>
              <w:t>4,348</w:t>
            </w:r>
          </w:p>
        </w:tc>
        <w:tc>
          <w:tcPr>
            <w:tcW w:type="dxa" w:w="1440"/>
            <w:shd w:fill="FAFAFA" w:val="clear"/>
          </w:tcPr>
          <w:p>
            <w:r>
              <w:rPr>
                <w:b/>
                <w:color w:val="C00000"/>
                <w:sz w:val="17"/>
              </w:rPr>
              <w:t>-1.4%</w:t>
            </w:r>
          </w:p>
        </w:tc>
      </w:tr>
      <w:tr>
        <w:tc>
          <w:tcPr>
            <w:tcW w:type="dxa" w:w="1440"/>
            <w:shd w:fill="FAFAFA" w:val="clear"/>
          </w:tcPr>
          <w:p>
            <w:r>
              <w:rPr>
                <w:sz w:val="17"/>
              </w:rPr>
              <w:t>J+5  Moyenne</w:t>
            </w:r>
          </w:p>
        </w:tc>
        <w:tc>
          <w:tcPr>
            <w:tcW w:type="dxa" w:w="1440"/>
            <w:shd w:fill="FAFAFA" w:val="clear"/>
          </w:tcPr>
          <w:p>
            <w:r>
              <w:rPr>
                <w:sz w:val="17"/>
              </w:rPr>
              <w:t>2026-10-02</w:t>
            </w:r>
          </w:p>
        </w:tc>
        <w:tc>
          <w:tcPr>
            <w:tcW w:type="dxa" w:w="1440"/>
            <w:shd w:fill="FAFAFA" w:val="clear"/>
          </w:tcPr>
          <w:p>
            <w:r>
              <w:rPr>
                <w:sz w:val="17"/>
              </w:rPr>
              <w:t>3,898</w:t>
            </w:r>
          </w:p>
        </w:tc>
        <w:tc>
          <w:tcPr>
            <w:tcW w:type="dxa" w:w="1440"/>
            <w:shd w:fill="FAFAFA" w:val="clear"/>
          </w:tcPr>
          <w:p>
            <w:r>
              <w:rPr>
                <w:b/>
                <w:sz w:val="17"/>
              </w:rPr>
              <w:t>4,132</w:t>
            </w:r>
          </w:p>
        </w:tc>
        <w:tc>
          <w:tcPr>
            <w:tcW w:type="dxa" w:w="1440"/>
            <w:shd w:fill="FAFAFA" w:val="clear"/>
          </w:tcPr>
          <w:p>
            <w:r>
              <w:rPr>
                <w:sz w:val="17"/>
              </w:rPr>
              <w:t>4,367</w:t>
            </w:r>
          </w:p>
        </w:tc>
        <w:tc>
          <w:tcPr>
            <w:tcW w:type="dxa" w:w="1440"/>
            <w:shd w:fill="FAFAFA" w:val="clear"/>
          </w:tcPr>
          <w:p>
            <w:r>
              <w:rPr>
                <w:b/>
                <w:color w:val="C00000"/>
                <w:sz w:val="17"/>
              </w:rPr>
              <w:t>-1.5%</w:t>
            </w:r>
          </w:p>
        </w:tc>
      </w:tr>
      <w:tr>
        <w:tc>
          <w:tcPr>
            <w:tcW w:type="dxa" w:w="1440"/>
            <w:shd w:fill="FAFAFA" w:val="clear"/>
          </w:tcPr>
          <w:p>
            <w:r>
              <w:rPr>
                <w:sz w:val="17"/>
              </w:rPr>
              <w:t>J+6  Moyenne</w:t>
            </w:r>
          </w:p>
        </w:tc>
        <w:tc>
          <w:tcPr>
            <w:tcW w:type="dxa" w:w="1440"/>
            <w:shd w:fill="FAFAFA" w:val="clear"/>
          </w:tcPr>
          <w:p>
            <w:r>
              <w:rPr>
                <w:sz w:val="17"/>
              </w:rPr>
              <w:t>2026-10-05</w:t>
            </w:r>
          </w:p>
        </w:tc>
        <w:tc>
          <w:tcPr>
            <w:tcW w:type="dxa" w:w="1440"/>
            <w:shd w:fill="FAFAFA" w:val="clear"/>
          </w:tcPr>
          <w:p>
            <w:r>
              <w:rPr>
                <w:sz w:val="17"/>
              </w:rPr>
              <w:t>3,870</w:t>
            </w:r>
          </w:p>
        </w:tc>
        <w:tc>
          <w:tcPr>
            <w:tcW w:type="dxa" w:w="1440"/>
            <w:shd w:fill="FAFAFA" w:val="clear"/>
          </w:tcPr>
          <w:p>
            <w:r>
              <w:rPr>
                <w:b/>
                <w:sz w:val="17"/>
              </w:rPr>
              <w:t>4,127</w:t>
            </w:r>
          </w:p>
        </w:tc>
        <w:tc>
          <w:tcPr>
            <w:tcW w:type="dxa" w:w="1440"/>
            <w:shd w:fill="FAFAFA" w:val="clear"/>
          </w:tcPr>
          <w:p>
            <w:r>
              <w:rPr>
                <w:sz w:val="17"/>
              </w:rPr>
              <w:t>4,384</w:t>
            </w:r>
          </w:p>
        </w:tc>
        <w:tc>
          <w:tcPr>
            <w:tcW w:type="dxa" w:w="1440"/>
            <w:shd w:fill="FAFAFA" w:val="clear"/>
          </w:tcPr>
          <w:p>
            <w:r>
              <w:rPr>
                <w:b/>
                <w:color w:val="C00000"/>
                <w:sz w:val="17"/>
              </w:rPr>
              <w:t>-1.6%</w:t>
            </w:r>
          </w:p>
        </w:tc>
      </w:tr>
      <w:tr>
        <w:tc>
          <w:tcPr>
            <w:tcW w:type="dxa" w:w="1440"/>
            <w:shd w:fill="FAFAFA" w:val="clear"/>
          </w:tcPr>
          <w:p>
            <w:r>
              <w:rPr>
                <w:sz w:val="17"/>
              </w:rPr>
              <w:t>J+7  Moyenne</w:t>
            </w:r>
          </w:p>
        </w:tc>
        <w:tc>
          <w:tcPr>
            <w:tcW w:type="dxa" w:w="1440"/>
            <w:shd w:fill="FAFAFA" w:val="clear"/>
          </w:tcPr>
          <w:p>
            <w:r>
              <w:rPr>
                <w:sz w:val="17"/>
              </w:rPr>
              <w:t>2026-10-06</w:t>
            </w:r>
          </w:p>
        </w:tc>
        <w:tc>
          <w:tcPr>
            <w:tcW w:type="dxa" w:w="1440"/>
            <w:shd w:fill="FAFAFA" w:val="clear"/>
          </w:tcPr>
          <w:p>
            <w:r>
              <w:rPr>
                <w:sz w:val="17"/>
              </w:rPr>
              <w:t>3,845</w:t>
            </w:r>
          </w:p>
        </w:tc>
        <w:tc>
          <w:tcPr>
            <w:tcW w:type="dxa" w:w="1440"/>
            <w:shd w:fill="FAFAFA" w:val="clear"/>
          </w:tcPr>
          <w:p>
            <w:r>
              <w:rPr>
                <w:b/>
                <w:sz w:val="17"/>
              </w:rPr>
              <w:t>4,122</w:t>
            </w:r>
          </w:p>
        </w:tc>
        <w:tc>
          <w:tcPr>
            <w:tcW w:type="dxa" w:w="1440"/>
            <w:shd w:fill="FAFAFA" w:val="clear"/>
          </w:tcPr>
          <w:p>
            <w:r>
              <w:rPr>
                <w:sz w:val="17"/>
              </w:rPr>
              <w:t>4,400</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2026-10-07</w:t>
            </w:r>
          </w:p>
        </w:tc>
        <w:tc>
          <w:tcPr>
            <w:tcW w:type="dxa" w:w="1440"/>
            <w:shd w:fill="FAFAFA" w:val="clear"/>
          </w:tcPr>
          <w:p>
            <w:r>
              <w:rPr>
                <w:sz w:val="17"/>
              </w:rPr>
              <w:t>3,822</w:t>
            </w:r>
          </w:p>
        </w:tc>
        <w:tc>
          <w:tcPr>
            <w:tcW w:type="dxa" w:w="1440"/>
            <w:shd w:fill="FAFAFA" w:val="clear"/>
          </w:tcPr>
          <w:p>
            <w:r>
              <w:rPr>
                <w:b/>
                <w:sz w:val="17"/>
              </w:rPr>
              <w:t>4,118</w:t>
            </w:r>
          </w:p>
        </w:tc>
        <w:tc>
          <w:tcPr>
            <w:tcW w:type="dxa" w:w="1440"/>
            <w:shd w:fill="FAFAFA" w:val="clear"/>
          </w:tcPr>
          <w:p>
            <w:r>
              <w:rPr>
                <w:sz w:val="17"/>
              </w:rPr>
              <w:t>4,414</w:t>
            </w:r>
          </w:p>
        </w:tc>
        <w:tc>
          <w:tcPr>
            <w:tcW w:type="dxa" w:w="1440"/>
            <w:shd w:fill="FAFAFA" w:val="clear"/>
          </w:tcPr>
          <w:p>
            <w:r>
              <w:rPr>
                <w:b/>
                <w:color w:val="C00000"/>
                <w:sz w:val="17"/>
              </w:rPr>
              <w:t>-1.8%</w:t>
            </w:r>
          </w:p>
        </w:tc>
      </w:tr>
      <w:tr>
        <w:tc>
          <w:tcPr>
            <w:tcW w:type="dxa" w:w="1440"/>
            <w:shd w:fill="FAFAFA" w:val="clear"/>
          </w:tcPr>
          <w:p>
            <w:r>
              <w:rPr>
                <w:sz w:val="17"/>
              </w:rPr>
              <w:t>J+9  Moyenne</w:t>
            </w:r>
          </w:p>
        </w:tc>
        <w:tc>
          <w:tcPr>
            <w:tcW w:type="dxa" w:w="1440"/>
            <w:shd w:fill="FAFAFA" w:val="clear"/>
          </w:tcPr>
          <w:p>
            <w:r>
              <w:rPr>
                <w:sz w:val="17"/>
              </w:rPr>
              <w:t>2026-10-08</w:t>
            </w:r>
          </w:p>
        </w:tc>
        <w:tc>
          <w:tcPr>
            <w:tcW w:type="dxa" w:w="1440"/>
            <w:shd w:fill="FAFAFA" w:val="clear"/>
          </w:tcPr>
          <w:p>
            <w:r>
              <w:rPr>
                <w:sz w:val="17"/>
              </w:rPr>
              <w:t>3,799</w:t>
            </w:r>
          </w:p>
        </w:tc>
        <w:tc>
          <w:tcPr>
            <w:tcW w:type="dxa" w:w="1440"/>
            <w:shd w:fill="FAFAFA" w:val="clear"/>
          </w:tcPr>
          <w:p>
            <w:r>
              <w:rPr>
                <w:b/>
                <w:sz w:val="17"/>
              </w:rPr>
              <w:t>4,113</w:t>
            </w:r>
          </w:p>
        </w:tc>
        <w:tc>
          <w:tcPr>
            <w:tcW w:type="dxa" w:w="1440"/>
            <w:shd w:fill="FAFAFA" w:val="clear"/>
          </w:tcPr>
          <w:p>
            <w:r>
              <w:rPr>
                <w:sz w:val="17"/>
              </w:rPr>
              <w:t>4,427</w:t>
            </w:r>
          </w:p>
        </w:tc>
        <w:tc>
          <w:tcPr>
            <w:tcW w:type="dxa" w:w="1440"/>
            <w:shd w:fill="FAFAFA" w:val="clear"/>
          </w:tcPr>
          <w:p>
            <w:r>
              <w:rPr>
                <w:b/>
                <w:color w:val="C00000"/>
                <w:sz w:val="17"/>
              </w:rPr>
              <w:t>-2.0%</w:t>
            </w:r>
          </w:p>
        </w:tc>
      </w:tr>
      <w:tr>
        <w:tc>
          <w:tcPr>
            <w:tcW w:type="dxa" w:w="1440"/>
            <w:shd w:fill="FFDCE0" w:val="clear"/>
          </w:tcPr>
          <w:p>
            <w:r>
              <w:rPr>
                <w:sz w:val="17"/>
              </w:rPr>
              <w:t>J+10  Moyenne</w:t>
            </w:r>
          </w:p>
        </w:tc>
        <w:tc>
          <w:tcPr>
            <w:tcW w:type="dxa" w:w="1440"/>
            <w:shd w:fill="FFDCE0" w:val="clear"/>
          </w:tcPr>
          <w:p>
            <w:r>
              <w:rPr>
                <w:sz w:val="17"/>
              </w:rPr>
              <w:t>2026-10-09</w:t>
            </w:r>
          </w:p>
        </w:tc>
        <w:tc>
          <w:tcPr>
            <w:tcW w:type="dxa" w:w="1440"/>
            <w:shd w:fill="FFDCE0" w:val="clear"/>
          </w:tcPr>
          <w:p>
            <w:r>
              <w:rPr>
                <w:sz w:val="17"/>
              </w:rPr>
              <w:t>3,778</w:t>
            </w:r>
          </w:p>
        </w:tc>
        <w:tc>
          <w:tcPr>
            <w:tcW w:type="dxa" w:w="1440"/>
            <w:shd w:fill="FFDCE0" w:val="clear"/>
          </w:tcPr>
          <w:p>
            <w:r>
              <w:rPr>
                <w:b/>
                <w:sz w:val="17"/>
              </w:rPr>
              <w:t>4,109</w:t>
            </w:r>
          </w:p>
        </w:tc>
        <w:tc>
          <w:tcPr>
            <w:tcW w:type="dxa" w:w="1440"/>
            <w:shd w:fill="FFDCE0" w:val="clear"/>
          </w:tcPr>
          <w:p>
            <w:r>
              <w:rPr>
                <w:sz w:val="17"/>
              </w:rPr>
              <w:t>4,439</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 RAPPORT D'ANALYSE FINANCIÈRE — TRACTAFRIC MOTORS CÔTE D'IVOIRE (PRSC)</w:t>
        <w:br/>
        <w:t>**Bourse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42,96 milliards FCFA, PRSC se positionne comme une valeur de taille intermédiaire sur la BRVM, représentative du compartiment des valeurs de distribution automobile. Le BPA de 231 FCFA/action signifie que chaque titre génère un bénéfice net de 231 FCFA, ce qui, rapporté au cours actuel de 4 195 FCFA, aboutit à un PER de 18,1x — nettement supérieur à la moyenne du marché BRVM (8-12x), traduisant une prime de valorisation que les investisseurs accordent à la qualité de la croissance et à la régularité des résultats. Le P/B de 3,73x confirme cette lecture : le marché valorise l'action près de quatre fois sa valeur comptable, ce qui est cohérent avec un ROE élevé (20,5%) mais laisse peu de marge de sécurité en cas de déception. Enfin, l'EV/EBITDA de 9,4x, dans la fourchette raisonnable de 5-10x, indique que la valeur d'entreprise reste proportionnée à la capacité opérationnelle de génération de cash, sans excès spéculatif majeur.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affiche une variation totale quasi stable de -1,41%, mais la dernière séance (J-1) enregistre un rebond notable de +2,82%, signalant un regain d'intérêt acheteur à court terme. Le titre a évolué dans un range de 3 620 FCFA (plus bas) à 4 740 FCFA (plus haut), soit une amplitude de plus de 30%, ce qui traduit une tendance générale baissière entrecoupée de rebonds techniques, le cours actuel (4 195 FCFA) se situant sous la moyenne (4 341 FCFA) et la médiane (4 402 FCFA). L'écart entre moyenne et médiane (61 FCFA) est modéré mais confirme une légère asymétrie, cohérente avec le skewness négatif de -1,296 qui indique davantage de journées de hausse au-dessus de la moyenne mais avec des baisses plus amples. L'écart-type de 271 FCFA (CV de 6,2%) révèle une dispersion modérée du cours autour de sa tendance, tandis que le kurtosis excédentaire de 1,009 (leptokurtique) signale des queues épaisses, c'est-à-dire un risque accru de pics de volatilité brutaux. La volatilité annualisée de 37,6% classe PRSC dans la catégorie des titres à volatilité élevée (&gt;30%), ce qui implique un risque de marché significatif et justifie une approche prudente en termes de dimensionnement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(4 355,75 FCFA) et la MM50 (4 441,40 FCFA) se situent toutes deux au-dessus du cours actuel (4 195 FCFA), avec une MM20 inférieure à la MM50 — configuration baissière classique. Le cours évoluant sous ses deux moyennes, la pression vendeuse domine et justifie la décision technique de **Vente**.</w:t>
      </w:r>
    </w:p>
    <w:p>
      <w:pPr>
        <w:spacing w:after="120" w:line="276" w:lineRule="auto"/>
      </w:pPr>
      <w:r>
        <w:t>**Bandes de Bollinger** : Le cours (4 195 FCFA) se situe dans la partie basse du canal, entre la borne inférieure (4 132,47 FCFA) et la borne supérieure (4 579,03 FCFA), sans franchissement des bornes. Cette position neutre, avec un cours proche de la borne basse, suggère une absence de signal directionnel fort mais un potentiel de rebond technique limité — décision **Neutre**.</w:t>
      </w:r>
    </w:p>
    <w:p>
      <w:pPr>
        <w:spacing w:after="120" w:line="276" w:lineRule="auto"/>
      </w:pPr>
      <w:r>
        <w:t>**MACD** : La valeur du MACD (-72,07) est inférieure à son signal (-45,51), confirmant une divergence baissière persistante et un momentum négatif. Le croisement MACD sous son signal, non encore inversé, plaide pour une poursuite de la faiblesse à court terme — décision **Vente**.</w:t>
      </w:r>
    </w:p>
    <w:p>
      <w:pPr>
        <w:spacing w:after="120" w:line="276" w:lineRule="auto"/>
      </w:pPr>
      <w:r>
        <w:t>**RSI** : À 41,24, le RSI se situe dans la zone neutre (30-70), sans signal de survente (&lt;30) ni de surachat (&gt;70). Cette position médiane indique un équilibre relatif entre acheteurs et vendeurs, sans force directionnelle claire — décision **Neutre**.</w:t>
      </w:r>
    </w:p>
    <w:p>
      <w:pPr>
        <w:spacing w:after="120" w:line="276" w:lineRule="auto"/>
      </w:pPr>
      <w:r>
        <w:t>**Stochastique** : Le %K (27,71) est supérieur au %D (9,24), avec un croisement haussier en zone basse (proche de la survente), ce qui pourrait annoncer un rebond technique imminent. Toutefois, les deux lignes restant sous 30, la prudence reste de mise — décision **Neutre**.</w:t>
      </w:r>
    </w:p>
    <w:p>
      <w:pPr>
        <w:spacing w:after="120" w:line="276" w:lineRule="auto"/>
      </w:pPr>
      <w:r>
        <w:t>**Conclusion technique** : Les indicateurs convergent majoritairement vers une configuration baissière (MM, MACD), tempérée par des signaux neutres (Bollinger, RSI, Stochastique) qui suggèrent un possible essoufflement de la baisse. Le rebond de +2,82% en J-1 et le croisement haussier du stochastique pourraient initier un rebond technique, mais l'absence de confirmation par le MACD et la position sous les moyennes mobiles invitent à la prudence avant tout engagement acheteur.</w:t>
      </w:r>
    </w:p>
    <w:p>
      <w:pPr>
        <w:spacing w:after="120" w:line="276" w:lineRule="auto"/>
      </w:pPr>
      <w:r>
        <w:t>---</w:t>
      </w:r>
    </w:p>
    <w:p>
      <w:pPr>
        <w:spacing w:after="120" w:line="276" w:lineRule="auto"/>
      </w:pPr>
      <w:r>
        <w:t>## PARTIE 3 : ANALYSE FONDAMENTALE</w:t>
      </w:r>
    </w:p>
    <w:p>
      <w:pPr>
        <w:spacing w:after="120" w:line="276" w:lineRule="auto"/>
      </w:pPr>
      <w:r>
        <w:t>En 2025, TRACTAFRIC MOTORS CÔTE D'IVOIRE (PRSC) affiche un chiffre d'affaires de 81,13 milliards FCFA, en croissance de 9,5% par rapport à 2024 (74,45 milliards FCFA selon le rapport Mistral du 30/03/2026), portée principalement par les ventes de marchandises (+10,82% à 57,96 milliards FCFA selon le rapport Gemini-Vision du 06/09/2026). Le résultat net s'établit à 2,37 milliards FCFA, stable par rapport aux 2,35 milliards de 2024, avec une marge nette de 2,92% — faible mais en légère amélioration. Le ROE de 20,53% demeure excellent (&gt;15%), témoignant d'une rentabilité des fonds propres solide, tandis que le ROA de 4,95% reflète une rotation d'actifs élevée (169,6%). En tant qu'entreprise de distribution automobile, PRSC présente un BFR de 11,27 milliards FCFA (positif, donc défavorable) et une trésorerie nette négative de -4,09 milliards FCFA, signe de tension sur la liquidité. Les délais d'exploitation sont préoccupants : 150,51 jours de stockage (immobilisation de capital élevée) et 45,99 jours de délai client (risque de recouvrement), compensés partiellement par 102,65 jours de délai fournisseurs (bon pour la trésorerie). Le ratio d'endettement de 314,86% (dettes totales/capitaux propres) est élevé, mais la solvabilité générale (131,76%) et la couverture des intérêts (1 585%) restent rassurantes. Sur la base du rapport S1 2025 (analysé manuellement le 15/03/2026), le CA semestriel a progressé de +15,1% à 39,97 milliards FCFA avec un résultat net multiplié par 28 à 1,44 milliard FCFA — on estime donc que l'exercice 2025 devrait confirmer cette dynamique, avec un résultat net annuel de 2,37 milliards FCFA (chiffre réel). Le rapport officiel du 15/06/2026 confirme un dividende de 209 FCFA/action (rendement de ~5% au cours actuel), en hausse par rapport aux 288 FCFA de 2022 (rapport Mistral du 16/03/2026). **Recommandation fondamentale : CONSERVER**, avec une solidité financière avérée (ROE élevé, croissance du CA) mais des risques liés à la faible marge nette, à la tension de trésorerie et à la dépendance au marché automobile ivoirien.</w:t>
      </w:r>
    </w:p>
    <w:p>
      <w:pPr>
        <w:spacing w:after="120" w:line="276" w:lineRule="auto"/>
      </w:pPr>
      <w:r>
        <w:t>---</w:t>
      </w:r>
    </w:p>
    <w:p>
      <w:pPr>
        <w:spacing w:after="120" w:line="276" w:lineRule="auto"/>
      </w:pPr>
      <w:r>
        <w:t>## PARTIE 4 : CONCLUSION D'INVESTISSEMENT</w:t>
      </w:r>
    </w:p>
    <w:p>
      <w:pPr>
        <w:spacing w:after="120" w:line="276" w:lineRule="auto"/>
      </w:pPr>
      <w:r>
        <w:t>La valorisation de PRSC (PER 18,1x, P/B 3,73x, EV/EBITDA 9,4x) indique une action correctement valorisée à légèrement surévaluée par rapport à la moyenne du marché BRVM, sans décote évidente. Le comportement du cours sur 100 jours (variation -1,41%, volatilité élevée de 37,6%, kurtosis leptokurtique et skewness négatif) révèle un titre nerveux, avec un risque de pics baissiers brutaux, ce qui est préoccupant pour un investisseur averse au risque. Les signaux techniques sont majoritairement baissiers (MM20/MM50 au-dessus du cours, MACD négatif), mais tempérés par des indicateurs neutres (RSI 41, Bollinger, Stochastique) et un rebond de +2,82% en J-1 qui pourrait annoncer un retournement à court terme. Les fondamentaux restent solides (CA +9,5% à 81,1 Mds FCFA, ROE 20,5%, dividende de 209 FCFA/action), mais la faible marge nette (2,9%) et la trésorerie nette négative (-4,09 Mds FCFA) limitent le potentiel de re-rating. Les prédictions IA (J+1 à J+10) anticipent une légère baisse vers 4 132-4 149 FCFA, confirmant la pression baissière à court terme sans effondrement majeur. **Recommandation finale : CONSERVER** — la convergence entre une valorisation sans excès, des fondamentaux résilients et des signaux techniques mitigés ne justifie ni un achat agressif ni une vente précipitée. Le niveau de confiance est **Moyen** (les indicateurs sont divergents) et le risque global est **Élevé** (volatilité 37,6%, endettement 314,9%, tension de trésorerie). L'horizon optimal est le **moyen terme (3-12 mois)**, en attendant une clarification technique (franchissement des MM à la hausse) et fondamentale (amélioration de la marge nette et réduction du BFR).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34.91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8,976 titres</w:t>
            </w:r>
          </w:p>
        </w:tc>
        <w:tc>
          <w:tcPr>
            <w:tcW w:type="dxa" w:w="2268"/>
            <w:shd w:fill="FFF2CC" w:val="clear"/>
          </w:tcPr>
          <w:p>
            <w:r>
              <w:rPr>
                <w:b/>
                <w:color w:val="503200"/>
                <w:sz w:val="16"/>
              </w:rPr>
              <w:t xml:space="preserve">Cours actuel : </w:t>
            </w:r>
            <w:r>
              <w:rPr>
                <w:color w:val="000000"/>
                <w:sz w:val="17"/>
              </w:rPr>
              <w:t>4,300 FCFA</w:t>
            </w:r>
          </w:p>
          <w:p>
            <w:r>
              <w:rPr>
                <w:b/>
                <w:color w:val="503200"/>
                <w:sz w:val="16"/>
              </w:rPr>
              <w:t xml:space="preserve">Var. 100 jours : </w:t>
            </w:r>
            <w:r>
              <w:rPr>
                <w:b/>
                <w:color w:val="007800"/>
                <w:sz w:val="17"/>
              </w:rPr>
              <w:t>+28.74%</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60.1%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16.75% (Élevée) — μ=4,604 FCFA, σ=771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β=1.0207 (Neutre (suit le marché)) — Cov=0.000070, Var(idx)=0.000069, ρ=0.224,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8,976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σ_j=3.79%/j (Modérée) — Vol. annualisée≈60.1%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2026-09-28</w:t>
            </w:r>
          </w:p>
        </w:tc>
        <w:tc>
          <w:tcPr>
            <w:tcW w:type="dxa" w:w="1440"/>
            <w:shd w:fill="C6EFCE" w:val="clear"/>
          </w:tcPr>
          <w:p>
            <w:r>
              <w:rPr>
                <w:sz w:val="17"/>
              </w:rPr>
              <w:t>4,160</w:t>
            </w:r>
          </w:p>
        </w:tc>
        <w:tc>
          <w:tcPr>
            <w:tcW w:type="dxa" w:w="1440"/>
            <w:shd w:fill="C6EFCE" w:val="clear"/>
          </w:tcPr>
          <w:p>
            <w:r>
              <w:rPr>
                <w:b/>
                <w:sz w:val="17"/>
              </w:rPr>
              <w:t>4,462</w:t>
            </w:r>
          </w:p>
        </w:tc>
        <w:tc>
          <w:tcPr>
            <w:tcW w:type="dxa" w:w="1440"/>
            <w:shd w:fill="C6EFCE" w:val="clear"/>
          </w:tcPr>
          <w:p>
            <w:r>
              <w:rPr>
                <w:sz w:val="17"/>
              </w:rPr>
              <w:t>4,763</w:t>
            </w:r>
          </w:p>
        </w:tc>
        <w:tc>
          <w:tcPr>
            <w:tcW w:type="dxa" w:w="1440"/>
            <w:shd w:fill="C6EFCE" w:val="clear"/>
          </w:tcPr>
          <w:p>
            <w:r>
              <w:rPr>
                <w:b/>
                <w:color w:val="008000"/>
                <w:sz w:val="17"/>
              </w:rPr>
              <w:t>+3.8%</w:t>
            </w:r>
          </w:p>
        </w:tc>
      </w:tr>
      <w:tr>
        <w:tc>
          <w:tcPr>
            <w:tcW w:type="dxa" w:w="1440"/>
            <w:shd w:fill="C6EFCE" w:val="clear"/>
          </w:tcPr>
          <w:p>
            <w:r>
              <w:rPr>
                <w:sz w:val="17"/>
              </w:rPr>
              <w:t>J+2  ⭐</w:t>
            </w:r>
          </w:p>
        </w:tc>
        <w:tc>
          <w:tcPr>
            <w:tcW w:type="dxa" w:w="1440"/>
            <w:shd w:fill="C6EFCE" w:val="clear"/>
          </w:tcPr>
          <w:p>
            <w:r>
              <w:rPr>
                <w:sz w:val="17"/>
              </w:rPr>
              <w:t>2026-09-29</w:t>
            </w:r>
          </w:p>
        </w:tc>
        <w:tc>
          <w:tcPr>
            <w:tcW w:type="dxa" w:w="1440"/>
            <w:shd w:fill="C6EFCE" w:val="clear"/>
          </w:tcPr>
          <w:p>
            <w:r>
              <w:rPr>
                <w:sz w:val="17"/>
              </w:rPr>
              <w:t>4,181</w:t>
            </w:r>
          </w:p>
        </w:tc>
        <w:tc>
          <w:tcPr>
            <w:tcW w:type="dxa" w:w="1440"/>
            <w:shd w:fill="C6EFCE" w:val="clear"/>
          </w:tcPr>
          <w:p>
            <w:r>
              <w:rPr>
                <w:b/>
                <w:sz w:val="17"/>
              </w:rPr>
              <w:t>4,623</w:t>
            </w:r>
          </w:p>
        </w:tc>
        <w:tc>
          <w:tcPr>
            <w:tcW w:type="dxa" w:w="1440"/>
            <w:shd w:fill="C6EFCE" w:val="clear"/>
          </w:tcPr>
          <w:p>
            <w:r>
              <w:rPr>
                <w:sz w:val="17"/>
              </w:rPr>
              <w:t>5,066</w:t>
            </w:r>
          </w:p>
        </w:tc>
        <w:tc>
          <w:tcPr>
            <w:tcW w:type="dxa" w:w="1440"/>
            <w:shd w:fill="C6EFCE" w:val="clear"/>
          </w:tcPr>
          <w:p>
            <w:r>
              <w:rPr>
                <w:b/>
                <w:color w:val="008000"/>
                <w:sz w:val="17"/>
              </w:rPr>
              <w:t>+7.5%</w:t>
            </w:r>
          </w:p>
        </w:tc>
      </w:tr>
      <w:tr>
        <w:tc>
          <w:tcPr>
            <w:tcW w:type="dxa" w:w="1440"/>
            <w:shd w:fill="C6EFCE" w:val="clear"/>
          </w:tcPr>
          <w:p>
            <w:r>
              <w:rPr>
                <w:sz w:val="17"/>
              </w:rPr>
              <w:t>J+3  ⭐</w:t>
            </w:r>
          </w:p>
        </w:tc>
        <w:tc>
          <w:tcPr>
            <w:tcW w:type="dxa" w:w="1440"/>
            <w:shd w:fill="C6EFCE" w:val="clear"/>
          </w:tcPr>
          <w:p>
            <w:r>
              <w:rPr>
                <w:sz w:val="17"/>
              </w:rPr>
              <w:t>2026-09-30</w:t>
            </w:r>
          </w:p>
        </w:tc>
        <w:tc>
          <w:tcPr>
            <w:tcW w:type="dxa" w:w="1440"/>
            <w:shd w:fill="C6EFCE" w:val="clear"/>
          </w:tcPr>
          <w:p>
            <w:r>
              <w:rPr>
                <w:sz w:val="17"/>
              </w:rPr>
              <w:t>4,161</w:t>
            </w:r>
          </w:p>
        </w:tc>
        <w:tc>
          <w:tcPr>
            <w:tcW w:type="dxa" w:w="1440"/>
            <w:shd w:fill="C6EFCE" w:val="clear"/>
          </w:tcPr>
          <w:p>
            <w:r>
              <w:rPr>
                <w:b/>
                <w:sz w:val="17"/>
              </w:rPr>
              <w:t>4,713</w:t>
            </w:r>
          </w:p>
        </w:tc>
        <w:tc>
          <w:tcPr>
            <w:tcW w:type="dxa" w:w="1440"/>
            <w:shd w:fill="C6EFCE" w:val="clear"/>
          </w:tcPr>
          <w:p>
            <w:r>
              <w:rPr>
                <w:sz w:val="17"/>
              </w:rPr>
              <w:t>5,265</w:t>
            </w:r>
          </w:p>
        </w:tc>
        <w:tc>
          <w:tcPr>
            <w:tcW w:type="dxa" w:w="1440"/>
            <w:shd w:fill="C6EFCE" w:val="clear"/>
          </w:tcPr>
          <w:p>
            <w:r>
              <w:rPr>
                <w:b/>
                <w:color w:val="008000"/>
                <w:sz w:val="17"/>
              </w:rPr>
              <w:t>+9.6%</w:t>
            </w:r>
          </w:p>
        </w:tc>
      </w:tr>
      <w:tr>
        <w:tc>
          <w:tcPr>
            <w:tcW w:type="dxa" w:w="1440"/>
            <w:shd w:fill="C6EFCE" w:val="clear"/>
          </w:tcPr>
          <w:p>
            <w:r>
              <w:rPr>
                <w:sz w:val="17"/>
              </w:rPr>
              <w:t>J+4  ⭐</w:t>
            </w:r>
          </w:p>
        </w:tc>
        <w:tc>
          <w:tcPr>
            <w:tcW w:type="dxa" w:w="1440"/>
            <w:shd w:fill="C6EFCE" w:val="clear"/>
          </w:tcPr>
          <w:p>
            <w:r>
              <w:rPr>
                <w:sz w:val="17"/>
              </w:rPr>
              <w:t>2026-10-01</w:t>
            </w:r>
          </w:p>
        </w:tc>
        <w:tc>
          <w:tcPr>
            <w:tcW w:type="dxa" w:w="1440"/>
            <w:shd w:fill="C6EFCE" w:val="clear"/>
          </w:tcPr>
          <w:p>
            <w:r>
              <w:rPr>
                <w:sz w:val="17"/>
              </w:rPr>
              <w:t>4,131</w:t>
            </w:r>
          </w:p>
        </w:tc>
        <w:tc>
          <w:tcPr>
            <w:tcW w:type="dxa" w:w="1440"/>
            <w:shd w:fill="C6EFCE" w:val="clear"/>
          </w:tcPr>
          <w:p>
            <w:r>
              <w:rPr>
                <w:b/>
                <w:sz w:val="17"/>
              </w:rPr>
              <w:t>4,777</w:t>
            </w:r>
          </w:p>
        </w:tc>
        <w:tc>
          <w:tcPr>
            <w:tcW w:type="dxa" w:w="1440"/>
            <w:shd w:fill="C6EFCE" w:val="clear"/>
          </w:tcPr>
          <w:p>
            <w:r>
              <w:rPr>
                <w:sz w:val="17"/>
              </w:rPr>
              <w:t>5,423</w:t>
            </w:r>
          </w:p>
        </w:tc>
        <w:tc>
          <w:tcPr>
            <w:tcW w:type="dxa" w:w="1440"/>
            <w:shd w:fill="C6EFCE" w:val="clear"/>
          </w:tcPr>
          <w:p>
            <w:r>
              <w:rPr>
                <w:b/>
                <w:color w:val="008000"/>
                <w:sz w:val="17"/>
              </w:rPr>
              <w:t>+11.1%</w:t>
            </w:r>
          </w:p>
        </w:tc>
      </w:tr>
      <w:tr>
        <w:tc>
          <w:tcPr>
            <w:tcW w:type="dxa" w:w="1440"/>
            <w:shd w:fill="C6EFCE" w:val="clear"/>
          </w:tcPr>
          <w:p>
            <w:r>
              <w:rPr>
                <w:sz w:val="17"/>
              </w:rPr>
              <w:t>J+5  ⭐</w:t>
            </w:r>
          </w:p>
        </w:tc>
        <w:tc>
          <w:tcPr>
            <w:tcW w:type="dxa" w:w="1440"/>
            <w:shd w:fill="C6EFCE" w:val="clear"/>
          </w:tcPr>
          <w:p>
            <w:r>
              <w:rPr>
                <w:sz w:val="17"/>
              </w:rPr>
              <w:t>2026-10-02</w:t>
            </w:r>
          </w:p>
        </w:tc>
        <w:tc>
          <w:tcPr>
            <w:tcW w:type="dxa" w:w="1440"/>
            <w:shd w:fill="C6EFCE" w:val="clear"/>
          </w:tcPr>
          <w:p>
            <w:r>
              <w:rPr>
                <w:sz w:val="17"/>
              </w:rPr>
              <w:t>4,098</w:t>
            </w:r>
          </w:p>
        </w:tc>
        <w:tc>
          <w:tcPr>
            <w:tcW w:type="dxa" w:w="1440"/>
            <w:shd w:fill="C6EFCE" w:val="clear"/>
          </w:tcPr>
          <w:p>
            <w:r>
              <w:rPr>
                <w:b/>
                <w:sz w:val="17"/>
              </w:rPr>
              <w:t>4,829</w:t>
            </w:r>
          </w:p>
        </w:tc>
        <w:tc>
          <w:tcPr>
            <w:tcW w:type="dxa" w:w="1440"/>
            <w:shd w:fill="C6EFCE" w:val="clear"/>
          </w:tcPr>
          <w:p>
            <w:r>
              <w:rPr>
                <w:sz w:val="17"/>
              </w:rPr>
              <w:t>5,560</w:t>
            </w:r>
          </w:p>
        </w:tc>
        <w:tc>
          <w:tcPr>
            <w:tcW w:type="dxa" w:w="1440"/>
            <w:shd w:fill="C6EFCE" w:val="clear"/>
          </w:tcPr>
          <w:p>
            <w:r>
              <w:rPr>
                <w:b/>
                <w:color w:val="008000"/>
                <w:sz w:val="17"/>
              </w:rPr>
              <w:t>+12.3%</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4,065</w:t>
            </w:r>
          </w:p>
        </w:tc>
        <w:tc>
          <w:tcPr>
            <w:tcW w:type="dxa" w:w="1440"/>
            <w:shd w:fill="C6EFCE" w:val="clear"/>
          </w:tcPr>
          <w:p>
            <w:r>
              <w:rPr>
                <w:b/>
                <w:sz w:val="17"/>
              </w:rPr>
              <w:t>4,873</w:t>
            </w:r>
          </w:p>
        </w:tc>
        <w:tc>
          <w:tcPr>
            <w:tcW w:type="dxa" w:w="1440"/>
            <w:shd w:fill="C6EFCE" w:val="clear"/>
          </w:tcPr>
          <w:p>
            <w:r>
              <w:rPr>
                <w:sz w:val="17"/>
              </w:rPr>
              <w:t>5,680</w:t>
            </w:r>
          </w:p>
        </w:tc>
        <w:tc>
          <w:tcPr>
            <w:tcW w:type="dxa" w:w="1440"/>
            <w:shd w:fill="C6EFCE" w:val="clear"/>
          </w:tcPr>
          <w:p>
            <w:r>
              <w:rPr>
                <w:b/>
                <w:color w:val="008000"/>
                <w:sz w:val="17"/>
              </w:rPr>
              <w:t>+13.3%</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4,031</w:t>
            </w:r>
          </w:p>
        </w:tc>
        <w:tc>
          <w:tcPr>
            <w:tcW w:type="dxa" w:w="1440"/>
            <w:shd w:fill="C6EFCE" w:val="clear"/>
          </w:tcPr>
          <w:p>
            <w:r>
              <w:rPr>
                <w:b/>
                <w:sz w:val="17"/>
              </w:rPr>
              <w:t>4,910</w:t>
            </w:r>
          </w:p>
        </w:tc>
        <w:tc>
          <w:tcPr>
            <w:tcW w:type="dxa" w:w="1440"/>
            <w:shd w:fill="C6EFCE" w:val="clear"/>
          </w:tcPr>
          <w:p>
            <w:r>
              <w:rPr>
                <w:sz w:val="17"/>
              </w:rPr>
              <w:t>5,789</w:t>
            </w:r>
          </w:p>
        </w:tc>
        <w:tc>
          <w:tcPr>
            <w:tcW w:type="dxa" w:w="1440"/>
            <w:shd w:fill="C6EFCE" w:val="clear"/>
          </w:tcPr>
          <w:p>
            <w:r>
              <w:rPr>
                <w:b/>
                <w:color w:val="008000"/>
                <w:sz w:val="17"/>
              </w:rPr>
              <w:t>+14.2%</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3,996</w:t>
            </w:r>
          </w:p>
        </w:tc>
        <w:tc>
          <w:tcPr>
            <w:tcW w:type="dxa" w:w="1440"/>
            <w:shd w:fill="C6EFCE" w:val="clear"/>
          </w:tcPr>
          <w:p>
            <w:r>
              <w:rPr>
                <w:b/>
                <w:sz w:val="17"/>
              </w:rPr>
              <w:t>4,942</w:t>
            </w:r>
          </w:p>
        </w:tc>
        <w:tc>
          <w:tcPr>
            <w:tcW w:type="dxa" w:w="1440"/>
            <w:shd w:fill="C6EFCE" w:val="clear"/>
          </w:tcPr>
          <w:p>
            <w:r>
              <w:rPr>
                <w:sz w:val="17"/>
              </w:rPr>
              <w:t>5,888</w:t>
            </w:r>
          </w:p>
        </w:tc>
        <w:tc>
          <w:tcPr>
            <w:tcW w:type="dxa" w:w="1440"/>
            <w:shd w:fill="C6EFCE" w:val="clear"/>
          </w:tcPr>
          <w:p>
            <w:r>
              <w:rPr>
                <w:b/>
                <w:color w:val="008000"/>
                <w:sz w:val="17"/>
              </w:rPr>
              <w:t>+14.9%</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3,961</w:t>
            </w:r>
          </w:p>
        </w:tc>
        <w:tc>
          <w:tcPr>
            <w:tcW w:type="dxa" w:w="1440"/>
            <w:shd w:fill="C6EFCE" w:val="clear"/>
          </w:tcPr>
          <w:p>
            <w:r>
              <w:rPr>
                <w:b/>
                <w:sz w:val="17"/>
              </w:rPr>
              <w:t>4,970</w:t>
            </w:r>
          </w:p>
        </w:tc>
        <w:tc>
          <w:tcPr>
            <w:tcW w:type="dxa" w:w="1440"/>
            <w:shd w:fill="C6EFCE" w:val="clear"/>
          </w:tcPr>
          <w:p>
            <w:r>
              <w:rPr>
                <w:sz w:val="17"/>
              </w:rPr>
              <w:t>5,979</w:t>
            </w:r>
          </w:p>
        </w:tc>
        <w:tc>
          <w:tcPr>
            <w:tcW w:type="dxa" w:w="1440"/>
            <w:shd w:fill="C6EFCE" w:val="clear"/>
          </w:tcPr>
          <w:p>
            <w:r>
              <w:rPr>
                <w:b/>
                <w:color w:val="008000"/>
                <w:sz w:val="17"/>
              </w:rPr>
              <w:t>+15.6%</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3,926</w:t>
            </w:r>
          </w:p>
        </w:tc>
        <w:tc>
          <w:tcPr>
            <w:tcW w:type="dxa" w:w="1440"/>
            <w:shd w:fill="C6EFCE" w:val="clear"/>
          </w:tcPr>
          <w:p>
            <w:r>
              <w:rPr>
                <w:b/>
                <w:sz w:val="17"/>
              </w:rPr>
              <w:t>4,995</w:t>
            </w:r>
          </w:p>
        </w:tc>
        <w:tc>
          <w:tcPr>
            <w:tcW w:type="dxa" w:w="1440"/>
            <w:shd w:fill="C6EFCE" w:val="clear"/>
          </w:tcPr>
          <w:p>
            <w:r>
              <w:rPr>
                <w:sz w:val="17"/>
              </w:rPr>
              <w:t>6,063</w:t>
            </w:r>
          </w:p>
        </w:tc>
        <w:tc>
          <w:tcPr>
            <w:tcW w:type="dxa" w:w="1440"/>
            <w:shd w:fill="C6EFCE" w:val="clear"/>
          </w:tcPr>
          <w:p>
            <w:r>
              <w:rPr>
                <w:b/>
                <w:color w:val="008000"/>
                <w:sz w:val="17"/>
              </w:rPr>
              <w:t>+16.2%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 📊 RAPPORT D'ANALYSE FINANCIÈRE — SAFC (ALIOS FINANCE CÔTE D'IVOIRE)</w:t>
        <w:br/>
        <w:t>**Bourse Régionale des Valeurs Mobilières (BRVM) — Secteur : Banque / Crédit à la consommation**</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**34,91 milliards FCFA**, SAFC se positionne comme une valeur de taille moyenne sur la BRVM, représentative des petites capitalisations financières régionales. Le BPA de **86 FCFA/action** (exercice 2025) confère au titre un **PER de 49,8x**, très largement supérieur à la moyenne du marché BRVM (8-12x), ce qui traduit une anticipation forte de croissance des bénéfices par le marché plutôt qu'une valorisation sur les résultats actuels. Le **P/B de 5,90x** (très au-dessus du seuil de 4x) indique que le marché valorise la société à près de six fois ses fonds propres comptables (5,916 Mds FCFA en 2025), une prime considérable qui reflète l'anticipation du redressement post-recapitalisation. Enfin, l'**EV/EBITDA de 74,1x** (très supérieur au seuil de 15x) signale une valorisation exigeante au regard de la capacité opérationnelle actuelle, ce qui rend le titre vulnérable à toute déception sur les résultats futurs. Ces ratios élevés s'expliquent par la phase de transformation de la société (rachat par CREDAF Group, augmentation de capital en cours), mais imposent une exigence de croissance soutenue pour justifier les niveaux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SAFC affiche une **progression totale de +28,74%**, avec une dernière séance particulièrement dynamique (+7,50% en J-1), portant le cours à **4 300 FCFA**. Le range de trading est très large, avec un plus haut à **6 200 FCFA** et un plus bas à **3 340 FCFA**, soit une amplitude de près de 86% — signe d'une forte nervosité du marché sur ce titre. La tendance générale est haussière mais volatile, marquée par une correction significative depuis les sommets de 6 200 FCFA. Les statistiques descriptives révèlent une **moyenne (4 604 FCFA) légèrement supérieure à la médiane (4 545 FCFA)**, avec un mode à 3 700 FCFA, indiquant une distribution quasi-symétrique (skewness de 0,302) mais avec une légère prédominance des valeurs hautes. L'**écart-type de 775 FCFA (CV = 16,8%)** traduit une dispersion modérée du cours autour de sa moyenne, tandis que le **kurtosis de -1,008 (platykurtique)** signale une distribution aplatie avec un risque de pics extrêmes plus faible qu'une loi normale — le cours évolue dans un canal relativement large mais sans événements extrêmes fréquents. La **volatilité annualisée de 60,1%** classe ce titre dans la catégorie des valeurs à volatilité élevée (&gt;30%), ce qui est cohérent avec une petite capitalisation en phase de restructuration et impose une gestion stricte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(5 192,25 FCFA) et la MM50 (5 179,80 FCFA) sont quasi confondues et nettement supérieures au cours actuel (4 300 FCFA), ce qui place le titre en position baissière par rapport à ses moyennes. Toutefois, la décision technique affichée est "Achat", suggérant une anticipation de retournement ou un signal de survente sur ces niveaux. Le croisement des deux moyennes (MM20 légèrement au-dessus de la MM50) indique une dynamique haussière de fond, mais le cours doit reconquérir ces niveaux pour confirmer.</w:t>
      </w:r>
    </w:p>
    <w:p>
      <w:pPr>
        <w:spacing w:after="120" w:line="276" w:lineRule="auto"/>
      </w:pPr>
      <w:r>
        <w:t>**Bandes de Bollinger** : Le cours actuel (4 300 FCFA) se situe dans la partie basse de la bande, entre la borne inférieure (3 785,18 FCFA) et la borne supérieure (6 599,32 FCFA), sans être en zone de survente extrême. La décision "Neutre" reflète cette position médiane : le titre n'est ni suracheté ni survendu selon ce critère, avec une volatilité (largeur des bandes) qui reste élevée.</w:t>
      </w:r>
    </w:p>
    <w:p>
      <w:pPr>
        <w:spacing w:after="120" w:line="276" w:lineRule="auto"/>
      </w:pPr>
      <w:r>
        <w:t>**MACD** : La valeur du MACD (-334,38) est inférieure à son signal (-175,93), confirmant un momentum baissier à court terme. La décision "Vente" est cohérente avec cette configuration, bien que l'écart entre les deux lignes se réduise, ce qui pourrait annoncer un prochain croisement haussier.</w:t>
      </w:r>
    </w:p>
    <w:p>
      <w:pPr>
        <w:spacing w:after="120" w:line="276" w:lineRule="auto"/>
      </w:pPr>
      <w:r>
        <w:t>**RSI** : À **23,67**, le RSI est en zone de survente (&lt;30), ce qui déclenche une décision "Achat" selon cet indicateur. Cette lecture suggère que le titre a été excessivement vendu à court terme et qu'un rebond technique est probable, surtout après la hausse de +7,50% en J-1.</w:t>
      </w:r>
    </w:p>
    <w:p>
      <w:pPr>
        <w:spacing w:after="120" w:line="276" w:lineRule="auto"/>
      </w:pPr>
      <w:r>
        <w:t>**Stochastique** : Le %K (19,81) et le %D (6,93) sont tous deux en zone de survente, avec un %K nettement au-dessus du %D, ce qui constitue un signal d'achat (croisement haussier en zone basse). La décision "Achat" confirme cette lecture, indiquant que la pression vendeuse s'essouffle.</w:t>
      </w:r>
    </w:p>
    <w:p>
      <w:pPr>
        <w:spacing w:after="120" w:line="276" w:lineRule="auto"/>
      </w:pPr>
      <w:r>
        <w:t>**Conclusion technique** : Les indicateurs sont **divergents** : le MACD est baissier, tandis que le RSI et le Stochastique sont en survente et génèrent des signaux d'achat, et les Bandes de Bollinger sont neutres. Les moyennes mobiles restent au-dessus du cours, ce qui maintient une pression baissière structurelle, mais les signaux de survente et la récente hausse de +7,50% suggèrent qu'un rebond technique est en cours. La convergence des signaux d'achat (RSI, Stochastique) face au signal de vente du MACD indique une phase de transition, avec un potentiel de retournement à court terme si le cours parvient à se maintenir au-dessus de 4 300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SAFC a réalisé un **Produit Net Bancaire (PNB) de 5 735 M FCFA**, en hausse de **+44,1%** par rapport à 2024 (3 980 M FCFA), porté par la croissance des intérêts et produits assimilés (8 236 M FCFA) et des commissions (+81%). Le **résultat net s'établit à 701 M FCFA**, marquant un retournement spectaculaire après une perte de -165 M FCFA en 2024 (et -79 555 M FCFA selon une autre source, probablement une erreur de format). Le **ROE est de 11,85%** (résultat net / capitaux propres de 5 916 M FCFA), en dessous du seuil d'excellence de 15%, et le **ROA de 0,88%**, reflétant la faible rotation des actifs (7,21%). Le **coefficient d'exploitation de 77,63%** est élevé pour une banque (seuil d'efficacité &lt;60%), indiquant que les charges d'exploitation (4 103 M FCFA) absorbent une part importante du PNB. Le **coût du risque de 6,57%** (provisions / charges financières) reste significatif, bien qu'en amélioration, et le **ratio de solvabilité globale de 12,93%** (S1 2026) est proche du minimum réglementaire de 11,5%. La structure financière est fragile : **autonomie financière de 7,44%** (très en dessous du seuil sain de 30%), **ratio d'endettement de 856%**, et **trésorerie nette de -35 324 M FCFA**, reflétant une dépendance massive aux dettes interbancaires (35 747 M FCFA).</w:t>
      </w:r>
    </w:p>
    <w:p>
      <w:pPr>
        <w:spacing w:after="120" w:line="276" w:lineRule="auto"/>
      </w:pPr>
      <w:r>
        <w:t>**Estimations basées sur les rapports trimestriels** : Le rapport T1 2026 (publié le 12/05/2026) indique un **PNB de 1 395 M FCFA (+29%)** et un **résultat net de 151 M FCFA (+1 062%)**, avec une marge nette de 10,82%. Le rapport S1 2026 (publié le 04/09/2026) confirme cette dynamique avec un **PNB de 2 907 M FCFA (+37%)** et un **résultat net de 731 M FCFA (+231%)**, ainsi qu'une **reprise nette sur coût du risque de 261 M FCFA** (contre une charge de 93 M FCFA au S1 2025). Sur la base de ces tendances, on peut estimer que l'exercice 2026 devrait afficher un **PNB annuel d'environ 6 000-6 200 M FCFA** et un **résultat net de 1 200-1 400 M FCFA**, soit une marge nette de 20-22%, en nette amélioration par rapport à 2025. Le **ratio CET1 de 11,49%** (S1 2026) et le **ratio de solvabilité globale de 12,93%** sont conformes aux normes prudentielles, mais les marges de sécurité restent limitées. L'augmentation de capital de 1,5 milliard FCFA (avis BRVM du 14/04/2026) vise à renforcer les fonds propres et à soutenir la croissance.</w:t>
      </w:r>
    </w:p>
    <w:p>
      <w:pPr>
        <w:spacing w:after="120" w:line="276" w:lineRule="auto"/>
      </w:pPr>
      <w:r>
        <w:t>**Recommandation fondamentale** : La société est en **phase de redressement réussi**, avec un retour à la rentabilité en 2025 et une accélération en 2026, portée par l'intégration au sein de CREDAF Group. Cependant, les **risques structurels persistent** : dépendance aux dettes interbancaires, fonds propres encore modestes (5 916 M FCFA), report à nouveau négatif (-4 123 M FCFA en 2025), et concentration sectorielle sur le crédit automobile. La valorisation boursière (PER de 49,8x) intègre déjà une grande partie de ce redressement, ce qui limite le potentiel de revalorisation à court terme. **Recommandation : CONSERVER** avec un biais positif, en surveillant la confirmation des résultats 2026 et la réussite de l'augmentation de capital.</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**profil d'investissement contrasté**. La **valorisation (Partie 0)** est très exigeante : le PER de 49,8x, le P/B de 5,90x et l'EV/EBITDA de 74,1x intègrent déjà une forte anticipation de croissance, ce qui suggère une **surévaluation relative** par rapport aux standards du marché BRVM. Le **comportement du cours (Partie 1)** est haussier sur 100 jours (+28,74%) mais volatile (volatilité annualisée de 60,1%), avec une distribution quasi-symétrique (skewness de 0,302) et un kurtosis négatif (-1,008) indiquant un risque de pics modéré. Les **signaux techniques (Partie 2)** sont divergents : le MACD est baissier, mais le RSI (23,67) et le Stochastique (19,81/6,93) sont en survente et génèrent des signaux d'achat, tandis que les moyennes mobiles restent au-dessus du cours. Les **fondamentaux (Partie 3)** montrent un redressement spectaculaire (PNB +44% en 2025, résultat net de 701 M FCFA, S1 2026 avec un résultat net de 731 M FCFA), mais une structure financière encore fragile (autonomie financière de 7,44%, dépendance aux dettes interbancaires). Les **prédictions IA (J+1 à J+10)** anticipent une **hausse progressive de 4 462 FCFA à 4 829 FCFA**, ce qui confirme les signaux d'achat techniques à court terme et suggère un rebond après la survente.</w:t>
      </w:r>
    </w:p>
    <w:p>
      <w:pPr>
        <w:spacing w:after="120" w:line="276" w:lineRule="auto"/>
      </w:pPr>
      <w:r>
        <w:t>**Recommandation finale : CONSERVER** (avec un biais spéculatif à court terme). La convergence entre les signaux techniques d'achat (RSI, Stochastique) et les prédictions IA haussières soutient un **rebond à court terme**, mais la valorisation exigeante et les risques structurels limitent le potentiel à moyen/long terme. **Niveau de confiance : Moyen** (les signaux techniques sont clairs, mais les fondamentaux restent fragiles). **Niveau de risque global : Élevé** (volatilité de 60,1%, petite capitalisation, dépendance aux dettes interbancaires). **Horizon d'investissement optimal : Court terme (&lt;3 mois)** pour profiter du rebond technique, avec un stop-loss serré à 3 800 FCFA (borne inférieure des Bandes de Bollinger). Pour un investissement à moyen/long terme, il est prudent d'attendre la confirmation des résultats 2026 et la finalisation de l'augmentation de capital avant de passer à l'achat.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60.76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11,055 titres</w:t>
            </w:r>
          </w:p>
        </w:tc>
        <w:tc>
          <w:tcPr>
            <w:tcW w:type="dxa" w:w="2268"/>
            <w:shd w:fill="FFF2CC" w:val="clear"/>
          </w:tcPr>
          <w:p>
            <w:r>
              <w:rPr>
                <w:b/>
                <w:color w:val="503200"/>
                <w:sz w:val="16"/>
              </w:rPr>
              <w:t xml:space="preserve">Cours actuel : </w:t>
            </w:r>
            <w:r>
              <w:rPr>
                <w:color w:val="000000"/>
                <w:sz w:val="17"/>
              </w:rPr>
              <w:t>3,100 FCFA</w:t>
            </w:r>
          </w:p>
          <w:p>
            <w:r>
              <w:rPr>
                <w:b/>
                <w:color w:val="503200"/>
                <w:sz w:val="16"/>
              </w:rPr>
              <w:t xml:space="preserve">Var. 100 jours : </w:t>
            </w:r>
            <w:r>
              <w:rPr>
                <w:b/>
                <w:color w:val="007800"/>
                <w:sz w:val="17"/>
              </w:rPr>
              <w:t>+55.39%</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29.0/100 → Moyen</w:t>
      </w:r>
    </w:p>
    <w:p>
      <w:pPr>
        <w:spacing w:before="40" w:after="80"/>
      </w:pPr>
      <w:r>
        <w:rPr>
          <w:rFonts w:ascii="Courier New" w:hAnsi="Courier New"/>
          <w:color w:val="825A00"/>
          <w:sz w:val="18"/>
        </w:rPr>
        <w:t>█████░░░░░░░░░░░░░░░  29.0/100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16.46% (Élevée) — μ=3,136 FCFA, σ=516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β=1.4341 (Agressif) — Cov=0.000095, Var(idx)=0.000066, ρ=0.313,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11,055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σ_j=3.71%/j (Modérée) — Vol. annualisée≈59.0%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2026-09-28</w:t>
            </w:r>
          </w:p>
        </w:tc>
        <w:tc>
          <w:tcPr>
            <w:tcW w:type="dxa" w:w="1440"/>
            <w:shd w:fill="C6EFCE" w:val="clear"/>
          </w:tcPr>
          <w:p>
            <w:r>
              <w:rPr>
                <w:sz w:val="17"/>
              </w:rPr>
              <w:t>3,084</w:t>
            </w:r>
          </w:p>
        </w:tc>
        <w:tc>
          <w:tcPr>
            <w:tcW w:type="dxa" w:w="1440"/>
            <w:shd w:fill="C6EFCE" w:val="clear"/>
          </w:tcPr>
          <w:p>
            <w:r>
              <w:rPr>
                <w:b/>
                <w:sz w:val="17"/>
              </w:rPr>
              <w:t>3,267</w:t>
            </w:r>
          </w:p>
        </w:tc>
        <w:tc>
          <w:tcPr>
            <w:tcW w:type="dxa" w:w="1440"/>
            <w:shd w:fill="C6EFCE" w:val="clear"/>
          </w:tcPr>
          <w:p>
            <w:r>
              <w:rPr>
                <w:sz w:val="17"/>
              </w:rPr>
              <w:t>3,450</w:t>
            </w:r>
          </w:p>
        </w:tc>
        <w:tc>
          <w:tcPr>
            <w:tcW w:type="dxa" w:w="1440"/>
            <w:shd w:fill="C6EFCE" w:val="clear"/>
          </w:tcPr>
          <w:p>
            <w:r>
              <w:rPr>
                <w:b/>
                <w:color w:val="008000"/>
                <w:sz w:val="17"/>
              </w:rPr>
              <w:t>+5.4%</w:t>
            </w:r>
          </w:p>
        </w:tc>
      </w:tr>
      <w:tr>
        <w:tc>
          <w:tcPr>
            <w:tcW w:type="dxa" w:w="1440"/>
            <w:shd w:fill="C6EFCE" w:val="clear"/>
          </w:tcPr>
          <w:p>
            <w:r>
              <w:rPr>
                <w:sz w:val="17"/>
              </w:rPr>
              <w:t>J+2  Moyenne</w:t>
            </w:r>
          </w:p>
        </w:tc>
        <w:tc>
          <w:tcPr>
            <w:tcW w:type="dxa" w:w="1440"/>
            <w:shd w:fill="C6EFCE" w:val="clear"/>
          </w:tcPr>
          <w:p>
            <w:r>
              <w:rPr>
                <w:sz w:val="17"/>
              </w:rPr>
              <w:t>2026-09-29</w:t>
            </w:r>
          </w:p>
        </w:tc>
        <w:tc>
          <w:tcPr>
            <w:tcW w:type="dxa" w:w="1440"/>
            <w:shd w:fill="C6EFCE" w:val="clear"/>
          </w:tcPr>
          <w:p>
            <w:r>
              <w:rPr>
                <w:sz w:val="17"/>
              </w:rPr>
              <w:t>3,088</w:t>
            </w:r>
          </w:p>
        </w:tc>
        <w:tc>
          <w:tcPr>
            <w:tcW w:type="dxa" w:w="1440"/>
            <w:shd w:fill="C6EFCE" w:val="clear"/>
          </w:tcPr>
          <w:p>
            <w:r>
              <w:rPr>
                <w:b/>
                <w:sz w:val="17"/>
              </w:rPr>
              <w:t>3,354</w:t>
            </w:r>
          </w:p>
        </w:tc>
        <w:tc>
          <w:tcPr>
            <w:tcW w:type="dxa" w:w="1440"/>
            <w:shd w:fill="C6EFCE" w:val="clear"/>
          </w:tcPr>
          <w:p>
            <w:r>
              <w:rPr>
                <w:sz w:val="17"/>
              </w:rPr>
              <w:t>3,619</w:t>
            </w:r>
          </w:p>
        </w:tc>
        <w:tc>
          <w:tcPr>
            <w:tcW w:type="dxa" w:w="1440"/>
            <w:shd w:fill="C6EFCE" w:val="clear"/>
          </w:tcPr>
          <w:p>
            <w:r>
              <w:rPr>
                <w:b/>
                <w:color w:val="008000"/>
                <w:sz w:val="17"/>
              </w:rPr>
              <w:t>+8.2%</w:t>
            </w:r>
          </w:p>
        </w:tc>
      </w:tr>
      <w:tr>
        <w:tc>
          <w:tcPr>
            <w:tcW w:type="dxa" w:w="1440"/>
            <w:shd w:fill="C6EFCE" w:val="clear"/>
          </w:tcPr>
          <w:p>
            <w:r>
              <w:rPr>
                <w:sz w:val="17"/>
              </w:rPr>
              <w:t>J+3  Moyenne</w:t>
            </w:r>
          </w:p>
        </w:tc>
        <w:tc>
          <w:tcPr>
            <w:tcW w:type="dxa" w:w="1440"/>
            <w:shd w:fill="C6EFCE" w:val="clear"/>
          </w:tcPr>
          <w:p>
            <w:r>
              <w:rPr>
                <w:sz w:val="17"/>
              </w:rPr>
              <w:t>2026-09-30</w:t>
            </w:r>
          </w:p>
        </w:tc>
        <w:tc>
          <w:tcPr>
            <w:tcW w:type="dxa" w:w="1440"/>
            <w:shd w:fill="C6EFCE" w:val="clear"/>
          </w:tcPr>
          <w:p>
            <w:r>
              <w:rPr>
                <w:sz w:val="17"/>
              </w:rPr>
              <w:t>3,052</w:t>
            </w:r>
          </w:p>
        </w:tc>
        <w:tc>
          <w:tcPr>
            <w:tcW w:type="dxa" w:w="1440"/>
            <w:shd w:fill="C6EFCE" w:val="clear"/>
          </w:tcPr>
          <w:p>
            <w:r>
              <w:rPr>
                <w:b/>
                <w:sz w:val="17"/>
              </w:rPr>
              <w:t>3,379</w:t>
            </w:r>
          </w:p>
        </w:tc>
        <w:tc>
          <w:tcPr>
            <w:tcW w:type="dxa" w:w="1440"/>
            <w:shd w:fill="C6EFCE" w:val="clear"/>
          </w:tcPr>
          <w:p>
            <w:r>
              <w:rPr>
                <w:sz w:val="17"/>
              </w:rPr>
              <w:t>3,707</w:t>
            </w:r>
          </w:p>
        </w:tc>
        <w:tc>
          <w:tcPr>
            <w:tcW w:type="dxa" w:w="1440"/>
            <w:shd w:fill="C6EFCE" w:val="clear"/>
          </w:tcPr>
          <w:p>
            <w:r>
              <w:rPr>
                <w:b/>
                <w:color w:val="008000"/>
                <w:sz w:val="17"/>
              </w:rPr>
              <w:t>+9.0%</w:t>
            </w:r>
          </w:p>
        </w:tc>
      </w:tr>
      <w:tr>
        <w:tc>
          <w:tcPr>
            <w:tcW w:type="dxa" w:w="1440"/>
            <w:shd w:fill="C6EFCE" w:val="clear"/>
          </w:tcPr>
          <w:p>
            <w:r>
              <w:rPr>
                <w:sz w:val="17"/>
              </w:rPr>
              <w:t>J+4  ⭐</w:t>
            </w:r>
          </w:p>
        </w:tc>
        <w:tc>
          <w:tcPr>
            <w:tcW w:type="dxa" w:w="1440"/>
            <w:shd w:fill="C6EFCE" w:val="clear"/>
          </w:tcPr>
          <w:p>
            <w:r>
              <w:rPr>
                <w:sz w:val="17"/>
              </w:rPr>
              <w:t>2026-10-01</w:t>
            </w:r>
          </w:p>
        </w:tc>
        <w:tc>
          <w:tcPr>
            <w:tcW w:type="dxa" w:w="1440"/>
            <w:shd w:fill="C6EFCE" w:val="clear"/>
          </w:tcPr>
          <w:p>
            <w:r>
              <w:rPr>
                <w:sz w:val="17"/>
              </w:rPr>
              <w:t>3,007</w:t>
            </w:r>
          </w:p>
        </w:tc>
        <w:tc>
          <w:tcPr>
            <w:tcW w:type="dxa" w:w="1440"/>
            <w:shd w:fill="C6EFCE" w:val="clear"/>
          </w:tcPr>
          <w:p>
            <w:r>
              <w:rPr>
                <w:b/>
                <w:sz w:val="17"/>
              </w:rPr>
              <w:t>3,386</w:t>
            </w:r>
          </w:p>
        </w:tc>
        <w:tc>
          <w:tcPr>
            <w:tcW w:type="dxa" w:w="1440"/>
            <w:shd w:fill="C6EFCE" w:val="clear"/>
          </w:tcPr>
          <w:p>
            <w:r>
              <w:rPr>
                <w:sz w:val="17"/>
              </w:rPr>
              <w:t>3,766</w:t>
            </w:r>
          </w:p>
        </w:tc>
        <w:tc>
          <w:tcPr>
            <w:tcW w:type="dxa" w:w="1440"/>
            <w:shd w:fill="C6EFCE" w:val="clear"/>
          </w:tcPr>
          <w:p>
            <w:r>
              <w:rPr>
                <w:b/>
                <w:color w:val="008000"/>
                <w:sz w:val="17"/>
              </w:rPr>
              <w:t>+9.2%</w:t>
            </w:r>
          </w:p>
        </w:tc>
      </w:tr>
      <w:tr>
        <w:tc>
          <w:tcPr>
            <w:tcW w:type="dxa" w:w="1440"/>
            <w:shd w:fill="C6EFCE" w:val="clear"/>
          </w:tcPr>
          <w:p>
            <w:r>
              <w:rPr>
                <w:sz w:val="17"/>
              </w:rPr>
              <w:t>J+5  ⭐</w:t>
            </w:r>
          </w:p>
        </w:tc>
        <w:tc>
          <w:tcPr>
            <w:tcW w:type="dxa" w:w="1440"/>
            <w:shd w:fill="C6EFCE" w:val="clear"/>
          </w:tcPr>
          <w:p>
            <w:r>
              <w:rPr>
                <w:sz w:val="17"/>
              </w:rPr>
              <w:t>2026-10-02</w:t>
            </w:r>
          </w:p>
        </w:tc>
        <w:tc>
          <w:tcPr>
            <w:tcW w:type="dxa" w:w="1440"/>
            <w:shd w:fill="C6EFCE" w:val="clear"/>
          </w:tcPr>
          <w:p>
            <w:r>
              <w:rPr>
                <w:sz w:val="17"/>
              </w:rPr>
              <w:t>2,968</w:t>
            </w:r>
          </w:p>
        </w:tc>
        <w:tc>
          <w:tcPr>
            <w:tcW w:type="dxa" w:w="1440"/>
            <w:shd w:fill="C6EFCE" w:val="clear"/>
          </w:tcPr>
          <w:p>
            <w:r>
              <w:rPr>
                <w:b/>
                <w:sz w:val="17"/>
              </w:rPr>
              <w:t>3,392</w:t>
            </w:r>
          </w:p>
        </w:tc>
        <w:tc>
          <w:tcPr>
            <w:tcW w:type="dxa" w:w="1440"/>
            <w:shd w:fill="C6EFCE" w:val="clear"/>
          </w:tcPr>
          <w:p>
            <w:r>
              <w:rPr>
                <w:sz w:val="17"/>
              </w:rPr>
              <w:t>3,817</w:t>
            </w:r>
          </w:p>
        </w:tc>
        <w:tc>
          <w:tcPr>
            <w:tcW w:type="dxa" w:w="1440"/>
            <w:shd w:fill="C6EFCE" w:val="clear"/>
          </w:tcPr>
          <w:p>
            <w:r>
              <w:rPr>
                <w:b/>
                <w:color w:val="008000"/>
                <w:sz w:val="17"/>
              </w:rPr>
              <w:t>+9.4%</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2,934</w:t>
            </w:r>
          </w:p>
        </w:tc>
        <w:tc>
          <w:tcPr>
            <w:tcW w:type="dxa" w:w="1440"/>
            <w:shd w:fill="C6EFCE" w:val="clear"/>
          </w:tcPr>
          <w:p>
            <w:r>
              <w:rPr>
                <w:b/>
                <w:sz w:val="17"/>
              </w:rPr>
              <w:t>3,401</w:t>
            </w:r>
          </w:p>
        </w:tc>
        <w:tc>
          <w:tcPr>
            <w:tcW w:type="dxa" w:w="1440"/>
            <w:shd w:fill="C6EFCE" w:val="clear"/>
          </w:tcPr>
          <w:p>
            <w:r>
              <w:rPr>
                <w:sz w:val="17"/>
              </w:rPr>
              <w:t>3,867</w:t>
            </w:r>
          </w:p>
        </w:tc>
        <w:tc>
          <w:tcPr>
            <w:tcW w:type="dxa" w:w="1440"/>
            <w:shd w:fill="C6EFCE" w:val="clear"/>
          </w:tcPr>
          <w:p>
            <w:r>
              <w:rPr>
                <w:b/>
                <w:color w:val="008000"/>
                <w:sz w:val="17"/>
              </w:rPr>
              <w:t>+9.7%</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2,906</w:t>
            </w:r>
          </w:p>
        </w:tc>
        <w:tc>
          <w:tcPr>
            <w:tcW w:type="dxa" w:w="1440"/>
            <w:shd w:fill="C6EFCE" w:val="clear"/>
          </w:tcPr>
          <w:p>
            <w:r>
              <w:rPr>
                <w:b/>
                <w:sz w:val="17"/>
              </w:rPr>
              <w:t>3,412</w:t>
            </w:r>
          </w:p>
        </w:tc>
        <w:tc>
          <w:tcPr>
            <w:tcW w:type="dxa" w:w="1440"/>
            <w:shd w:fill="C6EFCE" w:val="clear"/>
          </w:tcPr>
          <w:p>
            <w:r>
              <w:rPr>
                <w:sz w:val="17"/>
              </w:rPr>
              <w:t>3,917</w:t>
            </w:r>
          </w:p>
        </w:tc>
        <w:tc>
          <w:tcPr>
            <w:tcW w:type="dxa" w:w="1440"/>
            <w:shd w:fill="C6EFCE" w:val="clear"/>
          </w:tcPr>
          <w:p>
            <w:r>
              <w:rPr>
                <w:b/>
                <w:color w:val="008000"/>
                <w:sz w:val="17"/>
              </w:rPr>
              <w:t>+10.1%</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2,881</w:t>
            </w:r>
          </w:p>
        </w:tc>
        <w:tc>
          <w:tcPr>
            <w:tcW w:type="dxa" w:w="1440"/>
            <w:shd w:fill="C6EFCE" w:val="clear"/>
          </w:tcPr>
          <w:p>
            <w:r>
              <w:rPr>
                <w:b/>
                <w:sz w:val="17"/>
              </w:rPr>
              <w:t>3,423</w:t>
            </w:r>
          </w:p>
        </w:tc>
        <w:tc>
          <w:tcPr>
            <w:tcW w:type="dxa" w:w="1440"/>
            <w:shd w:fill="C6EFCE" w:val="clear"/>
          </w:tcPr>
          <w:p>
            <w:r>
              <w:rPr>
                <w:sz w:val="17"/>
              </w:rPr>
              <w:t>3,965</w:t>
            </w:r>
          </w:p>
        </w:tc>
        <w:tc>
          <w:tcPr>
            <w:tcW w:type="dxa" w:w="1440"/>
            <w:shd w:fill="C6EFCE" w:val="clear"/>
          </w:tcPr>
          <w:p>
            <w:r>
              <w:rPr>
                <w:b/>
                <w:color w:val="008000"/>
                <w:sz w:val="17"/>
              </w:rPr>
              <w:t>+10.4%</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2,856</w:t>
            </w:r>
          </w:p>
        </w:tc>
        <w:tc>
          <w:tcPr>
            <w:tcW w:type="dxa" w:w="1440"/>
            <w:shd w:fill="C6EFCE" w:val="clear"/>
          </w:tcPr>
          <w:p>
            <w:r>
              <w:rPr>
                <w:b/>
                <w:sz w:val="17"/>
              </w:rPr>
              <w:t>3,433</w:t>
            </w:r>
          </w:p>
        </w:tc>
        <w:tc>
          <w:tcPr>
            <w:tcW w:type="dxa" w:w="1440"/>
            <w:shd w:fill="C6EFCE" w:val="clear"/>
          </w:tcPr>
          <w:p>
            <w:r>
              <w:rPr>
                <w:sz w:val="17"/>
              </w:rPr>
              <w:t>4,009</w:t>
            </w:r>
          </w:p>
        </w:tc>
        <w:tc>
          <w:tcPr>
            <w:tcW w:type="dxa" w:w="1440"/>
            <w:shd w:fill="C6EFCE" w:val="clear"/>
          </w:tcPr>
          <w:p>
            <w:r>
              <w:rPr>
                <w:b/>
                <w:color w:val="008000"/>
                <w:sz w:val="17"/>
              </w:rPr>
              <w:t>+10.7%</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2,831</w:t>
            </w:r>
          </w:p>
        </w:tc>
        <w:tc>
          <w:tcPr>
            <w:tcW w:type="dxa" w:w="1440"/>
            <w:shd w:fill="C6EFCE" w:val="clear"/>
          </w:tcPr>
          <w:p>
            <w:r>
              <w:rPr>
                <w:b/>
                <w:sz w:val="17"/>
              </w:rPr>
              <w:t>3,441</w:t>
            </w:r>
          </w:p>
        </w:tc>
        <w:tc>
          <w:tcPr>
            <w:tcW w:type="dxa" w:w="1440"/>
            <w:shd w:fill="C6EFCE" w:val="clear"/>
          </w:tcPr>
          <w:p>
            <w:r>
              <w:rPr>
                <w:sz w:val="17"/>
              </w:rPr>
              <w:t>4,050</w:t>
            </w:r>
          </w:p>
        </w:tc>
        <w:tc>
          <w:tcPr>
            <w:tcW w:type="dxa" w:w="1440"/>
            <w:shd w:fill="C6EFCE" w:val="clear"/>
          </w:tcPr>
          <w:p>
            <w:r>
              <w:rPr>
                <w:b/>
                <w:color w:val="008000"/>
                <w:sz w:val="17"/>
              </w:rPr>
              <w:t>+11.0%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*Analyste Marché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SCRC s'établit à 60,76 Mds FCFA, un niveau intermédiaire à l'échelle de la BRVM qui positionne le titre parmi les valeurs industrielles de taille moyenne. Le BPA ressort à -406 FCFA/action, traduisant une société déficitaire, ce qui rend le PER de -7,6x non interprétable en termes de valorisation relative (un PER négatif signale simplement que les bénéfices sont négatifs). Le P/B de 3,52x indique que le marché valorise l'action à plus de trois fois sa valeur comptable, une prime de croissance significative qui contraste fortement avec la réalité déficitaire de l'entreprise — ce qui suggère que les investisseurs anticipent un redressement futur ou que le titre est surévalué. L'EV/EBITDA de 10,2x, dans la fourchette haute (10-15x), confirme que la valeur d'entreprise rapportée à la capacité opérationnelle est tendue, d'autant que l'EBITDA de 14,8 Mds FCFA est grevé par des charges financières de 6,79 Mds FCFA. Globalement, ces ratios dessinent une valorisation exigeante pour une société en perte, portée par des anticipations de retournement plutôt que par des fondamentaux actuels solides.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SCRC a progressé de +55,39%, avec une dernière séance en hausse de +7,27%, portant le cours actuel à 3 100 FCFA. Le range de trading est très large, entre un plus bas de 1 990 FCFA et un plus haut de 3 920 FCFA, soit une amplitude de près de 97% — signe d'une forte volatilité et d'un intérêt spéculatif marqué. La tendance générale est haussière sur la période, mais le cours actuel (3 100 FCFA) se situe nettement sous le plus haut, indiquant une correction en cours depuis les sommets. Les statistiques descriptives révèlent une moyenne de 3 136 FCFA supérieure à la médiane de 3 298 FCFA — écart qui, combiné à un skewness de -0,767 (asymétrie négative), indique que davantage de journées se sont situées au-dessus de la moyenne, mais que des baisses brutales ont tiré la moyenne vers le bas. L'écart-type de 519 FCFA (CV=16,5%) traduit une dispersion modérée à élevée du cours, tandis que le kurtosis de -0,549 (mésokurtique) suggère une distribution proche de la normale, sans risque de pics extrêmes marqué. La volatilité annualisée de 59,0% classe ce titre dans la catégorie des valeurs à volatilité élevée (&gt;30%), ce qui implique un risque de perte en capital important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(3 321,25 FCFA) et la MM50 (3 487,20 FCFA) se situent toutes deux au-dessus du cours actuel (3 100 FCFA), avec une MM20 inférieure à la MM50 — configuration baissière classique. Le cours évolue sous ses deux moyennes, ce qui confirme la pression vendeuse et justifie la décision technique de **Vente**.</w:t>
      </w:r>
    </w:p>
    <w:p>
      <w:pPr>
        <w:spacing w:after="120" w:line="276" w:lineRule="auto"/>
      </w:pPr>
      <w:r>
        <w:t>**Bandes de Bollinger** : Le cours (3 100 FCFA) se situe dans la partie basse de la bande, entre la borne inférieure (2 795,73 FCFA) et la borne supérieure (3 846,77 FCFA), sans être en zone de survente extrême. La largeur des bandes (amplitude de 1 051 FCFA) reflète une volatilité élevée, et la décision **Neutre** indique l'absence de signal directionnel fort à ce stade.</w:t>
      </w:r>
    </w:p>
    <w:p>
      <w:pPr>
        <w:spacing w:after="120" w:line="276" w:lineRule="auto"/>
      </w:pPr>
      <w:r>
        <w:t>**MACD** : La valeur du MACD (-151,62) est inférieure à son signal (-98,02), avec un histogramme négatif — configuration baissière qui indique un momentum négatif persistant. La divergence entre les deux lignes confirme la faiblesse du titre, justifiant la décision de **Vente**.</w:t>
      </w:r>
    </w:p>
    <w:p>
      <w:pPr>
        <w:spacing w:after="120" w:line="276" w:lineRule="auto"/>
      </w:pPr>
      <w:r>
        <w:t>**RSI** : À 31,72, le RSI se situe juste au-dessus du seuil de survente (30), en zone neutre basse. Cela suggère que le titre n'est pas encore techniquement survendu mais s'en approche, ce qui pourrait précéder un rebond technique à court terme. La décision **Neutre** reflète cette position ambiguë.</w:t>
      </w:r>
    </w:p>
    <w:p>
      <w:pPr>
        <w:spacing w:after="120" w:line="276" w:lineRule="auto"/>
      </w:pPr>
      <w:r>
        <w:t>**Stochastique** : Le %K (44,81) est supérieur au %D (22,22), avec un croisement haussier en formation — signal potentiellement positif à court terme. Cependant, les deux lignes restent en zone basse, ce qui tempère la portée du signal. La décision **Neutre** est cohérente avec cette configuration naissante.</w:t>
      </w:r>
    </w:p>
    <w:p>
      <w:pPr>
        <w:spacing w:after="120" w:line="276" w:lineRule="auto"/>
      </w:pPr>
      <w:r>
        <w:t>**Conclusion technique** : Les indicateurs sont majoritairement baissiers (MM, MACD) mais montrent des signes de stabilisation (RSI proche de la survente, Stochastique en croisement haussier). Le titre se trouve dans une phase de correction après une forte hausse, avec un potentiel de rebond technique à court terme mais une tendance de fond encore fragile. La convergence des signaux reste insuffisante pour un retournement durable.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de SCRC (exercice clos au 31 décembre 2025, rapport analysé le 1er mai 2026) révèlent une situation préoccupante : le chiffre d'affaires s'établit à 80,57 Mds FCFA, en baisse de -7,6% par rapport à 2024 (87,22 Mds FCFA), et le résultat net est déficitaire de -7,95 Mds FCFA (IFRS) contre un bénéfice de +2,47 Mds FCFA en 2024 — une dégradation de 421%. Le ROE ressort à -46,13% et le ROA à -5,08%, confirmant la destruction de valeur. Les charges financières ont explosé à 6,79 Mds FCFA (+262%), et l'endettement long terme a bondi à 64,5 Mds FCFA (+168%), portant le ratio d'endettement à 374% des capitaux propres (17,24 Mds FCFA) — un niveau critique. Le BFR est de 6,53 Mds FCFA, avec un délai clients de 12,28 jours (correct) mais un délai fournisseurs de 366 jours (exceptionnellement long, ce qui soulage la trésorerie à court terme mais traduit une dépendance aux fournisseurs). La trésorerie nette est négative à -6,5 Mds FCFA, et le free cash-flow est de -12,4 Mds FCFA, reflétant les investissements massifs (25,2 Mds FCFA) qui pèsent sur la liquidité. Les rapports du S1 2025 (daté du 30 juin 2025) et du T1 2025 (31 mars 2025) confirment cette tendance : perte nette de -6,71 Mds FCFA au S1 2025 contre +1,26 Md FCFA au S1 2024, avec une production de sucre en baisse de 18% (44 058 tonnes). Cependant, la campagne 2025/26 a démarré fin octobre 2025 avec des perspectives de production de 90 000 à 95 000 tonnes (+14% à +20%), ce qui pourrait soutenir une reprise en 2026. Sur la base de ces éléments, on estime que l'exercice 2026 devrait montrer une amélioration progressive du CA et une réduction de la perte nette, mais la structure financière reste très fragile. La recommandation fondamentale est de **conserver** le titre avec une grande prudence, en attendant la confirmation du redressement opérationnel et de la maîtrise de l'endettement.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SCRC apparaît tendue (P/B de 3,52x, EV/EBITDA de 10,2x) pour une société déficitaire, ce qui suggère que le marché intègre déjà un scénario de redressement optimiste. Le comportement du cours sur 100 jours est haussier (+55,39%) mais avec une volatilité élevée (59,0%) et une asymétrie négative (skewness de -0,767), indiquant que les baisses brutales ont été fréquentes — un profil risqué. Les signaux techniques sont majoritairement baissiers (MM sous le cours, MACD négatif) mais montrent des signes de stabilisation (RSI à 31,72, Stochastique en croisement haussier), ce qui pourrait précéder un rebond technique à court terme. Les fondamentaux sont très dégradés (perte nette de -7,95 Mds FCFA en 2025, endettement critique à 374% des capitaux propres), mais les perspectives de la campagne 2025/26 (+14% à +20% de production) et les investissements massifs laissent entrevoir un potentiel de redressement à moyen terme. Les prédictions IA (J+1 à J+10) tablent sur une hausse progressive vers 3 392 FCFA, ce qui confirme un rebond technique à court terme mais reste en deçà du plus haut de 3 920 FCFA. Sur la base de cette synthèse, la recommandation finale est **CONSERVER** avec un niveau de confiance **Moyen** et un risque global **Élevé**. L'horizon d'investissement optimal est le **moyen terme (3-12 mois)**, en attendant les résultats du S1 2026 pour vérifier si le redressement opérationnel se matérialise et si la structure financière s'améliore. Un achat supplémentaire est déconseillé à ce stade en raison des risques de liquidité et d'endettement, tandis qu'une vente serait prématurée compte tenu du potentiel de rebond lié à la campagne sucrière.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107.10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1,427 titres</w:t>
            </w:r>
          </w:p>
        </w:tc>
        <w:tc>
          <w:tcPr>
            <w:tcW w:type="dxa" w:w="2268"/>
            <w:shd w:fill="FFF2CC" w:val="clear"/>
          </w:tcPr>
          <w:p>
            <w:r>
              <w:rPr>
                <w:b/>
                <w:color w:val="503200"/>
                <w:sz w:val="16"/>
              </w:rPr>
              <w:t xml:space="preserve">Cours actuel : </w:t>
            </w:r>
            <w:r>
              <w:rPr>
                <w:color w:val="000000"/>
                <w:sz w:val="17"/>
              </w:rPr>
              <w:t>11,900 FCFA</w:t>
            </w:r>
          </w:p>
          <w:p>
            <w:r>
              <w:rPr>
                <w:b/>
                <w:color w:val="503200"/>
                <w:sz w:val="16"/>
              </w:rPr>
              <w:t xml:space="preserve">Var. 100 jours : </w:t>
            </w:r>
            <w:r>
              <w:rPr>
                <w:b/>
                <w:color w:val="007800"/>
                <w:sz w:val="17"/>
              </w:rPr>
              <w:t>+26.60%</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8,900 FCFA</w:t>
            </w:r>
          </w:p>
          <w:p>
            <w:r>
              <w:rPr>
                <w:b/>
                <w:color w:val="503200"/>
                <w:sz w:val="16"/>
              </w:rPr>
              <w:t xml:space="preserve">Volatilité ann. : </w:t>
            </w:r>
            <w:r>
              <w:rPr>
                <w:color w:val="000000"/>
                <w:sz w:val="17"/>
              </w:rPr>
              <w:t>38.7%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8.89% (Moyenne) — μ=11,772 FCFA, σ=1,046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β=0.7753 (Défensif) — Cov=0.000053, Var(idx)=0.000069, ρ=0.264,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σ_j=2.44%/j (Stable) — Vol. annualisée≈38.7%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2026-09-28</w:t>
            </w:r>
          </w:p>
        </w:tc>
        <w:tc>
          <w:tcPr>
            <w:tcW w:type="dxa" w:w="1440"/>
            <w:shd w:fill="C6EFCE" w:val="clear"/>
          </w:tcPr>
          <w:p>
            <w:r>
              <w:rPr>
                <w:sz w:val="17"/>
              </w:rPr>
              <w:t>11,667</w:t>
            </w:r>
          </w:p>
        </w:tc>
        <w:tc>
          <w:tcPr>
            <w:tcW w:type="dxa" w:w="1440"/>
            <w:shd w:fill="C6EFCE" w:val="clear"/>
          </w:tcPr>
          <w:p>
            <w:r>
              <w:rPr>
                <w:b/>
                <w:sz w:val="17"/>
              </w:rPr>
              <w:t>12,313</w:t>
            </w:r>
          </w:p>
        </w:tc>
        <w:tc>
          <w:tcPr>
            <w:tcW w:type="dxa" w:w="1440"/>
            <w:shd w:fill="C6EFCE" w:val="clear"/>
          </w:tcPr>
          <w:p>
            <w:r>
              <w:rPr>
                <w:sz w:val="17"/>
              </w:rPr>
              <w:t>12,959</w:t>
            </w:r>
          </w:p>
        </w:tc>
        <w:tc>
          <w:tcPr>
            <w:tcW w:type="dxa" w:w="1440"/>
            <w:shd w:fill="C6EFCE" w:val="clear"/>
          </w:tcPr>
          <w:p>
            <w:r>
              <w:rPr>
                <w:b/>
                <w:color w:val="008000"/>
                <w:sz w:val="17"/>
              </w:rPr>
              <w:t>+3.5%</w:t>
            </w:r>
          </w:p>
        </w:tc>
      </w:tr>
      <w:tr>
        <w:tc>
          <w:tcPr>
            <w:tcW w:type="dxa" w:w="1440"/>
            <w:shd w:fill="C6EFCE" w:val="clear"/>
          </w:tcPr>
          <w:p>
            <w:r>
              <w:rPr>
                <w:sz w:val="17"/>
              </w:rPr>
              <w:t>J+2  ⭐</w:t>
            </w:r>
          </w:p>
        </w:tc>
        <w:tc>
          <w:tcPr>
            <w:tcW w:type="dxa" w:w="1440"/>
            <w:shd w:fill="C6EFCE" w:val="clear"/>
          </w:tcPr>
          <w:p>
            <w:r>
              <w:rPr>
                <w:sz w:val="17"/>
              </w:rPr>
              <w:t>2026-09-29</w:t>
            </w:r>
          </w:p>
        </w:tc>
        <w:tc>
          <w:tcPr>
            <w:tcW w:type="dxa" w:w="1440"/>
            <w:shd w:fill="C6EFCE" w:val="clear"/>
          </w:tcPr>
          <w:p>
            <w:r>
              <w:rPr>
                <w:sz w:val="17"/>
              </w:rPr>
              <w:t>11,572</w:t>
            </w:r>
          </w:p>
        </w:tc>
        <w:tc>
          <w:tcPr>
            <w:tcW w:type="dxa" w:w="1440"/>
            <w:shd w:fill="C6EFCE" w:val="clear"/>
          </w:tcPr>
          <w:p>
            <w:r>
              <w:rPr>
                <w:b/>
                <w:sz w:val="17"/>
              </w:rPr>
              <w:t>12,499</w:t>
            </w:r>
          </w:p>
        </w:tc>
        <w:tc>
          <w:tcPr>
            <w:tcW w:type="dxa" w:w="1440"/>
            <w:shd w:fill="C6EFCE" w:val="clear"/>
          </w:tcPr>
          <w:p>
            <w:r>
              <w:rPr>
                <w:sz w:val="17"/>
              </w:rPr>
              <w:t>13,427</w:t>
            </w:r>
          </w:p>
        </w:tc>
        <w:tc>
          <w:tcPr>
            <w:tcW w:type="dxa" w:w="1440"/>
            <w:shd w:fill="C6EFCE" w:val="clear"/>
          </w:tcPr>
          <w:p>
            <w:r>
              <w:rPr>
                <w:b/>
                <w:color w:val="008000"/>
                <w:sz w:val="17"/>
              </w:rPr>
              <w:t>+5.0%</w:t>
            </w:r>
          </w:p>
        </w:tc>
      </w:tr>
      <w:tr>
        <w:tc>
          <w:tcPr>
            <w:tcW w:type="dxa" w:w="1440"/>
            <w:shd w:fill="C6EFCE" w:val="clear"/>
          </w:tcPr>
          <w:p>
            <w:r>
              <w:rPr>
                <w:sz w:val="17"/>
              </w:rPr>
              <w:t>J+3  ⭐</w:t>
            </w:r>
          </w:p>
        </w:tc>
        <w:tc>
          <w:tcPr>
            <w:tcW w:type="dxa" w:w="1440"/>
            <w:shd w:fill="C6EFCE" w:val="clear"/>
          </w:tcPr>
          <w:p>
            <w:r>
              <w:rPr>
                <w:sz w:val="17"/>
              </w:rPr>
              <w:t>2026-09-30</w:t>
            </w:r>
          </w:p>
        </w:tc>
        <w:tc>
          <w:tcPr>
            <w:tcW w:type="dxa" w:w="1440"/>
            <w:shd w:fill="C6EFCE" w:val="clear"/>
          </w:tcPr>
          <w:p>
            <w:r>
              <w:rPr>
                <w:sz w:val="17"/>
              </w:rPr>
              <w:t>11,519</w:t>
            </w:r>
          </w:p>
        </w:tc>
        <w:tc>
          <w:tcPr>
            <w:tcW w:type="dxa" w:w="1440"/>
            <w:shd w:fill="C6EFCE" w:val="clear"/>
          </w:tcPr>
          <w:p>
            <w:r>
              <w:rPr>
                <w:b/>
                <w:sz w:val="17"/>
              </w:rPr>
              <w:t>12,670</w:t>
            </w:r>
          </w:p>
        </w:tc>
        <w:tc>
          <w:tcPr>
            <w:tcW w:type="dxa" w:w="1440"/>
            <w:shd w:fill="C6EFCE" w:val="clear"/>
          </w:tcPr>
          <w:p>
            <w:r>
              <w:rPr>
                <w:sz w:val="17"/>
              </w:rPr>
              <w:t>13,821</w:t>
            </w:r>
          </w:p>
        </w:tc>
        <w:tc>
          <w:tcPr>
            <w:tcW w:type="dxa" w:w="1440"/>
            <w:shd w:fill="C6EFCE" w:val="clear"/>
          </w:tcPr>
          <w:p>
            <w:r>
              <w:rPr>
                <w:b/>
                <w:color w:val="008000"/>
                <w:sz w:val="17"/>
              </w:rPr>
              <w:t>+6.5%</w:t>
            </w:r>
          </w:p>
        </w:tc>
      </w:tr>
      <w:tr>
        <w:tc>
          <w:tcPr>
            <w:tcW w:type="dxa" w:w="1440"/>
            <w:shd w:fill="C6EFCE" w:val="clear"/>
          </w:tcPr>
          <w:p>
            <w:r>
              <w:rPr>
                <w:sz w:val="17"/>
              </w:rPr>
              <w:t>J+4  ⭐</w:t>
            </w:r>
          </w:p>
        </w:tc>
        <w:tc>
          <w:tcPr>
            <w:tcW w:type="dxa" w:w="1440"/>
            <w:shd w:fill="C6EFCE" w:val="clear"/>
          </w:tcPr>
          <w:p>
            <w:r>
              <w:rPr>
                <w:sz w:val="17"/>
              </w:rPr>
              <w:t>2026-10-01</w:t>
            </w:r>
          </w:p>
        </w:tc>
        <w:tc>
          <w:tcPr>
            <w:tcW w:type="dxa" w:w="1440"/>
            <w:shd w:fill="C6EFCE" w:val="clear"/>
          </w:tcPr>
          <w:p>
            <w:r>
              <w:rPr>
                <w:sz w:val="17"/>
              </w:rPr>
              <w:t>11,474</w:t>
            </w:r>
          </w:p>
        </w:tc>
        <w:tc>
          <w:tcPr>
            <w:tcW w:type="dxa" w:w="1440"/>
            <w:shd w:fill="C6EFCE" w:val="clear"/>
          </w:tcPr>
          <w:p>
            <w:r>
              <w:rPr>
                <w:b/>
                <w:sz w:val="17"/>
              </w:rPr>
              <w:t>12,820</w:t>
            </w:r>
          </w:p>
        </w:tc>
        <w:tc>
          <w:tcPr>
            <w:tcW w:type="dxa" w:w="1440"/>
            <w:shd w:fill="C6EFCE" w:val="clear"/>
          </w:tcPr>
          <w:p>
            <w:r>
              <w:rPr>
                <w:sz w:val="17"/>
              </w:rPr>
              <w:t>14,165</w:t>
            </w:r>
          </w:p>
        </w:tc>
        <w:tc>
          <w:tcPr>
            <w:tcW w:type="dxa" w:w="1440"/>
            <w:shd w:fill="C6EFCE" w:val="clear"/>
          </w:tcPr>
          <w:p>
            <w:r>
              <w:rPr>
                <w:b/>
                <w:color w:val="008000"/>
                <w:sz w:val="17"/>
              </w:rPr>
              <w:t>+7.7%</w:t>
            </w:r>
          </w:p>
        </w:tc>
      </w:tr>
      <w:tr>
        <w:tc>
          <w:tcPr>
            <w:tcW w:type="dxa" w:w="1440"/>
            <w:shd w:fill="C6EFCE" w:val="clear"/>
          </w:tcPr>
          <w:p>
            <w:r>
              <w:rPr>
                <w:sz w:val="17"/>
              </w:rPr>
              <w:t>J+5  ⭐</w:t>
            </w:r>
          </w:p>
        </w:tc>
        <w:tc>
          <w:tcPr>
            <w:tcW w:type="dxa" w:w="1440"/>
            <w:shd w:fill="C6EFCE" w:val="clear"/>
          </w:tcPr>
          <w:p>
            <w:r>
              <w:rPr>
                <w:sz w:val="17"/>
              </w:rPr>
              <w:t>2026-10-02</w:t>
            </w:r>
          </w:p>
        </w:tc>
        <w:tc>
          <w:tcPr>
            <w:tcW w:type="dxa" w:w="1440"/>
            <w:shd w:fill="C6EFCE" w:val="clear"/>
          </w:tcPr>
          <w:p>
            <w:r>
              <w:rPr>
                <w:sz w:val="17"/>
              </w:rPr>
              <w:t>11,429</w:t>
            </w:r>
          </w:p>
        </w:tc>
        <w:tc>
          <w:tcPr>
            <w:tcW w:type="dxa" w:w="1440"/>
            <w:shd w:fill="C6EFCE" w:val="clear"/>
          </w:tcPr>
          <w:p>
            <w:r>
              <w:rPr>
                <w:b/>
                <w:sz w:val="17"/>
              </w:rPr>
              <w:t>12,948</w:t>
            </w:r>
          </w:p>
        </w:tc>
        <w:tc>
          <w:tcPr>
            <w:tcW w:type="dxa" w:w="1440"/>
            <w:shd w:fill="C6EFCE" w:val="clear"/>
          </w:tcPr>
          <w:p>
            <w:r>
              <w:rPr>
                <w:sz w:val="17"/>
              </w:rPr>
              <w:t>14,467</w:t>
            </w:r>
          </w:p>
        </w:tc>
        <w:tc>
          <w:tcPr>
            <w:tcW w:type="dxa" w:w="1440"/>
            <w:shd w:fill="C6EFCE" w:val="clear"/>
          </w:tcPr>
          <w:p>
            <w:r>
              <w:rPr>
                <w:b/>
                <w:color w:val="008000"/>
                <w:sz w:val="17"/>
              </w:rPr>
              <w:t>+8.8%</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11,378</w:t>
            </w:r>
          </w:p>
        </w:tc>
        <w:tc>
          <w:tcPr>
            <w:tcW w:type="dxa" w:w="1440"/>
            <w:shd w:fill="C6EFCE" w:val="clear"/>
          </w:tcPr>
          <w:p>
            <w:r>
              <w:rPr>
                <w:b/>
                <w:sz w:val="17"/>
              </w:rPr>
              <w:t>13,056</w:t>
            </w:r>
          </w:p>
        </w:tc>
        <w:tc>
          <w:tcPr>
            <w:tcW w:type="dxa" w:w="1440"/>
            <w:shd w:fill="C6EFCE" w:val="clear"/>
          </w:tcPr>
          <w:p>
            <w:r>
              <w:rPr>
                <w:sz w:val="17"/>
              </w:rPr>
              <w:t>14,734</w:t>
            </w:r>
          </w:p>
        </w:tc>
        <w:tc>
          <w:tcPr>
            <w:tcW w:type="dxa" w:w="1440"/>
            <w:shd w:fill="C6EFCE" w:val="clear"/>
          </w:tcPr>
          <w:p>
            <w:r>
              <w:rPr>
                <w:b/>
                <w:color w:val="008000"/>
                <w:sz w:val="17"/>
              </w:rPr>
              <w:t>+9.7%</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11,321</w:t>
            </w:r>
          </w:p>
        </w:tc>
        <w:tc>
          <w:tcPr>
            <w:tcW w:type="dxa" w:w="1440"/>
            <w:shd w:fill="C6EFCE" w:val="clear"/>
          </w:tcPr>
          <w:p>
            <w:r>
              <w:rPr>
                <w:b/>
                <w:sz w:val="17"/>
              </w:rPr>
              <w:t>13,146</w:t>
            </w:r>
          </w:p>
        </w:tc>
        <w:tc>
          <w:tcPr>
            <w:tcW w:type="dxa" w:w="1440"/>
            <w:shd w:fill="C6EFCE" w:val="clear"/>
          </w:tcPr>
          <w:p>
            <w:r>
              <w:rPr>
                <w:sz w:val="17"/>
              </w:rPr>
              <w:t>14,971</w:t>
            </w:r>
          </w:p>
        </w:tc>
        <w:tc>
          <w:tcPr>
            <w:tcW w:type="dxa" w:w="1440"/>
            <w:shd w:fill="C6EFCE" w:val="clear"/>
          </w:tcPr>
          <w:p>
            <w:r>
              <w:rPr>
                <w:b/>
                <w:color w:val="008000"/>
                <w:sz w:val="17"/>
              </w:rPr>
              <w:t>+10.5%</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11,252</w:t>
            </w:r>
          </w:p>
        </w:tc>
        <w:tc>
          <w:tcPr>
            <w:tcW w:type="dxa" w:w="1440"/>
            <w:shd w:fill="C6EFCE" w:val="clear"/>
          </w:tcPr>
          <w:p>
            <w:r>
              <w:rPr>
                <w:b/>
                <w:sz w:val="17"/>
              </w:rPr>
              <w:t>13,213</w:t>
            </w:r>
          </w:p>
        </w:tc>
        <w:tc>
          <w:tcPr>
            <w:tcW w:type="dxa" w:w="1440"/>
            <w:shd w:fill="C6EFCE" w:val="clear"/>
          </w:tcPr>
          <w:p>
            <w:r>
              <w:rPr>
                <w:sz w:val="17"/>
              </w:rPr>
              <w:t>15,173</w:t>
            </w:r>
          </w:p>
        </w:tc>
        <w:tc>
          <w:tcPr>
            <w:tcW w:type="dxa" w:w="1440"/>
            <w:shd w:fill="C6EFCE" w:val="clear"/>
          </w:tcPr>
          <w:p>
            <w:r>
              <w:rPr>
                <w:b/>
                <w:color w:val="008000"/>
                <w:sz w:val="17"/>
              </w:rPr>
              <w:t>+11.0%</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11,195</w:t>
            </w:r>
          </w:p>
        </w:tc>
        <w:tc>
          <w:tcPr>
            <w:tcW w:type="dxa" w:w="1440"/>
            <w:shd w:fill="C6EFCE" w:val="clear"/>
          </w:tcPr>
          <w:p>
            <w:r>
              <w:rPr>
                <w:b/>
                <w:sz w:val="17"/>
              </w:rPr>
              <w:t>13,286</w:t>
            </w:r>
          </w:p>
        </w:tc>
        <w:tc>
          <w:tcPr>
            <w:tcW w:type="dxa" w:w="1440"/>
            <w:shd w:fill="C6EFCE" w:val="clear"/>
          </w:tcPr>
          <w:p>
            <w:r>
              <w:rPr>
                <w:sz w:val="17"/>
              </w:rPr>
              <w:t>15,378</w:t>
            </w:r>
          </w:p>
        </w:tc>
        <w:tc>
          <w:tcPr>
            <w:tcW w:type="dxa" w:w="1440"/>
            <w:shd w:fill="C6EFCE" w:val="clear"/>
          </w:tcPr>
          <w:p>
            <w:r>
              <w:rPr>
                <w:b/>
                <w:color w:val="008000"/>
                <w:sz w:val="17"/>
              </w:rPr>
              <w:t>+11.7%</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11,142</w:t>
            </w:r>
          </w:p>
        </w:tc>
        <w:tc>
          <w:tcPr>
            <w:tcW w:type="dxa" w:w="1440"/>
            <w:shd w:fill="C6EFCE" w:val="clear"/>
          </w:tcPr>
          <w:p>
            <w:r>
              <w:rPr>
                <w:b/>
                <w:sz w:val="17"/>
              </w:rPr>
              <w:t>13,358</w:t>
            </w:r>
          </w:p>
        </w:tc>
        <w:tc>
          <w:tcPr>
            <w:tcW w:type="dxa" w:w="1440"/>
            <w:shd w:fill="C6EFCE" w:val="clear"/>
          </w:tcPr>
          <w:p>
            <w:r>
              <w:rPr>
                <w:sz w:val="17"/>
              </w:rPr>
              <w:t>15,574</w:t>
            </w:r>
          </w:p>
        </w:tc>
        <w:tc>
          <w:tcPr>
            <w:tcW w:type="dxa" w:w="1440"/>
            <w:shd w:fill="C6EFCE" w:val="clear"/>
          </w:tcPr>
          <w:p>
            <w:r>
              <w:rPr>
                <w:b/>
                <w:color w:val="008000"/>
                <w:sz w:val="17"/>
              </w:rPr>
              <w:t>+12.3%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 RAPPORT D'ANALYSE FINANCIÈRE — SDCC (SODECI)</w:t>
        <w:br/>
        <w:t>**Bourse Régionale des Valeurs Mobilières (BRVM) — Secteur : Distribution d'eau / Services publics**</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107,10 milliards FCFA, SDCC se positionne comme une valeur de taille intermédiaire sur la BRVM, reflétant sa stature de concessionnaire historique du service d'eau en Côte d'Ivoire. Le BPA de 518 FCFA/action indique que chaque titre génère un bénéfice net de 518 FCFA, ce qui, rapporté au cours actuel de 11 900 FCFA, confère au titre un PER de 23,0x — nettement supérieur à la moyenne BRVM (8-12x), signalant que les investisseurs paient une prime significative pour la visibilité et le caractère défensif de l'activité, ou qu'une surévaluation est présente. Le P/B de 5,43x, largement supérieur au seuil de 4x, traduit une valorisation exigeante : le marché valorise l'entreprise à plus de cinq fois ses fonds propres comptables, ce qui n'est justifiable que par une forte rentabilité des capitaux propres (ROE de 23,65% en 2025) et une croissance attendue. Enfin, l'EV/EBITDA de 14,4x, dans la fourchette haute (10-15x), confirme que la valeur d'entreprise intègre une prime de qualité et de stabilité, typique des concessions de services publics à revenus récurrents, mais laisse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SDCC affiche une performance remarquable de +26,60%, avec un cours actuel de 11 900 FCFA, quasi stable sur la dernière séance (-0,08%). Le titre a évolué dans un range large de 8 900 FCFA (plus bas) à 13 885 FCFA (plus haut), soit une amplitude de près de 56%, témoignant d'une tendance générale haussière soutenue mais ponctuée de corrections. Les statistiques descriptives révèlent une distribution légèrement asymétrique : la moyenne (11 772 FCFA) est inférieure à la médiane (11 920 FCFA) et au mode (11 900 FCFA), ce qui, combiné à un skewness négatif de -0,764, indique une prédominance de journées de hausse au-dessus de la moyenne, mais avec des épisodes baissiers marqués qui tirent la moyenne vers le bas. L'écart-type de 1 051 FCFA (CV = 8,9%) traduit une dispersion modérée du cours autour de sa tendance, tandis que le kurtosis excédentaire de 1,192 (leptokurtique) signale des queues épaisses, donc un risque de pics de volatilité brutaux — un élément à surveiller pour la gestion du risque. Enfin, la volatilité annualisée de 38,7% classe le titre dans la catégorie des valeurs à volatilité élevée (&gt;30%), ce qui est cohérent avec sa nature de valeur de croissance à prime élevée, mais implique une tolérance au risque importante de la part de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(12 948,25 FCFA) et la MM50 (12 322,80 FCFA) sont toutes deux supérieures au cours actuel (11 900 FCFA), ce qui place le titre en dessous de ses moyennes court et moyen terme. Cette configuration signale une pression baissière de court terme, bien que la décision affichée soit « Achat » — probablement en anticipation d'un rebond technique vers ces niveaux de résistance dynamique. Le croisement haussier potentiel de la MM20 au-dessus de la MM50 reste à confirmer.</w:t>
      </w:r>
    </w:p>
    <w:p>
      <w:pPr>
        <w:spacing w:after="120" w:line="276" w:lineRule="auto"/>
      </w:pPr>
      <w:r>
        <w:t>**Bandes de Bollinger** : Le cours (11 900 FCFA) se situe dans la partie basse de la bande, entre la borne inférieure (11 471,55 FCFA) et la borne supérieure (14 424,95 FCFA), mais plus proche de la borne basse. Cette position suggère que le titre évolue en zone de survente relative, avec une volatilité élevée (largeur des bandes importante). La décision « Neutre » reflète l'absence de signal directionnel fort : le cours n'a pas encore touché la borne inférieure qui déclencherait un signal d'achat technique.</w:t>
      </w:r>
    </w:p>
    <w:p>
      <w:pPr>
        <w:spacing w:after="120" w:line="276" w:lineRule="auto"/>
      </w:pPr>
      <w:r>
        <w:t>**MACD** : La valeur du MACD (-137,894) est nettement inférieure à son signal (100,362), générant une divergence baissière prononcée. Le momentum est clairement négatif, et la décision « Vente » confirme que la pression vendeuse domine à court terme. Un croisement du MACD au-dessus de son signal serait nécessaire pour inverser cette dynamique.</w:t>
      </w:r>
    </w:p>
    <w:p>
      <w:pPr>
        <w:spacing w:after="120" w:line="276" w:lineRule="auto"/>
      </w:pPr>
      <w:r>
        <w:t>**RSI** : À 33,575, le RSI se situe juste au-dessus du seuil de survente (30), en zone neutre basse. Cela indique que le titre n'est pas encore techniquement survendu, mais qu'il s'approche d'une zone où un rebond technique est statistiquement probable. La décision « Neutre » est cohérente avec cette position ambiguë.</w:t>
      </w:r>
    </w:p>
    <w:p>
      <w:pPr>
        <w:spacing w:after="120" w:line="276" w:lineRule="auto"/>
      </w:pPr>
      <w:r>
        <w:t>**Stochastique** : Le %K (27,022) est supérieur au %D (18,137), et les deux se situent en zone de survente (&lt;20 pour %D). Un croisement haussier du %K au-dessus du %D en zone basse est un signal d'achat technique classique, mais il n'est pas encore confirmé. La décision « Neutre » reflète cette attente.</w:t>
      </w:r>
    </w:p>
    <w:p>
      <w:pPr>
        <w:spacing w:after="120" w:line="276" w:lineRule="auto"/>
      </w:pPr>
      <w:r>
        <w:t>**Conclusion technique** : Les indicateurs sont majoritairement baissiers à court terme (MACD en vente, cours sous les MM), mais les oscillateurs (RSI, Stochastique) approchent de zones de survente qui pourraient déclencher un rebond. La divergence entre la décision « Achat » des MM (basée sur la tendance de fond) et les signaux baissiers de momentum suggère une phase de consolidation avant une reprise potentielle. Le titre est à un point d'inflexion technique : soit il rebondit vers 12 900 FCFA (MM20), soit il casse le support de 11 471 FCFA (Bollinger inférieure) et accélère à la baisse.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SODECI a réalisé un chiffre d'affaires de 189,430 milliards FCFA, en croissance de 9,98% par rapport à 2024, porté par la hausse des volumes d'eau vendus et l'élargissement du portefeuille clients (2,27 millions de clients, +6,14%). Le résultat net s'établit à 4,663 milliards FCFA, en bond de 31% sur un an, avec une marge nette de 2,46% — faible en absolu mais en amélioration. Le ROE atteint 23,65%, un niveau excellent (&gt;15%), témoignant d'une forte rentabilité des fonds propres malgré des capitaux propres modestes (19,716 milliards FCFA) par rapport au total bilan (472,672 milliards FCFA). Le ROA, à 0,99%, reste faible, reflétant l'intensité capitalistique du secteur (immobilisations corporelles de 44,801 milliards FCFA). La structure financière est très endettée : le ratio d'endettement de 95,83% et une autonomie financière de seulement 4,17% (capitaux propres/total bilan) signalent une dépendance élevée aux dettes financières (145,939 milliards FCFA), compensée par une capacité de remboursement de 8,18 années (dettes financières/CAF) et une couverture des intérêts de 1 583% (résultat d'exploitation/charges financières), ce qui rassure sur la solvabilité à court terme. Le point critique réside dans la trésorerie : le flux opérationnel est négatif (-36,655 milliards FCFA) et la trésorerie nette s'élève à -61,710 milliards FCFA, en dégradation par rapport à 2024 (-24,9 milliards FCFA), principalement en raison d'un délai clients très élevé de 749 jours (créances clients de 388,852 milliards FCFA), soit plus de deux ans de CA — un risque majeur de liquidité, typique des concessions publiques où les collectivités locales et l'État sont les principaux clients. Le BFR de 104,748 milliards FCFA (positif) et le fonds de roulement de 43,038 milliards FCFA ne couvrent pas ce besoin, d'où la trésorerie négative.</w:t>
      </w:r>
    </w:p>
    <w:p>
      <w:pPr>
        <w:spacing w:after="120" w:line="276" w:lineRule="auto"/>
      </w:pPr>
      <w:r>
        <w:t>**Estimations basées sur les rapports trimestriels** : Le rapport T1 2026 (publié en 2026) indique un chiffre d'affaires de 40 916 millions FCFA, en léger repli de 2% sur un an, mais un résultat net en bond spectaculaire de 118% à 1 318 millions FCFA, grâce à une multiplication par 2,5 du résultat d'exploitation (2 730 millions FCFA) et une meilleure maîtrise des charges. Cette dynamique, si elle se poursuit, pourrait porter le résultat net annuel 2026 au-delà de 5,5 milliards FCFA (estimation), soit une croissance de 18-20% par rapport à 2025. Le rapport S1 2025 (daté du 30/06/2025) montrait déjà une amélioration du résultat financier (+40%) et une confiance de la direction dans l'atteinte des objectifs annuels, confirmée par les résultats 2025. Le dividende proposé pour 2025 est de 525 FCFA/action (rendement de 4,4% au cours actuel), en hausse par rapport aux 400 FCFA de 2024, ce qui traduit une politique de distribution généreuse (taux de distribution estimé à ~101% du résultat net, mobilisant le report à nouveau).</w:t>
      </w:r>
    </w:p>
    <w:p>
      <w:pPr>
        <w:spacing w:after="120" w:line="276" w:lineRule="auto"/>
      </w:pPr>
      <w:r>
        <w:t>**Recommandation fondamentale** : SODECI présente un profil de valeur défensive de qualité, avec une rentabilité des fonds propres excellente (ROE 23,65%), une croissance du CA et du résultat net soutenue, et un dividende attractif. Cependant, les risques sont significatifs : trésorerie négative et en dégradation, délai clients extrêmement élevé (749 jours), endettement massif (95,83%), et valorisation boursière exigeante (PER 23x, P/B 5,43x). La recommandation fondamentale est **CONSERVER**, avec une surveillance accrue de la trésorerie et du recouvrement des créances. Les perspectives 2026 sont encourageantes (T1 2026 : RN +118%), mais la valorisation intègre déjà une bonne partie de ces bonnes nouvelles.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**Valorisation (Partie 0)** : les ratios PER (23x), P/B (5,43x) et EV/EBITDA (14,4x) indiquent une surévaluation relative par rapport à la moyenne BRVM, justifiée par la qualité défensive et la rentabilité (ROE 23,65%), mais offrant peu de marge de sécurité. **Comportement du cours (Partie 1)** : la tendance haussière de +26,60% sur 100 jours est impressionnante, mais la volatilité élevée (38,7%) et le kurtosis leptokurtique (1,192) signalent un risque de pics baissiers brutaux, tandis que le skewness négatif (-0,764) suggère que les hausses dominent mais avec des corrections marquées. **Signaux techniques (Partie 2)** : divergence entre les MM (décision Achat) et le MACD (Vente), avec un RSI et un Stochastique proches de la survente — le titre est à un point d'inflexion, sans signal directionnel clair. **Fondamentaux (Partie 3)** : solidité opérationnelle (CA +10%, RN +31% en 2025, T1 2026 RN +118%) mais fragilité financière (trésorerie négative, délai clients 749 jours, endettement 95,83%). **Prédictions IA (J+1 à J+10)** : la trajectoire prévue (12 313 → 12 948 FCFA, soit +8,8% en 10 jours) est haussière et suggère un rebond technique vers la MM20 (12 948 FCFA), ce qui contredit le signal baissier du MACD mais s'aligne avec la décision « Achat » des MM et la survente approchante du RSI.</w:t>
      </w:r>
    </w:p>
    <w:p>
      <w:pPr>
        <w:spacing w:after="120" w:line="276" w:lineRule="auto"/>
      </w:pPr>
      <w:r>
        <w:t>**Recommandation finale** : **CONSERVER**, avec un biais haussier à court terme. La convergence entre la prédiction IA (rebond vers 12 948 FCFA), la position des MM (achat) et la survente technique (RSI 33,6, Stochastique %D 18,1) soutient un rebond à court terme, mais la surévaluation fondamentale (PER 23x) et les risques de trésorerie limitent le potentiel de hausse à moyen terme. **Niveau de confiance** : Moyen (les signaux techniques et la prédiction IA sont haussiers, mais les fondamentaux et la valorisation sont mitigés). **Niveau de risque global** : Élevé (volatilité 38,7%, trésorerie négative, endettement massif). **Horizon d'investissement optimal** : Court terme (&lt;3 mois) pour profiter du rebond technique vers 12 900-13 000 FCFA, avec un stop-loss sous 11 471 FCFA (Bollinger inférieure). Pour le moyen/long terme, attendre une amélioration durable de la trésorerie et une correction de la valorisation avant de renforcer.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157.86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18,656 titres</w:t>
            </w:r>
          </w:p>
        </w:tc>
        <w:tc>
          <w:tcPr>
            <w:tcW w:type="dxa" w:w="2268"/>
            <w:shd w:fill="FFF2CC" w:val="clear"/>
          </w:tcPr>
          <w:p>
            <w:r>
              <w:rPr>
                <w:b/>
                <w:color w:val="503200"/>
                <w:sz w:val="16"/>
              </w:rPr>
              <w:t xml:space="preserve">Cours actuel : </w:t>
            </w:r>
            <w:r>
              <w:rPr>
                <w:color w:val="000000"/>
                <w:sz w:val="17"/>
              </w:rPr>
              <w:t>2,900 FCFA</w:t>
            </w:r>
          </w:p>
          <w:p>
            <w:r>
              <w:rPr>
                <w:b/>
                <w:color w:val="503200"/>
                <w:sz w:val="16"/>
              </w:rPr>
              <w:t xml:space="preserve">Var. 100 jours : </w:t>
            </w:r>
            <w:r>
              <w:rPr>
                <w:b/>
                <w:color w:val="007800"/>
                <w:sz w:val="17"/>
              </w:rPr>
              <w:t>+72.62%</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18.05% (Élevée) — μ=2,440 FCFA, σ=440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β=0.5615 (Défensif) — Cov=0.000039, Var(idx)=0.000069, ρ=0.144,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18,656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2,771</w:t>
            </w:r>
          </w:p>
        </w:tc>
        <w:tc>
          <w:tcPr>
            <w:tcW w:type="dxa" w:w="1440"/>
            <w:shd w:fill="FAFAFA" w:val="clear"/>
          </w:tcPr>
          <w:p>
            <w:r>
              <w:rPr>
                <w:b/>
                <w:sz w:val="17"/>
              </w:rPr>
              <w:t>2,910</w:t>
            </w:r>
          </w:p>
        </w:tc>
        <w:tc>
          <w:tcPr>
            <w:tcW w:type="dxa" w:w="1440"/>
            <w:shd w:fill="FAFAFA" w:val="clear"/>
          </w:tcPr>
          <w:p>
            <w:r>
              <w:rPr>
                <w:sz w:val="17"/>
              </w:rPr>
              <w:t>3,049</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2,713</w:t>
            </w:r>
          </w:p>
        </w:tc>
        <w:tc>
          <w:tcPr>
            <w:tcW w:type="dxa" w:w="1440"/>
            <w:shd w:fill="FAFAFA" w:val="clear"/>
          </w:tcPr>
          <w:p>
            <w:r>
              <w:rPr>
                <w:b/>
                <w:sz w:val="17"/>
              </w:rPr>
              <w:t>2,909</w:t>
            </w:r>
          </w:p>
        </w:tc>
        <w:tc>
          <w:tcPr>
            <w:tcW w:type="dxa" w:w="1440"/>
            <w:shd w:fill="FAFAFA" w:val="clear"/>
          </w:tcPr>
          <w:p>
            <w:r>
              <w:rPr>
                <w:sz w:val="17"/>
              </w:rPr>
              <w:t>3,106</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2,668</w:t>
            </w:r>
          </w:p>
        </w:tc>
        <w:tc>
          <w:tcPr>
            <w:tcW w:type="dxa" w:w="1440"/>
            <w:shd w:fill="FAFAFA" w:val="clear"/>
          </w:tcPr>
          <w:p>
            <w:r>
              <w:rPr>
                <w:b/>
                <w:sz w:val="17"/>
              </w:rPr>
              <w:t>2,908</w:t>
            </w:r>
          </w:p>
        </w:tc>
        <w:tc>
          <w:tcPr>
            <w:tcW w:type="dxa" w:w="1440"/>
            <w:shd w:fill="FAFAFA" w:val="clear"/>
          </w:tcPr>
          <w:p>
            <w:r>
              <w:rPr>
                <w:sz w:val="17"/>
              </w:rPr>
              <w:t>3,149</w:t>
            </w:r>
          </w:p>
        </w:tc>
        <w:tc>
          <w:tcPr>
            <w:tcW w:type="dxa" w:w="1440"/>
            <w:shd w:fill="FAFAFA" w:val="clear"/>
          </w:tcPr>
          <w:p>
            <w:r>
              <w:rPr>
                <w:b/>
                <w:color w:val="008000"/>
                <w:sz w:val="17"/>
              </w:rPr>
              <w:t>+0.3%</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2,631</w:t>
            </w:r>
          </w:p>
        </w:tc>
        <w:tc>
          <w:tcPr>
            <w:tcW w:type="dxa" w:w="1440"/>
            <w:shd w:fill="FAFAFA" w:val="clear"/>
          </w:tcPr>
          <w:p>
            <w:r>
              <w:rPr>
                <w:b/>
                <w:sz w:val="17"/>
              </w:rPr>
              <w:t>2,909</w:t>
            </w:r>
          </w:p>
        </w:tc>
        <w:tc>
          <w:tcPr>
            <w:tcW w:type="dxa" w:w="1440"/>
            <w:shd w:fill="FAFAFA" w:val="clear"/>
          </w:tcPr>
          <w:p>
            <w:r>
              <w:rPr>
                <w:sz w:val="17"/>
              </w:rPr>
              <w:t>3,187</w:t>
            </w:r>
          </w:p>
        </w:tc>
        <w:tc>
          <w:tcPr>
            <w:tcW w:type="dxa" w:w="1440"/>
            <w:shd w:fill="FAFAFA" w:val="clear"/>
          </w:tcPr>
          <w:p>
            <w:r>
              <w:rPr>
                <w:b/>
                <w:color w:val="008000"/>
                <w:sz w:val="17"/>
              </w:rPr>
              <w:t>+0.3%</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2,600</w:t>
            </w:r>
          </w:p>
        </w:tc>
        <w:tc>
          <w:tcPr>
            <w:tcW w:type="dxa" w:w="1440"/>
            <w:shd w:fill="FAFAFA" w:val="clear"/>
          </w:tcPr>
          <w:p>
            <w:r>
              <w:rPr>
                <w:b/>
                <w:sz w:val="17"/>
              </w:rPr>
              <w:t>2,911</w:t>
            </w:r>
          </w:p>
        </w:tc>
        <w:tc>
          <w:tcPr>
            <w:tcW w:type="dxa" w:w="1440"/>
            <w:shd w:fill="FAFAFA" w:val="clear"/>
          </w:tcPr>
          <w:p>
            <w:r>
              <w:rPr>
                <w:sz w:val="17"/>
              </w:rPr>
              <w:t>3,222</w:t>
            </w:r>
          </w:p>
        </w:tc>
        <w:tc>
          <w:tcPr>
            <w:tcW w:type="dxa" w:w="1440"/>
            <w:shd w:fill="FAFAFA" w:val="clear"/>
          </w:tcPr>
          <w:p>
            <w:r>
              <w:rPr>
                <w:b/>
                <w:color w:val="008000"/>
                <w:sz w:val="17"/>
              </w:rPr>
              <w:t>+0.4%</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2,572</w:t>
            </w:r>
          </w:p>
        </w:tc>
        <w:tc>
          <w:tcPr>
            <w:tcW w:type="dxa" w:w="1440"/>
            <w:shd w:fill="FAFAFA" w:val="clear"/>
          </w:tcPr>
          <w:p>
            <w:r>
              <w:rPr>
                <w:b/>
                <w:sz w:val="17"/>
              </w:rPr>
              <w:t>2,913</w:t>
            </w:r>
          </w:p>
        </w:tc>
        <w:tc>
          <w:tcPr>
            <w:tcW w:type="dxa" w:w="1440"/>
            <w:shd w:fill="FAFAFA" w:val="clear"/>
          </w:tcPr>
          <w:p>
            <w:r>
              <w:rPr>
                <w:sz w:val="17"/>
              </w:rPr>
              <w:t>3,254</w:t>
            </w:r>
          </w:p>
        </w:tc>
        <w:tc>
          <w:tcPr>
            <w:tcW w:type="dxa" w:w="1440"/>
            <w:shd w:fill="FAFAFA" w:val="clear"/>
          </w:tcPr>
          <w:p>
            <w:r>
              <w:rPr>
                <w:b/>
                <w:color w:val="008000"/>
                <w:sz w:val="17"/>
              </w:rPr>
              <w:t>+0.4%</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2,547</w:t>
            </w:r>
          </w:p>
        </w:tc>
        <w:tc>
          <w:tcPr>
            <w:tcW w:type="dxa" w:w="1440"/>
            <w:shd w:fill="FAFAFA" w:val="clear"/>
          </w:tcPr>
          <w:p>
            <w:r>
              <w:rPr>
                <w:b/>
                <w:sz w:val="17"/>
              </w:rPr>
              <w:t>2,915</w:t>
            </w:r>
          </w:p>
        </w:tc>
        <w:tc>
          <w:tcPr>
            <w:tcW w:type="dxa" w:w="1440"/>
            <w:shd w:fill="FAFAFA" w:val="clear"/>
          </w:tcPr>
          <w:p>
            <w:r>
              <w:rPr>
                <w:sz w:val="17"/>
              </w:rPr>
              <w:t>3,284</w:t>
            </w:r>
          </w:p>
        </w:tc>
        <w:tc>
          <w:tcPr>
            <w:tcW w:type="dxa" w:w="1440"/>
            <w:shd w:fill="FAFAFA" w:val="clear"/>
          </w:tcPr>
          <w:p>
            <w:r>
              <w:rPr>
                <w:b/>
                <w:color w:val="008000"/>
                <w:sz w:val="17"/>
              </w:rPr>
              <w:t>+0.5%</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2,524</w:t>
            </w:r>
          </w:p>
        </w:tc>
        <w:tc>
          <w:tcPr>
            <w:tcW w:type="dxa" w:w="1440"/>
            <w:shd w:fill="FAFAFA" w:val="clear"/>
          </w:tcPr>
          <w:p>
            <w:r>
              <w:rPr>
                <w:b/>
                <w:sz w:val="17"/>
              </w:rPr>
              <w:t>2,918</w:t>
            </w:r>
          </w:p>
        </w:tc>
        <w:tc>
          <w:tcPr>
            <w:tcW w:type="dxa" w:w="1440"/>
            <w:shd w:fill="FAFAFA" w:val="clear"/>
          </w:tcPr>
          <w:p>
            <w:r>
              <w:rPr>
                <w:sz w:val="17"/>
              </w:rPr>
              <w:t>3,312</w:t>
            </w:r>
          </w:p>
        </w:tc>
        <w:tc>
          <w:tcPr>
            <w:tcW w:type="dxa" w:w="1440"/>
            <w:shd w:fill="FAFAFA" w:val="clear"/>
          </w:tcPr>
          <w:p>
            <w:r>
              <w:rPr>
                <w:b/>
                <w:color w:val="008000"/>
                <w:sz w:val="17"/>
              </w:rPr>
              <w:t>+0.6%</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2,502</w:t>
            </w:r>
          </w:p>
        </w:tc>
        <w:tc>
          <w:tcPr>
            <w:tcW w:type="dxa" w:w="1440"/>
            <w:shd w:fill="FAFAFA" w:val="clear"/>
          </w:tcPr>
          <w:p>
            <w:r>
              <w:rPr>
                <w:b/>
                <w:sz w:val="17"/>
              </w:rPr>
              <w:t>2,920</w:t>
            </w:r>
          </w:p>
        </w:tc>
        <w:tc>
          <w:tcPr>
            <w:tcW w:type="dxa" w:w="1440"/>
            <w:shd w:fill="FAFAFA" w:val="clear"/>
          </w:tcPr>
          <w:p>
            <w:r>
              <w:rPr>
                <w:sz w:val="17"/>
              </w:rPr>
              <w:t>3,338</w:t>
            </w:r>
          </w:p>
        </w:tc>
        <w:tc>
          <w:tcPr>
            <w:tcW w:type="dxa" w:w="1440"/>
            <w:shd w:fill="FAFAFA" w:val="clear"/>
          </w:tcPr>
          <w:p>
            <w:r>
              <w:rPr>
                <w:b/>
                <w:color w:val="008000"/>
                <w:sz w:val="17"/>
              </w:rPr>
              <w:t>+0.7%</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2,481</w:t>
            </w:r>
          </w:p>
        </w:tc>
        <w:tc>
          <w:tcPr>
            <w:tcW w:type="dxa" w:w="1440"/>
            <w:shd w:fill="FAFAFA" w:val="clear"/>
          </w:tcPr>
          <w:p>
            <w:r>
              <w:rPr>
                <w:b/>
                <w:sz w:val="17"/>
              </w:rPr>
              <w:t>2,922</w:t>
            </w:r>
          </w:p>
        </w:tc>
        <w:tc>
          <w:tcPr>
            <w:tcW w:type="dxa" w:w="1440"/>
            <w:shd w:fill="FAFAFA" w:val="clear"/>
          </w:tcPr>
          <w:p>
            <w:r>
              <w:rPr>
                <w:sz w:val="17"/>
              </w:rPr>
              <w:t>3,363</w:t>
            </w:r>
          </w:p>
        </w:tc>
        <w:tc>
          <w:tcPr>
            <w:tcW w:type="dxa" w:w="1440"/>
            <w:shd w:fill="FAFAFA" w:val="clear"/>
          </w:tcPr>
          <w:p>
            <w:r>
              <w:rPr>
                <w:b/>
                <w:color w:val="008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ACTION SDSC (AGL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157,86 milliards FCFA, SDSC s'impose comme une valeur de premier plan de la cote BRVM, représentant un pilier du compartiment logistique et transport. Le BPA de 387 FCFA/action (exercice 2024) signifie que chaque titre génère près de 387 FCFA de bénéfice net, un niveau confortable au regard du cours actuel de 2 900 FCFA. Le PER de 7,5x apparaît nettement inférieur à la moyenne du marché BRVM (8-12x), suggérant une sous-évaluation apparente — mais ce ratio est calculé sur les bénéfices 2024, qui ne reflètent plus la réalité de 2025 (résultat net effondré à 0,78 Md FCFA). Le P/B de 2,03x indique que le marché valorise la société à environ deux fois ses fonds propres comptables, une prime de croissance modérée mais justifiée par la solidité du bilan. En revanche, l'EV/EBITDA de 34,1x est très exigeant (&gt;15x), traduisant une valorisation d'entreprise disproportionnée par rapport à sa capacité opérationnelle actuelle — un signal de prudence majeur.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+72,62%, avec une dernière séance en hausse de +3,57%, portant le cours à 2 900 FCFA. Le range de trading est très large, oscillant entre un plus bas de 1 650 FCFA et un plus haut de 3 205 FCFA, soit une amplitude de près de 94% — signe d'une forte volatilité et d'un intérêt marqué des investisseurs. La tendance générale est clairement haussière, portée par la dynamique du secteur logistique et les anticipations liées à la campagne cacao. Les statistiques descriptives révèlent une moyenne de 2 440 FCFA contre une médiane de 2 528 FCFA : cet écart modéré indique une légère asymétrie à gauche, confirmée par le skewness de -0,366 (distribution quasi-symétrique avec une queue gauche plus épaisse). L'écart-type de 443 FCFA (CV=18,1%) traduit une dispersion modérée autour de la moyenne, tandis que le kurtosis de -1,024 (platykurtique) signale une distribution aplatie avec un risque de pics extrêmes plus faible qu'une loi normale — le cours évolue dans un canal relativement large mais sans événements extrêmes fréquents. La volatilité annualisée de 51,4% classe le titre dans la catégorie des valeurs très volatiles (&gt;30%), ce qui implique un risque élevé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(2 978 FCFA) est légèrement supérieure au cours actuel (2 900 FCFA), tandis que la MM50 (2 802,8 FCFA) reste en dessous. Cette configuration — cours coincé entre les deux moyennes — indique une phase de consolidation après la forte hausse, avec un support dynamique à 2 802 FCFA. La décision technique est à l'achat, la MM50 servant de plancher solide.</w:t>
      </w:r>
    </w:p>
    <w:p>
      <w:pPr>
        <w:spacing w:after="120" w:line="276" w:lineRule="auto"/>
      </w:pPr>
      <w:r>
        <w:t>**Bandes de Bollinger** : Le cours (2 900 FCFA) évolue dans la partie médiane de la bande, entre la borne inférieure (2 724,97 FCFA) et supérieure (3 231,03 FCFA). L'absence de contact avec les bornes suggère une volatilité en cours de normalisation, sans signal de surachat ou de survente. La décision est neutre, le titre cherchant une direction.</w:t>
      </w:r>
    </w:p>
    <w:p>
      <w:pPr>
        <w:spacing w:after="120" w:line="276" w:lineRule="auto"/>
      </w:pPr>
      <w:r>
        <w:t>**MACD** : La valeur du MACD (19,374) est nettement inférieure à son signal (55,86), générant une divergence baissière. Cet écart indique un essoufflement du momentum haussier, bien que le MACD reste en territoire positif. La décision de vente est un signal d'alerte sur la durabilité de la tendance.</w:t>
      </w:r>
    </w:p>
    <w:p>
      <w:pPr>
        <w:spacing w:after="120" w:line="276" w:lineRule="auto"/>
      </w:pPr>
      <w:r>
        <w:t>**RSI** : À 37,5, le RSI se situe dans la zone neutre basse (30-70), sans atteindre la survente (&lt;30). Cela reflète une pression vendeuse modérée mais non excessive, laissant la porte ouverte à un rebond technique. La décision est neutre.</w:t>
      </w:r>
    </w:p>
    <w:p>
      <w:pPr>
        <w:spacing w:after="120" w:line="276" w:lineRule="auto"/>
      </w:pPr>
      <w:r>
        <w:t>**Stochastique** : Le %K (34,483) est supérieur au %D (11,494), avec un croisement haussier en zone basse. Ce signal précoce suggère un possible retournement à la hausse à court terme, bien que la décision globale reste neutre en raison de la faiblesse des volumes.</w:t>
      </w:r>
    </w:p>
    <w:p>
      <w:pPr>
        <w:spacing w:after="120" w:line="276" w:lineRule="auto"/>
      </w:pPr>
      <w:r>
        <w:t>**Conclusion technique** : Les indicateurs sont divergents — les moyennes mobiles et le stochastique plaident pour un rebond, tandis que le MACD et le RSI signalent une faiblesse persistante. Le titre évolue dans une zone de consolidation entre 2 725 et 3 231 FCFA, avec un biais haussier fragile. La prudence est de mise tant que le MACD ne se redresse pas.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(dernier exercice complet audité) brossent un tableau contrasté : un chiffre d'affaires de 85,643 Mds FCFA, un résultat net de 21,069 Mds FCFA, un ROE excellent de 27,08% et un ROA de 11,20%. La marge nette de 24,60% et l'autonomie financière de 41,36% témoignent d'une grande solidité bilancielle. Cependant, les rapports narratifs de 2025 révèlent une dégradation brutale : selon le rapport annuel 2025 (analysé par DeepSeek le 05/08/2026), le CA progresse de +7,43% à 92,004 Mds FCFA, mais le résultat net s'effondre de 96% à 0,785 Md FCFA, avec un résultat d'exploitation négatif de -2,271 Mds FCFA. La marge nette chute à 0,85%. Le rapport du T3 2025 (30/09/2025) confirme cette tendance avec un résultat net trimestriel de 4,341 Mds FCFA en baisse de 77%, attribuée à la non-répétition de dividendes exceptionnels de filiales. Le rapport du S1 2025 (30/06/2025) faisait déjà état d'une perte nette de -427 M FCFA. Sur le plan opérationnel, les délais clients sont élevés (466,94 jours), signalant un risque de trésorerie important, mais le BFR de 17,874 Mds FCFA reste maîtrisé et la trésorerie nette atteint 74,78 Mds FCFA en 2025. L'endettement (ratio de 17,88%) demeure faible. La recommandation fondamentale est de **CONSERVER** : la solidité du bilan et la croissance du CA sont des atouts, mais l'effondrement de la rentabilité opérationnelle et la réduction drastique du dividende (544 M FCFA en 2025 contre 5 008 M FCFA en 2024) imposent une vigilance extrême. On estime que l'exercice 2026 dépendra de la capacité de la direction à restaurer les marges opérationnelles et à stabiliser les revenus de filiales.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paradoxe : un PER de 7,5x et un P/B de 2,03x suggèrent une sous-évaluation sur la base des bénéfices 2024, mais l'EV/EBITDA de 34,1x et l'effondrement du résultat net 2025 rendent ces ratios trompeurs. Le comportement du cours (Partie 1) est haussier (+72,62% sur 100 jours) mais très volatil (51,4% annualisé), avec une distribution platykurtique et un skewness négatif indiquant un risque de correction. Les signaux techniques (Partie 2) sont divergents : les moyennes mobiles et le stochastique sont haussiers, mais le MACD baissier et le RSI neutre créent une incertitude. Les fondamentaux (Partie 3) sont préoccupants : malgré un CA en croissance et une trésorerie abondante, la rentabilité s'est effondrée en 2025 (marge nette de 0,85%, résultat d'exploitation négatif). Les prédictions IA (J+1 à J+10) anticipent une stabilisation autour de 2 908-2 911 FCFA, confirmant l'absence de tendance claire. **Recommandation finale : CONSERVER**, avec un niveau de confiance **Moyen** et un risque global **Élevé**. La convergence entre la valorisation apparemment bon marché, la solidité du bilan et la croissance du CA justifie de ne pas vendre, mais l'effondrement de la rentabilité et la divergence technique incitent à la prudence. L'horizon d'investissement optimal est **moyen terme (3-12 mois)**, en attendant la publication des résultats du S1 2026 pour évaluer la capacité de redressement opérationnel.</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β=1.1500 (Neutre (suit le marché)) — Cov=0.000043, Var(idx)=0.000037, ρ=0.239, n=91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2026-09-28</w:t>
            </w:r>
          </w:p>
        </w:tc>
        <w:tc>
          <w:tcPr>
            <w:tcW w:type="dxa" w:w="1440"/>
            <w:shd w:fill="FFDCE0" w:val="clear"/>
          </w:tcPr>
          <w:p>
            <w:r>
              <w:rPr>
                <w:sz w:val="17"/>
              </w:rPr>
              <w:t>1,255</w:t>
            </w:r>
          </w:p>
        </w:tc>
        <w:tc>
          <w:tcPr>
            <w:tcW w:type="dxa" w:w="1440"/>
            <w:shd w:fill="FFDCE0" w:val="clear"/>
          </w:tcPr>
          <w:p>
            <w:r>
              <w:rPr>
                <w:b/>
                <w:sz w:val="17"/>
              </w:rPr>
              <w:t>1,447</w:t>
            </w:r>
          </w:p>
        </w:tc>
        <w:tc>
          <w:tcPr>
            <w:tcW w:type="dxa" w:w="1440"/>
            <w:shd w:fill="FFDCE0" w:val="clear"/>
          </w:tcPr>
          <w:p>
            <w:r>
              <w:rPr>
                <w:sz w:val="17"/>
              </w:rPr>
              <w:t>1,639</w:t>
            </w:r>
          </w:p>
        </w:tc>
        <w:tc>
          <w:tcPr>
            <w:tcW w:type="dxa" w:w="1440"/>
            <w:shd w:fill="FFDCE0" w:val="clear"/>
          </w:tcPr>
          <w:p>
            <w:r>
              <w:rPr>
                <w:b/>
                <w:color w:val="C00000"/>
                <w:sz w:val="17"/>
              </w:rPr>
              <w:t>-3.2%</w:t>
            </w:r>
          </w:p>
        </w:tc>
      </w:tr>
      <w:tr>
        <w:tc>
          <w:tcPr>
            <w:tcW w:type="dxa" w:w="1440"/>
            <w:shd w:fill="FFDCE0" w:val="clear"/>
          </w:tcPr>
          <w:p>
            <w:r>
              <w:rPr>
                <w:sz w:val="17"/>
              </w:rPr>
              <w:t>J+2  ⭐</w:t>
            </w:r>
          </w:p>
        </w:tc>
        <w:tc>
          <w:tcPr>
            <w:tcW w:type="dxa" w:w="1440"/>
            <w:shd w:fill="FFDCE0" w:val="clear"/>
          </w:tcPr>
          <w:p>
            <w:r>
              <w:rPr>
                <w:sz w:val="17"/>
              </w:rPr>
              <w:t>2026-09-29</w:t>
            </w:r>
          </w:p>
        </w:tc>
        <w:tc>
          <w:tcPr>
            <w:tcW w:type="dxa" w:w="1440"/>
            <w:shd w:fill="FFDCE0" w:val="clear"/>
          </w:tcPr>
          <w:p>
            <w:r>
              <w:rPr>
                <w:sz w:val="17"/>
              </w:rPr>
              <w:t>1,238</w:t>
            </w:r>
          </w:p>
        </w:tc>
        <w:tc>
          <w:tcPr>
            <w:tcW w:type="dxa" w:w="1440"/>
            <w:shd w:fill="FFDCE0" w:val="clear"/>
          </w:tcPr>
          <w:p>
            <w:r>
              <w:rPr>
                <w:b/>
                <w:sz w:val="17"/>
              </w:rPr>
              <w:t>1,440</w:t>
            </w:r>
          </w:p>
        </w:tc>
        <w:tc>
          <w:tcPr>
            <w:tcW w:type="dxa" w:w="1440"/>
            <w:shd w:fill="FFDCE0" w:val="clear"/>
          </w:tcPr>
          <w:p>
            <w:r>
              <w:rPr>
                <w:sz w:val="17"/>
              </w:rPr>
              <w:t>1,642</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ACTION SEMC (BRVM)**</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intermédiaire à l'échelle de la BRVM qui la positionne parmi les valeurs industrielles de taille moyenne, loin des mastodontes comme Sonatel ou ETIT, mais suffisamment significative pour figurer dans les portefeuilles institutionnels. Les ratios de valorisation boursière (BPA, PER, P/B, EV/EBITDA) ne sont pas calculables en l'absence de données financières structurées exploitables dans la base, ce qui limite l'appréciation directe du prix payé par rapport aux bénéfices. Toutefois, en croisant le résultat net 2023 de 1,01 milliard FCFA (rapport du 31/12/2023) avec la capitalisation actuelle de 37,66 milliards FCFA, on obtient un PER implicite d'environ 37x, très supérieur à la moyenne BRVM (8-12x), ce qui suggère une valorisation tendue au regard des bénéfices les plus récents. Cette cherté apparente s'explique en partie par l'anticipation du rachat par Sonoco Products Company et par les perspectives de redressement affichées pour 2024 (objectif de CA de 32 milliards FCFA). L'investisseur doit donc être conscient que le marché valorise davantage les perspectives de restructuration que la rentabilité actuelle.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SEMC a enregistré une variation totale de -16,94%, avec une dernière séance en repli de -1,64%, confirmant une tendance baissière persistante. Le cours actuel de 1 495 FCFA se situe dans la moitié inférieure du range de trading, le plus haut ayant atteint 1 800 FCFA et le plus bas 1 350 FCFA, soit un écart de 450 FCFA (33% du plus bas) qui témoigne d'une amplitude significative. La moyenne des cours sur la période s'établit à 1 527 FCFA, légèrement supérieure à la médiane de 1 520 FCFA, tandis que le mode se fixe à 1 500 FCFA, indiquant une concentration des échanges autour de ce palier psychologique. L'écart-type de 69 FCFA, avec un coefficient de variation de 4,5%, révèle une dispersion modérée du cours autour de sa moyenne, ce qui est relativement contenu pour un titre de cette taille. Le kurtosis (excès) de 1,652 confirme une distribution leptokurtique à queues épaisses, signalant un risque de pics de volatilité brutaux, tandis que le skewness positif de 0,558 indique une asymétrie avec davantage de journées sous la moyenne, ce qui est cohérent avec la tendance baissière observée. La volatilité annualisée de 47,2% classe ce titre dans la catégorie des valeurs à volatilité élevée (&gt;30%), ce qui implique un risque de perte en capital important à court terme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se situe à 1 540,75 FCFA et la MM50 à 1 499,20 FCFA, tandis que le cours actuel (1 495 FCFA) évolue en dessous de ces deux moyennes. Cette configuration place le titre sous ses supports mobiles, ce qui est généralement un signal baissier, mais la décision affichée est "Achat" — probablement en raison du croisement haussier potentiel entre la MM20 et la MM50 ou d'une anticipation de rebond technique. La proximité du cours avec la MM50 (écart de seulement 4 FCFA) suggère que ce niveau pourrait jouer un rôle de support immédiat.</w:t>
      </w:r>
    </w:p>
    <w:p>
      <w:pPr>
        <w:spacing w:after="120" w:line="276" w:lineRule="auto"/>
      </w:pPr>
      <w:r>
        <w:t>**Bandes de Bollinger** : La borne supérieure est à 1 621,81 FCFA et la borne inférieure à 1 459,69 FCFA, avec un cours actuel de 1 495 FCFA qui se situe dans la partie basse de la bande, sans toutefois toucher la borne inférieure. Cela indique une pression vendeuse modérée mais pas de situation de survente extrême. La décision "Neutre" reflète l'absence de signal directionnel fort, le cours évoluant dans un canal relativement large (162 FCFA d'amplitude) qui traduit une volatilité encore présente.</w:t>
      </w:r>
    </w:p>
    <w:p>
      <w:pPr>
        <w:spacing w:after="120" w:line="276" w:lineRule="auto"/>
      </w:pPr>
      <w:r>
        <w:t>**MACD** : La valeur du MACD est de 6,472 contre un signal à 10,459, ce qui place le MACD en dessous de sa ligne de signal, générant une décision "Vente". Cet écart négatif indique un momentum baissier en cours, la dynamique récente étant défavorable au titre. La convergence des deux lignes n'est pas encore observée, ce qui suggère que la pression baissière pourrait persister à court terme.</w:t>
      </w:r>
    </w:p>
    <w:p>
      <w:pPr>
        <w:spacing w:after="120" w:line="276" w:lineRule="auto"/>
      </w:pPr>
      <w:r>
        <w:t>**RSI** : À 49,533, le RSI se situe exactement dans la zone neutre (30-70), sans signal de surachat ni de survente. La décision "Neutre" est cohérente avec cette position médiane, qui indique un équilibre relatif entre acheteurs et vendeurs, sans force directionnelle dominante. Ce niveau laisse la porte ouverte à une reprise comme à une nouvelle baisse.</w:t>
      </w:r>
    </w:p>
    <w:p>
      <w:pPr>
        <w:spacing w:after="120" w:line="276" w:lineRule="auto"/>
      </w:pPr>
      <w:r>
        <w:t>**Stochastique** : Le %K est à 34,615 et le %D à 57,692, avec un %K nettement inférieur au %D, ce qui est un signal baissier (croisement à la baisse). La décision "Neutre" affichée peut sembler optimiste au regard de cet écart, mais elle reflète probablement l'absence de confirmation par d'autres indicateurs. La position du %K sous 50 renforce l'idée d'une pression vendeuse persistante.</w:t>
      </w:r>
    </w:p>
    <w:p>
      <w:pPr>
        <w:spacing w:after="120" w:line="276" w:lineRule="auto"/>
      </w:pPr>
      <w:r>
        <w:t>**Conclusion technique** : Les indicateurs techniques présentent un tableau mitigé à baissier : les moyennes mobiles sont défavorables (cours sous MM20 et MM50), le MACD est en zone de vente, et le stochastique montre un croisement baissier. Seuls le RSI (neutre) et les Bandes de Bollinger (cours dans la partie basse sans survente) nuancent ce constat. La convergence des signaux baissiers (MACD, stochastique, position sous les MM) suggère que la pression vendeuse pourrait se poursuivre à court terme, malgré la décision "Achat" isolée des moyennes mobiles qui pourrait être un artefact de calcul.</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disponibles pour SEMC (ex-Eviosys Packaging SIEM) couvrent les exercices 2021, 2022 et 2023, avec des rapports datés du 31/12/2022 et du 31/12/2023. Pour l'exercice 2023 (rapport du 31/12/2023), le chiffre d'affaires s'élève à 27,88 milliards FCFA, en baisse de 6% par rapport aux 29,60 milliards FCFA de 2022, et le résultat net chute de 74% à 1,01 milliard FCFA contre 3,86 milliards FCFA en 2022. La marge nette se contracte à 3,6% (vs 13,0% en 2022) et la marge d'exploitation à 6,9% (vs 11,0%), traduisant un effet ciseau marqué entre baisse du CA et quasi-stabilité des charges. Le ROE, non fourni explicitement pour 2023, peut être estimé à environ 5-6% sur la base des capitaux propres, en nette dégradation par rapport aux 18,5% de 2022. Les causes de cette détérioration sont identifiées : perte de clients clés (AIRONE, secteur Tomate), arrêt des cannettes aluminium, et absence de dividendes de la filiale ghanéenne. Pour 2022 (rapport du 31/12/2022), les chiffres étaient nettement plus favorables avec un CA de 125,4 milliards FCFA (attention : ce chiffre semble inclure l'ensemble du groupe Eviosys, tandis que le rapport 2023 mentionne 27,88 milliards FCFA pour SEMC seule — il y a une incohérence de périmètre à noter), un résultat net de 12,8 milliards FCFA, une marge nette de 10,2% et un ROE de 18,4%. L'évolution 2022-2023 montre donc une dégradation sévère de la rentabilité, avec un résultat net divisé par près de 4. Les perspectives 2024 affichées dans le rapport 2023 tablent sur un CA de 32 milliards FCFA (+18%), porté par la relance des bouchons couronnes (+61% en volume en 2023) et la reconquête des exportations (Sénégal). Le rachat par Sonoco Products Company, finalisé en décembre 2024, constitue un facteur stratégique majeur qui pourrait apporter des capitaux et une expertise, mais aussi entraîner une dilution et une réorganisation. La trésorerie de 3,35 milliards FCFA offre une marge de manœuvre pour financer la relance. En synthèse, les fondamentaux 2023 sont faibles (marge nette 3,6%, ROE estimé ~5%), mais les perspectives 2024 et l'arrivée de Sonoco offrent des leviers de redressement, sous réserve de l'exécution du plan et de la levée de la suspension de cote BRVM (flottant insuffisant : 10,42% vs 15% requis).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de **CONSERVER** avec un niveau de confiance **Moyen** et un risque global **Élevé**. La valorisation (Partie 0) apparaît tendue avec un PER implicite d'environ 37x sur les bénéfices 2023, bien supérieur à la moyenne BRVM, ce qui intègre déjà une forte anticipation de redressement. Le comportement du cours (Partie 1) est clairement baissier (-16,94% sur 100 jours), avec une volatilité élevée (47,2%) et une distribution leptokurtique (kurtosis 1,652) qui expose à des pics de risque, tandis que le skewness positif (0,558) indique une pression vendeuse persistante. Les signaux techniques (Partie 2) sont majoritairement baissiers : cours sous les MM20 et MM50, MACD en zone de vente, stochastique avec croisement baissier, seul le RSI neutre (49,5) et les Bandes de Bollinger (cours dans la partie basse) nuancent ce constat. Les fondamentaux (Partie 3) sont dégradés pour 2023 (marge nette 3,6%, résultat net -74%), mais les perspectives 2024 (+18% de CA visé) et le rachat par Sonoco constituent des catalyseurs potentiels. Les prédictions IA (J+1 à J+10) anticipent une poursuite de la baisse avec 1 447 FCFA puis 1 440 FCFA, ce qui confirme les signaux techniques baissiers à court terme. La convergence entre technique baissière, fondamentaux dégradés et prédictions négatives l'emporte sur les perspectives de redressement, d'où la recommandation de **CONSERVER** — les investisseurs déjà positionnés peuvent attendre la concrétisation des synergies Sonoco et la publication des résultats 2024, mais les nouveaux entrants devraient s'abstenir tant que la tendance ne s'inverse pas. L'horizon optimal est le **moyen terme (3-12 mois)**, le temps que la restructuration produise ses effets et que la suspension de cote soit levée.</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1210.22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4,981 titres</w:t>
            </w:r>
          </w:p>
        </w:tc>
        <w:tc>
          <w:tcPr>
            <w:tcW w:type="dxa" w:w="2268"/>
            <w:shd w:fill="FFF2CC" w:val="clear"/>
          </w:tcPr>
          <w:p>
            <w:r>
              <w:rPr>
                <w:b/>
                <w:color w:val="503200"/>
                <w:sz w:val="16"/>
              </w:rPr>
              <w:t xml:space="preserve">Cours actuel : </w:t>
            </w:r>
            <w:r>
              <w:rPr>
                <w:color w:val="000000"/>
                <w:sz w:val="17"/>
              </w:rPr>
              <w:t>38,900 FCFA</w:t>
            </w:r>
          </w:p>
          <w:p>
            <w:r>
              <w:rPr>
                <w:b/>
                <w:color w:val="503200"/>
                <w:sz w:val="16"/>
              </w:rPr>
              <w:t xml:space="preserve">Var. 100 jours : </w:t>
            </w:r>
            <w:r>
              <w:rPr>
                <w:b/>
                <w:color w:val="007800"/>
                <w:sz w:val="17"/>
              </w:rPr>
              <w:t>+17.88%</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33,000 FCFA</w:t>
            </w:r>
          </w:p>
          <w:p>
            <w:r>
              <w:rPr>
                <w:b/>
                <w:color w:val="503200"/>
                <w:sz w:val="16"/>
              </w:rPr>
              <w:t xml:space="preserve">Volatilité ann. : </w:t>
            </w:r>
            <w:r>
              <w:rPr>
                <w:color w:val="000000"/>
                <w:sz w:val="17"/>
              </w:rPr>
              <w:t>21.7%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3.76% (Faible) — μ=37,929 FCFA, σ=1,425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β=0.5051 (Défensif) — Cov=0.000035, Var(idx)=0.000069, ρ=0.307,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4,981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σ_j=1.37%/j (Stable) — Vol. annualisée≈21.7%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37,091</w:t>
            </w:r>
          </w:p>
        </w:tc>
        <w:tc>
          <w:tcPr>
            <w:tcW w:type="dxa" w:w="1440"/>
            <w:shd w:fill="FAFAFA" w:val="clear"/>
          </w:tcPr>
          <w:p>
            <w:r>
              <w:rPr>
                <w:b/>
                <w:sz w:val="17"/>
              </w:rPr>
              <w:t>38,182</w:t>
            </w:r>
          </w:p>
        </w:tc>
        <w:tc>
          <w:tcPr>
            <w:tcW w:type="dxa" w:w="1440"/>
            <w:shd w:fill="FAFAFA" w:val="clear"/>
          </w:tcPr>
          <w:p>
            <w:r>
              <w:rPr>
                <w:sz w:val="17"/>
              </w:rPr>
              <w:t>39,273</w:t>
            </w:r>
          </w:p>
        </w:tc>
        <w:tc>
          <w:tcPr>
            <w:tcW w:type="dxa" w:w="1440"/>
            <w:shd w:fill="FAFAFA" w:val="clear"/>
          </w:tcPr>
          <w:p>
            <w:r>
              <w:rPr>
                <w:b/>
                <w:color w:val="C00000"/>
                <w:sz w:val="17"/>
              </w:rPr>
              <w:t>-1.8%</w:t>
            </w:r>
          </w:p>
        </w:tc>
      </w:tr>
      <w:tr>
        <w:tc>
          <w:tcPr>
            <w:tcW w:type="dxa" w:w="1440"/>
            <w:shd w:fill="FFDCE0" w:val="clear"/>
          </w:tcPr>
          <w:p>
            <w:r>
              <w:rPr>
                <w:sz w:val="17"/>
              </w:rPr>
              <w:t>J+2  ⭐⭐⭐</w:t>
            </w:r>
          </w:p>
        </w:tc>
        <w:tc>
          <w:tcPr>
            <w:tcW w:type="dxa" w:w="1440"/>
            <w:shd w:fill="FFDCE0" w:val="clear"/>
          </w:tcPr>
          <w:p>
            <w:r>
              <w:rPr>
                <w:sz w:val="17"/>
              </w:rPr>
              <w:t>2026-09-29</w:t>
            </w:r>
          </w:p>
        </w:tc>
        <w:tc>
          <w:tcPr>
            <w:tcW w:type="dxa" w:w="1440"/>
            <w:shd w:fill="FFDCE0" w:val="clear"/>
          </w:tcPr>
          <w:p>
            <w:r>
              <w:rPr>
                <w:sz w:val="17"/>
              </w:rPr>
              <w:t>36,537</w:t>
            </w:r>
          </w:p>
        </w:tc>
        <w:tc>
          <w:tcPr>
            <w:tcW w:type="dxa" w:w="1440"/>
            <w:shd w:fill="FFDCE0" w:val="clear"/>
          </w:tcPr>
          <w:p>
            <w:r>
              <w:rPr>
                <w:b/>
                <w:sz w:val="17"/>
              </w:rPr>
              <w:t>38,076</w:t>
            </w:r>
          </w:p>
        </w:tc>
        <w:tc>
          <w:tcPr>
            <w:tcW w:type="dxa" w:w="1440"/>
            <w:shd w:fill="FFDCE0" w:val="clear"/>
          </w:tcPr>
          <w:p>
            <w:r>
              <w:rPr>
                <w:sz w:val="17"/>
              </w:rPr>
              <w:t>39,614</w:t>
            </w:r>
          </w:p>
        </w:tc>
        <w:tc>
          <w:tcPr>
            <w:tcW w:type="dxa" w:w="1440"/>
            <w:shd w:fill="FFDCE0" w:val="clear"/>
          </w:tcPr>
          <w:p>
            <w:r>
              <w:rPr>
                <w:b/>
                <w:color w:val="C00000"/>
                <w:sz w:val="17"/>
              </w:rPr>
              <w:t>-2.1%</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36,072</w:t>
            </w:r>
          </w:p>
        </w:tc>
        <w:tc>
          <w:tcPr>
            <w:tcW w:type="dxa" w:w="1440"/>
            <w:shd w:fill="FFDCE0" w:val="clear"/>
          </w:tcPr>
          <w:p>
            <w:r>
              <w:rPr>
                <w:b/>
                <w:sz w:val="17"/>
              </w:rPr>
              <w:t>37,951</w:t>
            </w:r>
          </w:p>
        </w:tc>
        <w:tc>
          <w:tcPr>
            <w:tcW w:type="dxa" w:w="1440"/>
            <w:shd w:fill="FFDCE0" w:val="clear"/>
          </w:tcPr>
          <w:p>
            <w:r>
              <w:rPr>
                <w:sz w:val="17"/>
              </w:rPr>
              <w:t>39,829</w:t>
            </w:r>
          </w:p>
        </w:tc>
        <w:tc>
          <w:tcPr>
            <w:tcW w:type="dxa" w:w="1440"/>
            <w:shd w:fill="FFDCE0" w:val="clear"/>
          </w:tcPr>
          <w:p>
            <w:r>
              <w:rPr>
                <w:b/>
                <w:color w:val="C00000"/>
                <w:sz w:val="17"/>
              </w:rPr>
              <w:t>-2.4%</w:t>
            </w:r>
          </w:p>
        </w:tc>
      </w:tr>
      <w:tr>
        <w:tc>
          <w:tcPr>
            <w:tcW w:type="dxa" w:w="1440"/>
            <w:shd w:fill="FFDCE0" w:val="clear"/>
          </w:tcPr>
          <w:p>
            <w:r>
              <w:rPr>
                <w:sz w:val="17"/>
              </w:rPr>
              <w:t>J+4  Moyenne</w:t>
            </w:r>
          </w:p>
        </w:tc>
        <w:tc>
          <w:tcPr>
            <w:tcW w:type="dxa" w:w="1440"/>
            <w:shd w:fill="FFDCE0" w:val="clear"/>
          </w:tcPr>
          <w:p>
            <w:r>
              <w:rPr>
                <w:sz w:val="17"/>
              </w:rPr>
              <w:t>2026-10-01</w:t>
            </w:r>
          </w:p>
        </w:tc>
        <w:tc>
          <w:tcPr>
            <w:tcW w:type="dxa" w:w="1440"/>
            <w:shd w:fill="FFDCE0" w:val="clear"/>
          </w:tcPr>
          <w:p>
            <w:r>
              <w:rPr>
                <w:sz w:val="17"/>
              </w:rPr>
              <w:t>35,669</w:t>
            </w:r>
          </w:p>
        </w:tc>
        <w:tc>
          <w:tcPr>
            <w:tcW w:type="dxa" w:w="1440"/>
            <w:shd w:fill="FFDCE0" w:val="clear"/>
          </w:tcPr>
          <w:p>
            <w:r>
              <w:rPr>
                <w:b/>
                <w:sz w:val="17"/>
              </w:rPr>
              <w:t>37,831</w:t>
            </w:r>
          </w:p>
        </w:tc>
        <w:tc>
          <w:tcPr>
            <w:tcW w:type="dxa" w:w="1440"/>
            <w:shd w:fill="FFDCE0" w:val="clear"/>
          </w:tcPr>
          <w:p>
            <w:r>
              <w:rPr>
                <w:sz w:val="17"/>
              </w:rPr>
              <w:t>39,993</w:t>
            </w:r>
          </w:p>
        </w:tc>
        <w:tc>
          <w:tcPr>
            <w:tcW w:type="dxa" w:w="1440"/>
            <w:shd w:fill="FFDCE0" w:val="clear"/>
          </w:tcPr>
          <w:p>
            <w:r>
              <w:rPr>
                <w:b/>
                <w:color w:val="C00000"/>
                <w:sz w:val="17"/>
              </w:rPr>
              <w:t>-2.7%</w:t>
            </w:r>
          </w:p>
        </w:tc>
      </w:tr>
      <w:tr>
        <w:tc>
          <w:tcPr>
            <w:tcW w:type="dxa" w:w="1440"/>
            <w:shd w:fill="FFDCE0" w:val="clear"/>
          </w:tcPr>
          <w:p>
            <w:r>
              <w:rPr>
                <w:sz w:val="17"/>
              </w:rPr>
              <w:t>J+5  Moyenne</w:t>
            </w:r>
          </w:p>
        </w:tc>
        <w:tc>
          <w:tcPr>
            <w:tcW w:type="dxa" w:w="1440"/>
            <w:shd w:fill="FFDCE0" w:val="clear"/>
          </w:tcPr>
          <w:p>
            <w:r>
              <w:rPr>
                <w:sz w:val="17"/>
              </w:rPr>
              <w:t>2026-10-02</w:t>
            </w:r>
          </w:p>
        </w:tc>
        <w:tc>
          <w:tcPr>
            <w:tcW w:type="dxa" w:w="1440"/>
            <w:shd w:fill="FFDCE0" w:val="clear"/>
          </w:tcPr>
          <w:p>
            <w:r>
              <w:rPr>
                <w:sz w:val="17"/>
              </w:rPr>
              <w:t>35,307</w:t>
            </w:r>
          </w:p>
        </w:tc>
        <w:tc>
          <w:tcPr>
            <w:tcW w:type="dxa" w:w="1440"/>
            <w:shd w:fill="FFDCE0" w:val="clear"/>
          </w:tcPr>
          <w:p>
            <w:r>
              <w:rPr>
                <w:b/>
                <w:sz w:val="17"/>
              </w:rPr>
              <w:t>37,717</w:t>
            </w:r>
          </w:p>
        </w:tc>
        <w:tc>
          <w:tcPr>
            <w:tcW w:type="dxa" w:w="1440"/>
            <w:shd w:fill="FFDCE0" w:val="clear"/>
          </w:tcPr>
          <w:p>
            <w:r>
              <w:rPr>
                <w:sz w:val="17"/>
              </w:rPr>
              <w:t>40,127</w:t>
            </w:r>
          </w:p>
        </w:tc>
        <w:tc>
          <w:tcPr>
            <w:tcW w:type="dxa" w:w="1440"/>
            <w:shd w:fill="FFDCE0" w:val="clear"/>
          </w:tcPr>
          <w:p>
            <w:r>
              <w:rPr>
                <w:b/>
                <w:color w:val="C00000"/>
                <w:sz w:val="17"/>
              </w:rPr>
              <w:t>-3.0%</w:t>
            </w:r>
          </w:p>
        </w:tc>
      </w:tr>
      <w:tr>
        <w:tc>
          <w:tcPr>
            <w:tcW w:type="dxa" w:w="1440"/>
            <w:shd w:fill="FFDCE0" w:val="clear"/>
          </w:tcPr>
          <w:p>
            <w:r>
              <w:rPr>
                <w:sz w:val="17"/>
              </w:rPr>
              <w:t>J+6  Moyenne</w:t>
            </w:r>
          </w:p>
        </w:tc>
        <w:tc>
          <w:tcPr>
            <w:tcW w:type="dxa" w:w="1440"/>
            <w:shd w:fill="FFDCE0" w:val="clear"/>
          </w:tcPr>
          <w:p>
            <w:r>
              <w:rPr>
                <w:sz w:val="17"/>
              </w:rPr>
              <w:t>2026-10-05</w:t>
            </w:r>
          </w:p>
        </w:tc>
        <w:tc>
          <w:tcPr>
            <w:tcW w:type="dxa" w:w="1440"/>
            <w:shd w:fill="FFDCE0" w:val="clear"/>
          </w:tcPr>
          <w:p>
            <w:r>
              <w:rPr>
                <w:sz w:val="17"/>
              </w:rPr>
              <w:t>34,976</w:t>
            </w:r>
          </w:p>
        </w:tc>
        <w:tc>
          <w:tcPr>
            <w:tcW w:type="dxa" w:w="1440"/>
            <w:shd w:fill="FFDCE0" w:val="clear"/>
          </w:tcPr>
          <w:p>
            <w:r>
              <w:rPr>
                <w:b/>
                <w:sz w:val="17"/>
              </w:rPr>
              <w:t>37,608</w:t>
            </w:r>
          </w:p>
        </w:tc>
        <w:tc>
          <w:tcPr>
            <w:tcW w:type="dxa" w:w="1440"/>
            <w:shd w:fill="FFDCE0" w:val="clear"/>
          </w:tcPr>
          <w:p>
            <w:r>
              <w:rPr>
                <w:sz w:val="17"/>
              </w:rPr>
              <w:t>40,240</w:t>
            </w:r>
          </w:p>
        </w:tc>
        <w:tc>
          <w:tcPr>
            <w:tcW w:type="dxa" w:w="1440"/>
            <w:shd w:fill="FFDCE0" w:val="clear"/>
          </w:tcPr>
          <w:p>
            <w:r>
              <w:rPr>
                <w:b/>
                <w:color w:val="C00000"/>
                <w:sz w:val="17"/>
              </w:rPr>
              <w:t>-3.3%</w:t>
            </w:r>
          </w:p>
        </w:tc>
      </w:tr>
      <w:tr>
        <w:tc>
          <w:tcPr>
            <w:tcW w:type="dxa" w:w="1440"/>
            <w:shd w:fill="FFDCE0" w:val="clear"/>
          </w:tcPr>
          <w:p>
            <w:r>
              <w:rPr>
                <w:sz w:val="17"/>
              </w:rPr>
              <w:t>J+7  Moyenne</w:t>
            </w:r>
          </w:p>
        </w:tc>
        <w:tc>
          <w:tcPr>
            <w:tcW w:type="dxa" w:w="1440"/>
            <w:shd w:fill="FFDCE0" w:val="clear"/>
          </w:tcPr>
          <w:p>
            <w:r>
              <w:rPr>
                <w:sz w:val="17"/>
              </w:rPr>
              <w:t>2026-10-06</w:t>
            </w:r>
          </w:p>
        </w:tc>
        <w:tc>
          <w:tcPr>
            <w:tcW w:type="dxa" w:w="1440"/>
            <w:shd w:fill="FFDCE0" w:val="clear"/>
          </w:tcPr>
          <w:p>
            <w:r>
              <w:rPr>
                <w:sz w:val="17"/>
              </w:rPr>
              <w:t>34,667</w:t>
            </w:r>
          </w:p>
        </w:tc>
        <w:tc>
          <w:tcPr>
            <w:tcW w:type="dxa" w:w="1440"/>
            <w:shd w:fill="FFDCE0" w:val="clear"/>
          </w:tcPr>
          <w:p>
            <w:r>
              <w:rPr>
                <w:b/>
                <w:sz w:val="17"/>
              </w:rPr>
              <w:t>37,502</w:t>
            </w:r>
          </w:p>
        </w:tc>
        <w:tc>
          <w:tcPr>
            <w:tcW w:type="dxa" w:w="1440"/>
            <w:shd w:fill="FFDCE0" w:val="clear"/>
          </w:tcPr>
          <w:p>
            <w:r>
              <w:rPr>
                <w:sz w:val="17"/>
              </w:rPr>
              <w:t>40,337</w:t>
            </w:r>
          </w:p>
        </w:tc>
        <w:tc>
          <w:tcPr>
            <w:tcW w:type="dxa" w:w="1440"/>
            <w:shd w:fill="FFDCE0" w:val="clear"/>
          </w:tcPr>
          <w:p>
            <w:r>
              <w:rPr>
                <w:b/>
                <w:color w:val="C00000"/>
                <w:sz w:val="17"/>
              </w:rPr>
              <w:t>-3.6%</w:t>
            </w:r>
          </w:p>
        </w:tc>
      </w:tr>
      <w:tr>
        <w:tc>
          <w:tcPr>
            <w:tcW w:type="dxa" w:w="1440"/>
            <w:shd w:fill="FFDCE0" w:val="clear"/>
          </w:tcPr>
          <w:p>
            <w:r>
              <w:rPr>
                <w:sz w:val="17"/>
              </w:rPr>
              <w:t>J+8  Moyenne</w:t>
            </w:r>
          </w:p>
        </w:tc>
        <w:tc>
          <w:tcPr>
            <w:tcW w:type="dxa" w:w="1440"/>
            <w:shd w:fill="FFDCE0" w:val="clear"/>
          </w:tcPr>
          <w:p>
            <w:r>
              <w:rPr>
                <w:sz w:val="17"/>
              </w:rPr>
              <w:t>2026-10-07</w:t>
            </w:r>
          </w:p>
        </w:tc>
        <w:tc>
          <w:tcPr>
            <w:tcW w:type="dxa" w:w="1440"/>
            <w:shd w:fill="FFDCE0" w:val="clear"/>
          </w:tcPr>
          <w:p>
            <w:r>
              <w:rPr>
                <w:sz w:val="17"/>
              </w:rPr>
              <w:t>34,376</w:t>
            </w:r>
          </w:p>
        </w:tc>
        <w:tc>
          <w:tcPr>
            <w:tcW w:type="dxa" w:w="1440"/>
            <w:shd w:fill="FFDCE0" w:val="clear"/>
          </w:tcPr>
          <w:p>
            <w:r>
              <w:rPr>
                <w:b/>
                <w:sz w:val="17"/>
              </w:rPr>
              <w:t>37,399</w:t>
            </w:r>
          </w:p>
        </w:tc>
        <w:tc>
          <w:tcPr>
            <w:tcW w:type="dxa" w:w="1440"/>
            <w:shd w:fill="FFDCE0" w:val="clear"/>
          </w:tcPr>
          <w:p>
            <w:r>
              <w:rPr>
                <w:sz w:val="17"/>
              </w:rPr>
              <w:t>40,421</w:t>
            </w:r>
          </w:p>
        </w:tc>
        <w:tc>
          <w:tcPr>
            <w:tcW w:type="dxa" w:w="1440"/>
            <w:shd w:fill="FFDCE0" w:val="clear"/>
          </w:tcPr>
          <w:p>
            <w:r>
              <w:rPr>
                <w:b/>
                <w:color w:val="C00000"/>
                <w:sz w:val="17"/>
              </w:rPr>
              <w:t>-3.9%</w:t>
            </w:r>
          </w:p>
        </w:tc>
      </w:tr>
      <w:tr>
        <w:tc>
          <w:tcPr>
            <w:tcW w:type="dxa" w:w="1440"/>
            <w:shd w:fill="FFDCE0" w:val="clear"/>
          </w:tcPr>
          <w:p>
            <w:r>
              <w:rPr>
                <w:sz w:val="17"/>
              </w:rPr>
              <w:t>J+9  Moyenne</w:t>
            </w:r>
          </w:p>
        </w:tc>
        <w:tc>
          <w:tcPr>
            <w:tcW w:type="dxa" w:w="1440"/>
            <w:shd w:fill="FFDCE0" w:val="clear"/>
          </w:tcPr>
          <w:p>
            <w:r>
              <w:rPr>
                <w:sz w:val="17"/>
              </w:rPr>
              <w:t>2026-10-08</w:t>
            </w:r>
          </w:p>
        </w:tc>
        <w:tc>
          <w:tcPr>
            <w:tcW w:type="dxa" w:w="1440"/>
            <w:shd w:fill="FFDCE0" w:val="clear"/>
          </w:tcPr>
          <w:p>
            <w:r>
              <w:rPr>
                <w:sz w:val="17"/>
              </w:rPr>
              <w:t>34,100</w:t>
            </w:r>
          </w:p>
        </w:tc>
        <w:tc>
          <w:tcPr>
            <w:tcW w:type="dxa" w:w="1440"/>
            <w:shd w:fill="FFDCE0" w:val="clear"/>
          </w:tcPr>
          <w:p>
            <w:r>
              <w:rPr>
                <w:b/>
                <w:sz w:val="17"/>
              </w:rPr>
              <w:t>37,297</w:t>
            </w:r>
          </w:p>
        </w:tc>
        <w:tc>
          <w:tcPr>
            <w:tcW w:type="dxa" w:w="1440"/>
            <w:shd w:fill="FFDCE0" w:val="clear"/>
          </w:tcPr>
          <w:p>
            <w:r>
              <w:rPr>
                <w:sz w:val="17"/>
              </w:rPr>
              <w:t>40,495</w:t>
            </w:r>
          </w:p>
        </w:tc>
        <w:tc>
          <w:tcPr>
            <w:tcW w:type="dxa" w:w="1440"/>
            <w:shd w:fill="FFDCE0" w:val="clear"/>
          </w:tcPr>
          <w:p>
            <w:r>
              <w:rPr>
                <w:b/>
                <w:color w:val="C00000"/>
                <w:sz w:val="17"/>
              </w:rPr>
              <w:t>-4.1%</w:t>
            </w:r>
          </w:p>
        </w:tc>
      </w:tr>
      <w:tr>
        <w:tc>
          <w:tcPr>
            <w:tcW w:type="dxa" w:w="1440"/>
            <w:shd w:fill="FFDCE0" w:val="clear"/>
          </w:tcPr>
          <w:p>
            <w:r>
              <w:rPr>
                <w:sz w:val="17"/>
              </w:rPr>
              <w:t>J+10  Moyenne</w:t>
            </w:r>
          </w:p>
        </w:tc>
        <w:tc>
          <w:tcPr>
            <w:tcW w:type="dxa" w:w="1440"/>
            <w:shd w:fill="FFDCE0" w:val="clear"/>
          </w:tcPr>
          <w:p>
            <w:r>
              <w:rPr>
                <w:sz w:val="17"/>
              </w:rPr>
              <w:t>2026-10-09</w:t>
            </w:r>
          </w:p>
        </w:tc>
        <w:tc>
          <w:tcPr>
            <w:tcW w:type="dxa" w:w="1440"/>
            <w:shd w:fill="FFDCE0" w:val="clear"/>
          </w:tcPr>
          <w:p>
            <w:r>
              <w:rPr>
                <w:sz w:val="17"/>
              </w:rPr>
              <w:t>33,837</w:t>
            </w:r>
          </w:p>
        </w:tc>
        <w:tc>
          <w:tcPr>
            <w:tcW w:type="dxa" w:w="1440"/>
            <w:shd w:fill="FFDCE0" w:val="clear"/>
          </w:tcPr>
          <w:p>
            <w:r>
              <w:rPr>
                <w:b/>
                <w:sz w:val="17"/>
              </w:rPr>
              <w:t>37,198</w:t>
            </w:r>
          </w:p>
        </w:tc>
        <w:tc>
          <w:tcPr>
            <w:tcW w:type="dxa" w:w="1440"/>
            <w:shd w:fill="FFDCE0" w:val="clear"/>
          </w:tcPr>
          <w:p>
            <w:r>
              <w:rPr>
                <w:sz w:val="17"/>
              </w:rPr>
              <w:t>40,559</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 RAPPORT D'ANALYSE FINANCIÈRE — SOCIÉTÉ GÉNÉRALE CÔTE D'IVOIRE (SGBC)</w:t>
        <w:br/>
        <w:t>**Marché : BRVM | Secteur : Banque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**1 210,22 milliards FCFA**, SGBC s'impose comme l'une des plus importantes capitalisations de la BRVM, reflet de son statut de banque systémique de la zone UEMOA. Le BPA de **3 258 FCFA/action** traduit une rentabilité par titre élevée, et le PER de **11,9x** situe le titre dans la fourchette haute de la moyenne BRVM (~8-12x), signalant une valorisation modérée mais non excessive au regard de la qualité des bénéfices. Le P/B de **2,44x** indique que le marché valorise la banque à près de 2,5 fois ses fonds propres comptables, soit une prime de croissance justifiée par un ROE supérieur à 20%. En revanche, l'EV/EBITDA de **24,7x** apparaît très exigeant (&gt;15x), ce qui suggère que la valeur d'entreprise intègre déjà une bonne partie des anticipations de performance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SGBC affiche une progression totale de **+17,88%**, avec une dernière séance en hausse de **+0,26%**, confirmant une dynamique haussière soutenue. Le cours actuel de **38 900 FCFA** évolue dans un range de trading compris entre **33 000 FCFA** (plus bas) et **39 300 FCFA** (plus haut), soit une amplitude de 19,1% qui témoigne d'un intérêt acheteur constant. La moyenne (**37 929 FCFA**) est légèrement inférieure à la médiane (**38 125 FCFA**), ce qui indique une distribution asymétrique avec davantage de séances de forte hausse que de baisse. L'écart-type de **1 433 FCFA** (CV = 3,8%) révèle une dispersion modérée du cours, tandis que le kurtosis de **2,849** (leptokurtique) signale des queues épaisses et un risque de pics de volatilité. Le skewness de **-1,787** confirme cette asymétrie négative, avec une majorité de journées au-dessus de la moyenne. La volatilité annualisée de **21,7%** place le titre dans la catégorie modérée (15-30%), cohérente avec un profil de valeur bancaire stable.</w:t>
      </w:r>
    </w:p>
    <w:p>
      <w:pPr>
        <w:spacing w:after="120" w:line="276" w:lineRule="auto"/>
      </w:pPr>
      <w:r>
        <w:t>---</w:t>
      </w:r>
    </w:p>
    <w:p>
      <w:pPr>
        <w:spacing w:after="120" w:line="276" w:lineRule="auto"/>
      </w:pPr>
      <w:r>
        <w:t>## PARTIE 2 : ANALYSE TECHNIQUE DÉTAILLÉE</w:t>
      </w:r>
    </w:p>
    <w:p>
      <w:pPr>
        <w:spacing w:after="120" w:line="276" w:lineRule="auto"/>
      </w:pPr>
      <w:r>
        <w:t>**Moyennes Mobiles** : La MM20 (**38 487,25 FCFA**) et la MM50 (**38 411,20 FCFA**) se situent toutes deux sous le cours actuel (38 900 FCFA), avec un croisement haussier récent (MM20 &gt; MM50). Cette configuration confirme une tendance positive et justifie la décision d'**ACHAT**.</w:t>
      </w:r>
    </w:p>
    <w:p>
      <w:pPr>
        <w:spacing w:after="120" w:line="276" w:lineRule="auto"/>
      </w:pPr>
      <w:r>
        <w:t>**Bandes de Bollinger** : Le cours (38 900 FCFA) évolue dans la partie supérieure de la bande, proche de la borne supérieure (**39 302,84 FCFA**) et bien au-dessus de la borne inférieure (**37 671,66 FCFA**). Cette position reflète une pression acheteuse, mais la décision **NEUTRE** suggère une possible consolidation à court terme.</w:t>
      </w:r>
    </w:p>
    <w:p>
      <w:pPr>
        <w:spacing w:after="120" w:line="276" w:lineRule="auto"/>
      </w:pPr>
      <w:r>
        <w:t>**MACD** : La valeur du MACD (**12,675**) est nettement supérieure à son signal (**-8,083**), générant un croisement haussier marqué et un momentum positif. Cette divergence confirme la décision d'**ACHAT**.</w:t>
      </w:r>
    </w:p>
    <w:p>
      <w:pPr>
        <w:spacing w:after="120" w:line="276" w:lineRule="auto"/>
      </w:pPr>
      <w:r>
        <w:t>**RSI** : À **50,636**, le RSI se situe en zone neutre (30-70), sans signal de surachat ni de survente. La décision **NEUTRE** reflète un équilibre entre acheteurs et vendeurs, avec un potentiel de hausse encore intact.</w:t>
      </w:r>
    </w:p>
    <w:p>
      <w:pPr>
        <w:spacing w:after="120" w:line="276" w:lineRule="auto"/>
      </w:pPr>
      <w:r>
        <w:t>**Stochastique** : Le %K (**91,667**) est nettement supérieur au %D (**63,472**), indiquant une forte pression acheteuse à court terme. Cependant, la position du %K en zone de surachat (&gt;80) justifie la décision de **VENTE** à court terme, signalant un risque de correction.</w:t>
      </w:r>
    </w:p>
    <w:p>
      <w:pPr>
        <w:spacing w:after="120" w:line="276" w:lineRule="auto"/>
      </w:pPr>
      <w:r>
        <w:t>**Conclusion technique** : Les indicateurs sont majoritairement haussiers (MM, MACD), mais le stochastique en zone de surachat et le RSI neutre suggèrent une possible consolidation. La convergence des signaux pointe vers un **maintien de la tendance haussière à moyen terme**, avec une prudence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SGBC affiche un **PNB de 276,048 milliards FCFA**, en croissance de **+4,88%**, et un **résultat net de 101,352 milliards FCFA**, quasi stable (+0,1%). Le **ROE de 20,47%** demeure excellent (&gt;15%), et le **ROA de 2,69%** confirme une bonne rentabilité des actifs. Le **coefficient d'exploitation de 38,75%** place la banque parmi les plus efficaces du secteur (&lt;60%). Le **coût du risque** (provisions de 17,995 Mds FCFA) représente 37,7% des charges financières, un niveau à surveiller. Le ratio **dépôts/crédits** s'établit à 87,6% (2 907,7 Mds de dépôts vs 2 546,3 Mds de crédits), traduisant une transformation équilibrée. Les **créances interbancaires** (37,061 Mds FCFA) restent marginales.</w:t>
      </w:r>
    </w:p>
    <w:p>
      <w:pPr>
        <w:spacing w:after="120" w:line="276" w:lineRule="auto"/>
      </w:pPr>
      <w:r>
        <w:t>**Estimations basées sur les rapports trimestriels** : Le rapport **S1 2026 (publié le 27 août 2026)** indique un PNB de 134,059 Mds FCFA (+1,6%) et un résultat net de 53,350 Mds FCFA (+0,5%), avec un coefficient d'exploitation amélioré à **36,7%**. Le **T1 2026 (publié le 30 avril 2026)** montrait un recul de -11% du résultat net, lié à des investissements (rénovation du siège, migration digitale). Sur la base de ces tendances, on estime que l'exercice 2026 devrait enregistrer une **croissance modérée du PNB (+2-3%)** et une **stabilisation du résultat net**, avec un ROE maintenu autour de 20%. Le rapport **annuel 2024 (publié le 31 décembre 2024)** confirmait déjà un dividende de **1 863 FCFA/action** (rendement ~4,8% au cours actuel), avec un taux de distribution de 57,25%.</w:t>
      </w:r>
    </w:p>
    <w:p>
      <w:pPr>
        <w:spacing w:after="120" w:line="276" w:lineRule="auto"/>
      </w:pPr>
      <w:r>
        <w:t>**Recommandation fondamentale** : SGBC affiche une **solidité financière remarquable** (ROE &gt;20%, coefficient d'exploitation &lt;40%, solvabilité 17,6%), mais la **stagnation du résultat net** et la **hausse du coût du risque** limitent le potentiel de revalorisation à court terme. Le titre convient aux investisseurs recherchant **rendement et stabilité**.</w:t>
      </w:r>
    </w:p>
    <w:p>
      <w:pPr>
        <w:spacing w:after="120" w:line="276" w:lineRule="auto"/>
      </w:pPr>
      <w:r>
        <w:t>---</w:t>
      </w:r>
    </w:p>
    <w:p>
      <w:pPr>
        <w:spacing w:after="120" w:line="276" w:lineRule="auto"/>
      </w:pPr>
      <w:r>
        <w:t>## PARTIE 4 : CONCLUSION D'INVESTISSEMENT</w:t>
      </w:r>
    </w:p>
    <w:p>
      <w:pPr>
        <w:spacing w:after="120" w:line="276" w:lineRule="auto"/>
      </w:pPr>
      <w:r>
        <w:t>La **valorisation (Partie 0)** indique une juste appréciation du titre (PER 11,9x, P/B 2,44x), avec un EV/EBITDA exigeant (24,7x) qui limite le potentiel de surperformance. Le **comportement du cours (Partie 1)** est haussier (+17,88% sur 100 jours), avec une volatilité modérée (21,7%) et des statistiques (kurtosis, skewness) signalant un risque de pics mais une tendance positive. Les **signaux techniques (Partie 2)** sont majoritairement haussiers (MM, MACD), mais le stochastique en surachat suggère une consolidation à court terme. Les **fondamentaux (Partie 3)** confirment la solidité de SGBC (ROE 20,47%, coefficient d'exploitation 38,75%), mais la croissance du résultat net est quasi nulle (+0,1% en 2025, +0,5% au S1 2026). Les **prédictions IA (J+1 à J+10)** anticipent une légère baisse (38 182 FCFA à 37 717 FCFA), contredisant la tendance haussière récente et confirmant un risque de correction à court terme.</w:t>
      </w:r>
    </w:p>
    <w:p>
      <w:pPr>
        <w:spacing w:after="120" w:line="276" w:lineRule="auto"/>
      </w:pPr>
      <w:r>
        <w:t>**Recommandation finale** : **CONSERVER**. La convergence entre une valorisation correcte, des fondamentaux solides mais une croissance atone, et des signaux techniques mitigés (surachat à court terme) justifie une position d'attente. Le niveau de confiance est **Moyen**, et le risque global est **Faible** (titre défensif). L'horizon d'investissement optimal est **moyen terme (3-12 mois)**, en attendant une reprise de la croissance du PNB et une normalisation du coût du risque. Un passage à **ACHAT** serait justifié si le T2 2026 confirme le redressement du PNB et la maîtrise des frais généraux.</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19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ROE de 21,6%, une solvabilit\u00e9 solide (14,2%) et un dividende en hausse de +11% offrant un rendement attractif. Sa position de leader, sa notation AA+ et la qualit\u00e9 de son portefeuille justifient une exposition positive malgr\u00e9 la hausse du co\u00fbt du risque."}</w:t>
      </w:r>
    </w:p>
    <w:p>
      <w:pPr>
        <w:spacing w:before="40"/>
        <w:ind w:left="400"/>
      </w:pPr>
      <w:r>
        <w:rPr>
          <w:sz w:val="18"/>
        </w:rPr>
        <w:t xml:space="preserve">Société Générale Côte d'Ivoire (SGCI) clôture l'exercice 2022 avec les meilleurs résultats de son histoire, célébrant ses 60 ans au service de l'économie ivoirienne. Le Produit Net Bancaire atteint 215 101 millions FCFA, en progression de +13,8%, porté par la bonne tenue de la marge d'intérêts et la croissance des commissions. Le résultat net s'établit à 74 612 millions FCFA, en hausse de +11%, malgré une forte progression du coût du risque liée à des dotations exceptionnelles sur le segment PME. La banque maintient sa position de leader du marché bancaire ivoirien et sous-régional, avec des parts de marché en hausse (20% en emplois et 18,9% en ressources clientèles). Sa solidité financière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(Bloomfield et GCR)', 'nombre_actions': '31 111 110', 'cout_net_risque': '28 816 millions FCFA', 'credit_clientele': '2 160 660 millions FCFA', 'depots_clientele': '2 685 322 millions FCFA', 'coef_exploitation': '44,8%', 'ratio_solvabilite': '14,2% (minimum réglementaire 11,5%)', 'taux_distribution': '51%', 'parts_marche_emplois': '20%', 'produit_net_bancaire': '215 101 millions FCFA', 'parts_marche_ressources': '18,9%', 'resultat_brut_exploitation': '118 708 millions FCFA'}</w:t>
            </w:r>
          </w:p>
        </w:tc>
        <w:tc>
          <w:tcPr>
            <w:tcW w:type="dxa" w:w="2160"/>
          </w:tcPr>
          <w:p>
            <w:pPr>
              <w:ind w:left="100"/>
            </w:pPr>
            <w:r/>
            <w:r>
              <w:rPr>
                <w:b/>
                <w:sz w:val="16"/>
              </w:rPr>
              <w:t>dividende</w:t>
              <w:br/>
            </w:r>
            <w:r>
              <w:rPr>
                <w:sz w:val="18"/>
              </w:rPr>
              <w:t>1 230 FCFA par action (brut)</w:t>
            </w:r>
          </w:p>
        </w:tc>
        <w:tc>
          <w:tcPr>
            <w:tcW w:type="dxa" w:w="2160"/>
          </w:tcPr>
          <w:p>
            <w:pPr>
              <w:ind w:left="100"/>
            </w:pPr>
            <w:r/>
            <w:r>
              <w:rPr>
                <w:b/>
                <w:sz w:val="16"/>
              </w:rPr>
              <w:t>marge_nette</w:t>
              <w:br/>
            </w:r>
            <w:r>
              <w:rPr>
                <w:sz w:val="18"/>
              </w:rPr>
              <w:t>34,7% (résultat net / PNB)</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 (74,6 milliards FCFA)</w:t>
            </w:r>
          </w:p>
        </w:tc>
        <w:tc>
          <w:tcPr>
            <w:tcW w:type="dxa" w:w="2160"/>
          </w:tcPr>
          <w:p>
            <w:r/>
            <w:r>
              <w:rPr>
                <w:b/>
                <w:sz w:val="16"/>
              </w:rPr>
              <w:t>capitaux_propres</w:t>
              <w:br/>
            </w:r>
            <w:r>
              <w:rPr>
                <w:sz w:val="18"/>
              </w:rPr>
              <w:t>345 011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215 101 millions FCFA en hausse de +13,8% par rapport à 2021, soutenu par la marge nette d'intérêts (+15%) et les commissions (+12,5%).</w:t>
      </w:r>
    </w:p>
    <w:p>
      <w:pPr>
        <w:pStyle w:val="ListBullet"/>
        <w:spacing w:before="20" w:after="20"/>
        <w:ind w:left="700"/>
      </w:pPr>
      <w:r>
        <w:rPr>
          <w:sz w:val="18"/>
        </w:rPr>
        <w:t>Résultat net historique de 74 612 millions FCFA (+10,6%), meilleur résultat jamais enregistré par la banque.</w:t>
      </w:r>
    </w:p>
    <w:p>
      <w:pPr>
        <w:pStyle w:val="ListBullet"/>
        <w:spacing w:before="20" w:after="20"/>
        <w:ind w:left="700"/>
      </w:pPr>
      <w:r>
        <w:rPr>
          <w:sz w:val="18"/>
        </w:rPr>
        <w:t>Coefficient d'exploitation en amélioration à 44,8% (-313 pb) traduisant un effet ciseau positif et une bonne maîtrise des coûts.</w:t>
      </w:r>
    </w:p>
    <w:p>
      <w:pPr>
        <w:pStyle w:val="ListBullet"/>
        <w:spacing w:before="20" w:after="20"/>
        <w:ind w:left="700"/>
      </w:pPr>
      <w:r>
        <w:rPr>
          <w:sz w:val="18"/>
        </w:rPr>
        <w:t>Coût Net du Risque en forte hausse à 28 816 millions FCFA (+60,6%) en raison de dotations exceptionnelles sur le segment PME (CNR retraité à 81 pb).</w:t>
      </w:r>
    </w:p>
    <w:p>
      <w:pPr>
        <w:pStyle w:val="ListBullet"/>
        <w:spacing w:before="20" w:after="20"/>
        <w:ind w:left="700"/>
      </w:pPr>
      <w:r>
        <w:rPr>
          <w:sz w:val="18"/>
        </w:rPr>
        <w:t>Rentabilité des fonds propres (ROE) élevée à 21,6%, combinant marge d'intermédiation solide, efficacité opérationnelle et coût du risque contenu.</w:t>
      </w:r>
    </w:p>
    <w:p>
      <w:pPr>
        <w:pStyle w:val="ListBullet"/>
        <w:spacing w:before="20" w:after="20"/>
        <w:ind w:left="700"/>
      </w:pPr>
      <w:r>
        <w:rPr>
          <w:sz w:val="18"/>
        </w:rPr>
        <w:t>Croissance soutenue du fonds de commerce : encours de crédits +15,4% à 2 160 660 millions FCFA et dépôts clientèle +6,2% à 2 685 322 millions FCFA.</w:t>
      </w:r>
    </w:p>
    <w:p>
      <w:pPr>
        <w:spacing w:before="40"/>
        <w:ind w:left="400"/>
      </w:pPr>
      <w:r>
        <w:rPr>
          <w:b/>
          <w:color w:val="C05000"/>
          <w:sz w:val="18"/>
        </w:rPr>
        <w:t xml:space="preserve">⚠️ Risques : </w:t>
      </w:r>
      <w:r>
        <w:rPr>
          <w:sz w:val="18"/>
        </w:rPr>
        <w:t xml:space="preserve">["D\u00e9gradation du co\u00fbt du risque, en hausse de +60,6%, notamment sur le segment des PME pouvant peser sur les r\u00e9sultats futurs.", "Environnement macro\u00e9conomique incertain marqu\u00e9 par l'inflation, la hausse des taux et les tensions g\u00e9opolitiques affectant la croissance et </w:t>
      </w:r>
    </w:p>
    <w:p>
      <w:pPr>
        <w:spacing w:before="40"/>
        <w:ind w:left="400"/>
      </w:pPr>
      <w:r>
        <w:rPr>
          <w:b/>
          <w:color w:val="0064A0"/>
          <w:sz w:val="18"/>
        </w:rPr>
        <w:t xml:space="preserve">🔮 Perspectives : </w:t>
      </w:r>
      <w:r>
        <w:rPr>
          <w:sz w:val="18"/>
        </w:rPr>
        <w:t>Société Générale Côte d'Ivoire entend poursuivre en 2023 la dynamique engagée en 2022, en capitalisant sur la mise en œuvre de sa feuille de route stratégique RISE+ et ses projets de digitalisation, de maîtrise des risques et de responsabilité sociale et environnementale. La banque dispose d'une sol</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152.46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4,968 titres</w:t>
            </w:r>
          </w:p>
        </w:tc>
        <w:tc>
          <w:tcPr>
            <w:tcW w:type="dxa" w:w="2268"/>
            <w:shd w:fill="FFF2CC" w:val="clear"/>
          </w:tcPr>
          <w:p>
            <w:r>
              <w:rPr>
                <w:b/>
                <w:color w:val="503200"/>
                <w:sz w:val="16"/>
              </w:rPr>
              <w:t xml:space="preserve">Cours actuel : </w:t>
            </w:r>
            <w:r>
              <w:rPr>
                <w:color w:val="000000"/>
                <w:sz w:val="17"/>
              </w:rPr>
              <w:t>2,420 FCFA</w:t>
            </w:r>
          </w:p>
          <w:p>
            <w:r>
              <w:rPr>
                <w:b/>
                <w:color w:val="503200"/>
                <w:sz w:val="16"/>
              </w:rPr>
              <w:t xml:space="preserve">Var. 100 jours : </w:t>
            </w:r>
            <w:r>
              <w:rPr>
                <w:b/>
                <w:color w:val="007800"/>
                <w:sz w:val="17"/>
              </w:rPr>
              <w:t>+21.00%</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44.1%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10.80% (Moyenne) — μ=2,234 FCFA, σ=241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β=1.0668 (Neutre (suit le marché)) — Cov=0.000074, Var(idx)=0.000069, ρ=0.319,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2026-09-28</w:t>
            </w:r>
          </w:p>
        </w:tc>
        <w:tc>
          <w:tcPr>
            <w:tcW w:type="dxa" w:w="1440"/>
            <w:shd w:fill="FAFAFA" w:val="clear"/>
          </w:tcPr>
          <w:p>
            <w:r>
              <w:rPr>
                <w:sz w:val="17"/>
              </w:rPr>
              <w:t>2,240</w:t>
            </w:r>
          </w:p>
        </w:tc>
        <w:tc>
          <w:tcPr>
            <w:tcW w:type="dxa" w:w="1440"/>
            <w:shd w:fill="FAFAFA" w:val="clear"/>
          </w:tcPr>
          <w:p>
            <w:r>
              <w:rPr>
                <w:b/>
                <w:sz w:val="17"/>
              </w:rPr>
              <w:t>2,389</w:t>
            </w:r>
          </w:p>
        </w:tc>
        <w:tc>
          <w:tcPr>
            <w:tcW w:type="dxa" w:w="1440"/>
            <w:shd w:fill="FAFAFA" w:val="clear"/>
          </w:tcPr>
          <w:p>
            <w:r>
              <w:rPr>
                <w:sz w:val="17"/>
              </w:rPr>
              <w:t>2,539</w:t>
            </w:r>
          </w:p>
        </w:tc>
        <w:tc>
          <w:tcPr>
            <w:tcW w:type="dxa" w:w="1440"/>
            <w:shd w:fill="FAFAFA" w:val="clear"/>
          </w:tcPr>
          <w:p>
            <w:r>
              <w:rPr>
                <w:b/>
                <w:color w:val="C00000"/>
                <w:sz w:val="17"/>
              </w:rPr>
              <w:t>-1.3%</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2,152</w:t>
            </w:r>
          </w:p>
        </w:tc>
        <w:tc>
          <w:tcPr>
            <w:tcW w:type="dxa" w:w="1440"/>
            <w:shd w:fill="FFDCE0" w:val="clear"/>
          </w:tcPr>
          <w:p>
            <w:r>
              <w:rPr>
                <w:b/>
                <w:sz w:val="17"/>
              </w:rPr>
              <w:t>2,361</w:t>
            </w:r>
          </w:p>
        </w:tc>
        <w:tc>
          <w:tcPr>
            <w:tcW w:type="dxa" w:w="1440"/>
            <w:shd w:fill="FFDCE0" w:val="clear"/>
          </w:tcPr>
          <w:p>
            <w:r>
              <w:rPr>
                <w:sz w:val="17"/>
              </w:rPr>
              <w:t>2,570</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2,081</w:t>
            </w:r>
          </w:p>
        </w:tc>
        <w:tc>
          <w:tcPr>
            <w:tcW w:type="dxa" w:w="1440"/>
            <w:shd w:fill="FFDCE0" w:val="clear"/>
          </w:tcPr>
          <w:p>
            <w:r>
              <w:rPr>
                <w:b/>
                <w:sz w:val="17"/>
              </w:rPr>
              <w:t>2,335</w:t>
            </w:r>
          </w:p>
        </w:tc>
        <w:tc>
          <w:tcPr>
            <w:tcW w:type="dxa" w:w="1440"/>
            <w:shd w:fill="FFDCE0" w:val="clear"/>
          </w:tcPr>
          <w:p>
            <w:r>
              <w:rPr>
                <w:sz w:val="17"/>
              </w:rPr>
              <w:t>2,588</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2,021</w:t>
            </w:r>
          </w:p>
        </w:tc>
        <w:tc>
          <w:tcPr>
            <w:tcW w:type="dxa" w:w="1440"/>
            <w:shd w:fill="FFDCE0" w:val="clear"/>
          </w:tcPr>
          <w:p>
            <w:r>
              <w:rPr>
                <w:b/>
                <w:sz w:val="17"/>
              </w:rPr>
              <w:t>2,310</w:t>
            </w:r>
          </w:p>
        </w:tc>
        <w:tc>
          <w:tcPr>
            <w:tcW w:type="dxa" w:w="1440"/>
            <w:shd w:fill="FFDCE0" w:val="clear"/>
          </w:tcPr>
          <w:p>
            <w:r>
              <w:rPr>
                <w:sz w:val="17"/>
              </w:rPr>
              <w:t>2,599</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1,966</w:t>
            </w:r>
          </w:p>
        </w:tc>
        <w:tc>
          <w:tcPr>
            <w:tcW w:type="dxa" w:w="1440"/>
            <w:shd w:fill="FFDCE0" w:val="clear"/>
          </w:tcPr>
          <w:p>
            <w:r>
              <w:rPr>
                <w:b/>
                <w:sz w:val="17"/>
              </w:rPr>
              <w:t>2,286</w:t>
            </w:r>
          </w:p>
        </w:tc>
        <w:tc>
          <w:tcPr>
            <w:tcW w:type="dxa" w:w="1440"/>
            <w:shd w:fill="FFDCE0" w:val="clear"/>
          </w:tcPr>
          <w:p>
            <w:r>
              <w:rPr>
                <w:sz w:val="17"/>
              </w:rPr>
              <w:t>2,606</w:t>
            </w:r>
          </w:p>
        </w:tc>
        <w:tc>
          <w:tcPr>
            <w:tcW w:type="dxa" w:w="1440"/>
            <w:shd w:fill="FFDCE0" w:val="clear"/>
          </w:tcPr>
          <w:p>
            <w:r>
              <w:rPr>
                <w:b/>
                <w:color w:val="C00000"/>
                <w:sz w:val="17"/>
              </w:rPr>
              <w:t>-5.5%</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1,917</w:t>
            </w:r>
          </w:p>
        </w:tc>
        <w:tc>
          <w:tcPr>
            <w:tcW w:type="dxa" w:w="1440"/>
            <w:shd w:fill="FFDCE0" w:val="clear"/>
          </w:tcPr>
          <w:p>
            <w:r>
              <w:rPr>
                <w:b/>
                <w:sz w:val="17"/>
              </w:rPr>
              <w:t>2,264</w:t>
            </w:r>
          </w:p>
        </w:tc>
        <w:tc>
          <w:tcPr>
            <w:tcW w:type="dxa" w:w="1440"/>
            <w:shd w:fill="FFDCE0" w:val="clear"/>
          </w:tcPr>
          <w:p>
            <w:r>
              <w:rPr>
                <w:sz w:val="17"/>
              </w:rPr>
              <w:t>2,611</w:t>
            </w:r>
          </w:p>
        </w:tc>
        <w:tc>
          <w:tcPr>
            <w:tcW w:type="dxa" w:w="1440"/>
            <w:shd w:fill="FFDCE0" w:val="clear"/>
          </w:tcPr>
          <w:p>
            <w:r>
              <w:rPr>
                <w:b/>
                <w:color w:val="C00000"/>
                <w:sz w:val="17"/>
              </w:rPr>
              <w:t>-6.4%</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1,872</w:t>
            </w:r>
          </w:p>
        </w:tc>
        <w:tc>
          <w:tcPr>
            <w:tcW w:type="dxa" w:w="1440"/>
            <w:shd w:fill="FFDCE0" w:val="clear"/>
          </w:tcPr>
          <w:p>
            <w:r>
              <w:rPr>
                <w:b/>
                <w:sz w:val="17"/>
              </w:rPr>
              <w:t>2,244</w:t>
            </w:r>
          </w:p>
        </w:tc>
        <w:tc>
          <w:tcPr>
            <w:tcW w:type="dxa" w:w="1440"/>
            <w:shd w:fill="FFDCE0" w:val="clear"/>
          </w:tcPr>
          <w:p>
            <w:r>
              <w:rPr>
                <w:sz w:val="17"/>
              </w:rPr>
              <w:t>2,615</w:t>
            </w:r>
          </w:p>
        </w:tc>
        <w:tc>
          <w:tcPr>
            <w:tcW w:type="dxa" w:w="1440"/>
            <w:shd w:fill="FFDCE0" w:val="clear"/>
          </w:tcPr>
          <w:p>
            <w:r>
              <w:rPr>
                <w:b/>
                <w:color w:val="C00000"/>
                <w:sz w:val="17"/>
              </w:rPr>
              <w:t>-7.3%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1,831</w:t>
            </w:r>
          </w:p>
        </w:tc>
        <w:tc>
          <w:tcPr>
            <w:tcW w:type="dxa" w:w="1440"/>
            <w:shd w:fill="FFDCE0" w:val="clear"/>
          </w:tcPr>
          <w:p>
            <w:r>
              <w:rPr>
                <w:b/>
                <w:sz w:val="17"/>
              </w:rPr>
              <w:t>2,224</w:t>
            </w:r>
          </w:p>
        </w:tc>
        <w:tc>
          <w:tcPr>
            <w:tcW w:type="dxa" w:w="1440"/>
            <w:shd w:fill="FFDCE0" w:val="clear"/>
          </w:tcPr>
          <w:p>
            <w:r>
              <w:rPr>
                <w:sz w:val="17"/>
              </w:rPr>
              <w:t>2,618</w:t>
            </w:r>
          </w:p>
        </w:tc>
        <w:tc>
          <w:tcPr>
            <w:tcW w:type="dxa" w:w="1440"/>
            <w:shd w:fill="FFDCE0" w:val="clear"/>
          </w:tcPr>
          <w:p>
            <w:r>
              <w:rPr>
                <w:b/>
                <w:color w:val="C00000"/>
                <w:sz w:val="17"/>
              </w:rPr>
              <w:t>-8.1%</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1,792</w:t>
            </w:r>
          </w:p>
        </w:tc>
        <w:tc>
          <w:tcPr>
            <w:tcW w:type="dxa" w:w="1440"/>
            <w:shd w:fill="FFDCE0" w:val="clear"/>
          </w:tcPr>
          <w:p>
            <w:r>
              <w:rPr>
                <w:b/>
                <w:sz w:val="17"/>
              </w:rPr>
              <w:t>2,206</w:t>
            </w:r>
          </w:p>
        </w:tc>
        <w:tc>
          <w:tcPr>
            <w:tcW w:type="dxa" w:w="1440"/>
            <w:shd w:fill="FFDCE0" w:val="clear"/>
          </w:tcPr>
          <w:p>
            <w:r>
              <w:rPr>
                <w:sz w:val="17"/>
              </w:rPr>
              <w:t>2,620</w:t>
            </w:r>
          </w:p>
        </w:tc>
        <w:tc>
          <w:tcPr>
            <w:tcW w:type="dxa" w:w="1440"/>
            <w:shd w:fill="FFDCE0" w:val="clear"/>
          </w:tcPr>
          <w:p>
            <w:r>
              <w:rPr>
                <w:b/>
                <w:color w:val="C00000"/>
                <w:sz w:val="17"/>
              </w:rPr>
              <w:t>-8.8%</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1,756</w:t>
            </w:r>
          </w:p>
        </w:tc>
        <w:tc>
          <w:tcPr>
            <w:tcW w:type="dxa" w:w="1440"/>
            <w:shd w:fill="FFDCE0" w:val="clear"/>
          </w:tcPr>
          <w:p>
            <w:r>
              <w:rPr>
                <w:b/>
                <w:sz w:val="17"/>
              </w:rPr>
              <w:t>2,189</w:t>
            </w:r>
          </w:p>
        </w:tc>
        <w:tc>
          <w:tcPr>
            <w:tcW w:type="dxa" w:w="1440"/>
            <w:shd w:fill="FFDCE0" w:val="clear"/>
          </w:tcPr>
          <w:p>
            <w:r>
              <w:rPr>
                <w:sz w:val="17"/>
              </w:rPr>
              <w:t>2,622</w:t>
            </w:r>
          </w:p>
        </w:tc>
        <w:tc>
          <w:tcPr>
            <w:tcW w:type="dxa" w:w="1440"/>
            <w:shd w:fill="FFDCE0" w:val="clear"/>
          </w:tcPr>
          <w:p>
            <w:r>
              <w:rPr>
                <w:b/>
                <w:color w:val="C00000"/>
                <w:sz w:val="17"/>
              </w:rPr>
              <w:t>-9.6%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ACTION SHEC (VIVO ENERGY CÔTE D'IVOIRE)**</w:t>
        <w:br/>
        <w:t>*Bourse Régionale des Valeurs Mobilières (BRVM) — Analyse au 27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152,46 milliards FCFA, SHEC s'impose comme une valeur de taille intermédiaire sur la BRVM, représentant un poids notable dans l'indice sectoriel de la distribution pétrolière. Le BPA de 96 FCFA/action signifie que chaque titre génère près d'un centième de sa valeur en bénéfice net, mais le PER de 25,3x traduit une valorisation nettement supérieure à la moyenne du marché BRVM (8-12x), signalant que les investisseurs anticipent une croissance future ou acceptent une prime de qualité. Le P/B de 5,61x confirme cette exigence : le marché valorise l'entreprise à plus de cinq fois sa valeur comptable, une prime qui n'est justifiée que par la solidité des cash-flows et la notoriété de la marque (Vivo Energy/Shell). Enfin, l'EV/EBITDA de 13,4x, dans la fourchette haute (10-15x), indique que la valeur totale de l'entreprise (dette incluse) représente plus de treize fois sa capacité bénéficiaire opérationnelle, ce qui laisse peu de marge d'erreur en cas de dégradation des marges.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SHEC a enregistré une progression totale de +21,00%, passant d'un plus bas de 1 840 FCFA à un plus haut de 2 980 FCFA, avant de clôturer à 2 420 FCFA, soit une contraction de -2,22% lors de la dernière séance. Ce range de trading de 1 140 FCFA (soit 62% d'amplitude) témoigne d'une tendance haussière de fond, mais avec une correction récente qui ramène le cours sous sa moyenne mobile 20 jours (2 586,75 FCFA). Les statistiques descriptives révèlent une moyenne de 2 234 FCFA et une médiane de 2 200 FCFA, avec un écart de 34 FCFA qui indique une légère asymétrie positive — confirmée par le skewness de 0,951, signifiant que les journées de baisse sont plus fréquentes mais compensées par des hausses plus amples. L'écart-type de 243 FCFA (CV=10,9%) traduit une dispersion modérée du cours, tandis que le kurtosis de 0,978 (mésokurtique) suggère une distribution proche de la normale, sans risque excessif de pics extrêmes. La volatilité annualisée de 44,1% classe le titre dans la catégorie des valeurs à volatilité élevée (&gt;30%), ce qui est cohérent avec un secteur pétrolier sensible aux cours du brut et aux volumes.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(2 586,75 FCFA) est supérieure à la MM50 (2 404,90 FCFA), et le cours actuel (2 420 FCFA) se situe entre les deux, légèrement au-dessus de la MM50 mais sous la MM20. Cette configuration indique une tendance haussière de moyen terme encore intacte, mais un essoufflement à court terme. La décision "Achat" est justifiée par le maintien du cours au-dessus de la MM50, qui agit comme support dynamique.</w:t>
      </w:r>
    </w:p>
    <w:p>
      <w:pPr>
        <w:spacing w:after="120" w:line="276" w:lineRule="auto"/>
      </w:pPr>
      <w:r>
        <w:t>**Bandes de Bollinger** : Le cours (2 420 FCFA) évolue dans la partie basse de la bande (borne supérieure à 2 997,94 FCFA, borne inférieure à 2 175,56 FCFA), à environ 30% de la largeur totale. Cette position neutre reflète une absence de signal directionnel fort, avec une volatilité qui reste contenue dans les bandes. La décision "Neutre" est cohérente avec cette configuration.</w:t>
      </w:r>
    </w:p>
    <w:p>
      <w:pPr>
        <w:spacing w:after="120" w:line="276" w:lineRule="auto"/>
      </w:pPr>
      <w:r>
        <w:t>**MACD** : La valeur du MACD (50,595) est inférieure à son signal (92,646), générant une divergence baissière qui indique un ralentissement du momentum haussier. Cette configuration, bien que baissière à court terme, doit être nuancée par le fait que les deux lignes restent en territoire positif. La décision "Vente" est justifiée par cette divergence, mais elle est à pondérer avec les autres indicateurs.</w:t>
      </w:r>
    </w:p>
    <w:p>
      <w:pPr>
        <w:spacing w:after="120" w:line="276" w:lineRule="auto"/>
      </w:pPr>
      <w:r>
        <w:t>**RSI** : À 47,987, le RSI se situe dans la zone neutre (30-70), sans signal de surachat ni de survente. Cette valeur médiane indique un équilibre entre acheteurs et vendeurs, sans pression directionnelle marquée. La décision "Neutre" est appropriée.</w:t>
      </w:r>
    </w:p>
    <w:p>
      <w:pPr>
        <w:spacing w:after="120" w:line="276" w:lineRule="auto"/>
      </w:pPr>
      <w:r>
        <w:t>**Stochastique** : Le %K (5,085) et le %D (6,497) sont tous deux en zone de survente extrême (&lt;20), avec un %K légèrement inférieur au %D. Cette configuration suggère une possible réaction haussière à court terme, car le marché est survendu. La décision "Achat" est justifiée par cette opportunité de rebond technique.</w:t>
      </w:r>
    </w:p>
    <w:p>
      <w:pPr>
        <w:spacing w:after="120" w:line="276" w:lineRule="auto"/>
      </w:pPr>
      <w:r>
        <w:t>**Conclusion technique** : Les indicateurs sont divergents : les moyennes mobiles et le stochastique plaident pour un achat, tandis que le MACD et les bandes de Bollinger incitent à la prudence. Le RSI neutre ne tranche pas. Cette divergence reflète un marché en phase de consolidation après une forte hausse, avec un potentiel de rebond à court terme mais une tendance de fond qui reste fragile. La prudence est de mise avant toute décision.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SHEC (Vivo Energy Côte d'Ivoire) a réalisé un chiffre d'affaires de 604,978 milliards FCFA, en légère hausse de +0,71% par rapport à 2024 (600,708 milliards FCFA), selon les états financiers officiels. Le résultat net s'établit à 6,028 milliards FCFA, en progression de +12,6% (contre 5,354 milliards en 2024), porté par une amélioration de la marge nette à 1,00% (contre 0,89% en 2024) et une réduction des charges financières de -12%. Le ROE atteint 22,20%, un niveau excellent (&gt;15%), tandis que le ROA reste faible à 3,11%, reflétant la structure très capitalistique du secteur. Sur le plan opérationnel, la marge brute de 9,35% et la marge opérationnelle de 1,93% confirment la faiblesse structurelle des marges dans la distribution pétrolière. Les délais clients (23,27 jours) et fournisseurs (35,47 jours) sont maîtrisés, mais le BFR de 15,315 milliards FCFA et la trésorerie nette de -65,264 milliards FCFA constituent des points d'alerte majeurs, tout comme l'autonomie financière de 14,03% (bien inférieure au seuil de 30%). Le rapport du T3 2025 (30/09/2025) indiquait déjà un résultat net en hausse de +45% sur 9 mois, avec une marge nette de 0,91%, confirmant la dynamique positive. Le rapport du S1 2026 (30/06/2026) montre un CA de 305,038 milliards FCFA (-1%) mais un résultat d'exploitation en hausse de +17% à 6,133 milliards FCFA, grâce au dynamisme du butane et des lubrifiants. On estime que l'exercice 2026 devrait clôturer avec un résultat net stable autour de 6,0-6,2 milliards FCFA, la baisse des volumes aviation/bitume étant compensée par la résilience du réseau et du butane. La principale force de SHEC réside dans sa capacité à générer des cash-flows opérationnels (CAF de 12,330 milliards FCFA) et à distribuer un dividende attractif (6,09 milliards FCFA proposé, soit un rendement estimé à 4,0% sur la base du cours actuel). Cependant, la dépendance aux découverts bancaires (70,297 milliards FCFA de trésorerie passive en 2025) et la volatilité des volumes constituent des risques majeurs. La recommandation fondamentale est de **CONSERVER** le titre, en attendant une clarification sur la réduction de l'endettement et la confirmation de la reprise des volumes au second semestre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exigeante : PER de 25,3x et P/B de 5,61x indiquent une surévaluation relative par rapport au marché BRVM, ce qui limite le potentiel de hausse à court terme. Le comportement du cours (Partie 1) montre une tendance haussière de fond (+21% sur 100 jours) mais une correction récente (-2,22% en J-1) et une volatilité élevée (44,1%), avec un skewness positif qui suggère des baisses fréquentes mais compensées par des hausses plus fortes. Les signaux techniques (Partie 2) sont divergents : le stochastique en survente et les moyennes mobiles plaident pour un rebond, mais le MACD baissier et la position neutre du RSI incitent à la prudence. Les fondamentaux (Partie 3) sont solides mais fragiles : ROE de 22,2%, résultat net en hausse de +12,6% en 2025, dividende attractif, mais trésorerie nette très négative (-65,26 milliards FCFA) et endettement élevé. Les prédictions IA (J+1 à J+10) anticipent une baisse continue de 2 389 FCFA à 2 286 FCFA, soit -5,5% sur 10 jours, ce qui contredit les signaux d'achat techniques à court terme et confirme la pression baissière. Sur la base de cette synthèse, la recommandation finale est **CONSERVER**, avec un niveau de confiance **Moyen** et un risque global **Élevé**. La convergence entre la valorisation exigeante, la divergence technique et les prédictions baissières à court terme ne justifie pas un achat immédiat, mais la solidité des fondamentaux et le rendement du dividende incitent à ne pas vendre. L'horizon d'investissement optimal est le **moyen terme (3-12 mois)**, en attendant la publication des comptes définitifs 2025 et des résultats du S1 2026, qui permettront de confirmer ou d'infirmer la tendance haussière de fond. Un renforcement pourrait être envisagé si le cours revient vers 2 200 FCFA (niveau de la médiane) et si les volumes reprennent sur les segments aviation et bitume.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10,882 titres</w:t>
            </w:r>
          </w:p>
        </w:tc>
        <w:tc>
          <w:tcPr>
            <w:tcW w:type="dxa" w:w="2268"/>
            <w:shd w:fill="FFF2CC" w:val="clear"/>
          </w:tcPr>
          <w:p>
            <w:r>
              <w:rPr>
                <w:b/>
                <w:color w:val="503200"/>
                <w:sz w:val="16"/>
              </w:rPr>
              <w:t xml:space="preserve">Cours actuel : </w:t>
            </w:r>
            <w:r>
              <w:rPr>
                <w:color w:val="000000"/>
                <w:sz w:val="17"/>
              </w:rPr>
              <w:t>9,000 FCFA</w:t>
            </w:r>
          </w:p>
          <w:p>
            <w:r>
              <w:rPr>
                <w:b/>
                <w:color w:val="503200"/>
                <w:sz w:val="16"/>
              </w:rPr>
              <w:t xml:space="preserve">Var. 100 jours : </w:t>
            </w:r>
            <w:r>
              <w:rPr>
                <w:b/>
                <w:color w:val="007800"/>
                <w:sz w:val="17"/>
              </w:rPr>
              <w:t>+23.63%</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7,050 FCFA</w:t>
            </w:r>
          </w:p>
          <w:p>
            <w:r>
              <w:rPr>
                <w:b/>
                <w:color w:val="503200"/>
                <w:sz w:val="16"/>
              </w:rPr>
              <w:t xml:space="preserve">Volatilité ann. : </w:t>
            </w:r>
            <w:r>
              <w:rPr>
                <w:color w:val="000000"/>
                <w:sz w:val="17"/>
              </w:rPr>
              <w:t>31.2%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7.04% (Moyenne) — μ=8,737 FCFA, σ=615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β=0.8184 (Neutre (suit le marché)) — Cov=0.000056, Var(idx)=0.000069, ρ=0.346,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10,882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σ_j=1.97%/j (Stable) — Vol. annualisée≈31.2%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8,666</w:t>
            </w:r>
          </w:p>
        </w:tc>
        <w:tc>
          <w:tcPr>
            <w:tcW w:type="dxa" w:w="1440"/>
            <w:shd w:fill="FAFAFA" w:val="clear"/>
          </w:tcPr>
          <w:p>
            <w:r>
              <w:rPr>
                <w:b/>
                <w:sz w:val="17"/>
              </w:rPr>
              <w:t>8,937</w:t>
            </w:r>
          </w:p>
        </w:tc>
        <w:tc>
          <w:tcPr>
            <w:tcW w:type="dxa" w:w="1440"/>
            <w:shd w:fill="FAFAFA" w:val="clear"/>
          </w:tcPr>
          <w:p>
            <w:r>
              <w:rPr>
                <w:sz w:val="17"/>
              </w:rPr>
              <w:t>9,209</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8,494</w:t>
            </w:r>
          </w:p>
        </w:tc>
        <w:tc>
          <w:tcPr>
            <w:tcW w:type="dxa" w:w="1440"/>
            <w:shd w:fill="FAFAFA" w:val="clear"/>
          </w:tcPr>
          <w:p>
            <w:r>
              <w:rPr>
                <w:b/>
                <w:sz w:val="17"/>
              </w:rPr>
              <w:t>8,875</w:t>
            </w:r>
          </w:p>
        </w:tc>
        <w:tc>
          <w:tcPr>
            <w:tcW w:type="dxa" w:w="1440"/>
            <w:shd w:fill="FAFAFA" w:val="clear"/>
          </w:tcPr>
          <w:p>
            <w:r>
              <w:rPr>
                <w:sz w:val="17"/>
              </w:rPr>
              <w:t>9,257</w:t>
            </w:r>
          </w:p>
        </w:tc>
        <w:tc>
          <w:tcPr>
            <w:tcW w:type="dxa" w:w="1440"/>
            <w:shd w:fill="FAFAFA" w:val="clear"/>
          </w:tcPr>
          <w:p>
            <w:r>
              <w:rPr>
                <w:b/>
                <w:color w:val="C00000"/>
                <w:sz w:val="17"/>
              </w:rPr>
              <w:t>-1.4%</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8,344</w:t>
            </w:r>
          </w:p>
        </w:tc>
        <w:tc>
          <w:tcPr>
            <w:tcW w:type="dxa" w:w="1440"/>
            <w:shd w:fill="FFDCE0" w:val="clear"/>
          </w:tcPr>
          <w:p>
            <w:r>
              <w:rPr>
                <w:b/>
                <w:sz w:val="17"/>
              </w:rPr>
              <w:t>8,808</w:t>
            </w:r>
          </w:p>
        </w:tc>
        <w:tc>
          <w:tcPr>
            <w:tcW w:type="dxa" w:w="1440"/>
            <w:shd w:fill="FFDCE0" w:val="clear"/>
          </w:tcPr>
          <w:p>
            <w:r>
              <w:rPr>
                <w:sz w:val="17"/>
              </w:rPr>
              <w:t>9,272</w:t>
            </w:r>
          </w:p>
        </w:tc>
        <w:tc>
          <w:tcPr>
            <w:tcW w:type="dxa" w:w="1440"/>
            <w:shd w:fill="FFDCE0" w:val="clear"/>
          </w:tcPr>
          <w:p>
            <w:r>
              <w:rPr>
                <w:b/>
                <w:color w:val="C00000"/>
                <w:sz w:val="17"/>
              </w:rPr>
              <w:t>-2.1%</w:t>
            </w:r>
          </w:p>
        </w:tc>
      </w:tr>
      <w:tr>
        <w:tc>
          <w:tcPr>
            <w:tcW w:type="dxa" w:w="1440"/>
            <w:shd w:fill="FFDCE0" w:val="clear"/>
          </w:tcPr>
          <w:p>
            <w:r>
              <w:rPr>
                <w:sz w:val="17"/>
              </w:rPr>
              <w:t>J+4  Moyenne</w:t>
            </w:r>
          </w:p>
        </w:tc>
        <w:tc>
          <w:tcPr>
            <w:tcW w:type="dxa" w:w="1440"/>
            <w:shd w:fill="FFDCE0" w:val="clear"/>
          </w:tcPr>
          <w:p>
            <w:r>
              <w:rPr>
                <w:sz w:val="17"/>
              </w:rPr>
              <w:t>2026-10-01</w:t>
            </w:r>
          </w:p>
        </w:tc>
        <w:tc>
          <w:tcPr>
            <w:tcW w:type="dxa" w:w="1440"/>
            <w:shd w:fill="FFDCE0" w:val="clear"/>
          </w:tcPr>
          <w:p>
            <w:r>
              <w:rPr>
                <w:sz w:val="17"/>
              </w:rPr>
              <w:t>8,214</w:t>
            </w:r>
          </w:p>
        </w:tc>
        <w:tc>
          <w:tcPr>
            <w:tcW w:type="dxa" w:w="1440"/>
            <w:shd w:fill="FFDCE0" w:val="clear"/>
          </w:tcPr>
          <w:p>
            <w:r>
              <w:rPr>
                <w:b/>
                <w:sz w:val="17"/>
              </w:rPr>
              <w:t>8,746</w:t>
            </w:r>
          </w:p>
        </w:tc>
        <w:tc>
          <w:tcPr>
            <w:tcW w:type="dxa" w:w="1440"/>
            <w:shd w:fill="FFDCE0" w:val="clear"/>
          </w:tcPr>
          <w:p>
            <w:r>
              <w:rPr>
                <w:sz w:val="17"/>
              </w:rPr>
              <w:t>9,278</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2026-10-02</w:t>
            </w:r>
          </w:p>
        </w:tc>
        <w:tc>
          <w:tcPr>
            <w:tcW w:type="dxa" w:w="1440"/>
            <w:shd w:fill="FFDCE0" w:val="clear"/>
          </w:tcPr>
          <w:p>
            <w:r>
              <w:rPr>
                <w:sz w:val="17"/>
              </w:rPr>
              <w:t>8,100</w:t>
            </w:r>
          </w:p>
        </w:tc>
        <w:tc>
          <w:tcPr>
            <w:tcW w:type="dxa" w:w="1440"/>
            <w:shd w:fill="FFDCE0" w:val="clear"/>
          </w:tcPr>
          <w:p>
            <w:r>
              <w:rPr>
                <w:b/>
                <w:sz w:val="17"/>
              </w:rPr>
              <w:t>8,691</w:t>
            </w:r>
          </w:p>
        </w:tc>
        <w:tc>
          <w:tcPr>
            <w:tcW w:type="dxa" w:w="1440"/>
            <w:shd w:fill="FFDCE0" w:val="clear"/>
          </w:tcPr>
          <w:p>
            <w:r>
              <w:rPr>
                <w:sz w:val="17"/>
              </w:rPr>
              <w:t>9,282</w:t>
            </w:r>
          </w:p>
        </w:tc>
        <w:tc>
          <w:tcPr>
            <w:tcW w:type="dxa" w:w="1440"/>
            <w:shd w:fill="FFDCE0" w:val="clear"/>
          </w:tcPr>
          <w:p>
            <w:r>
              <w:rPr>
                <w:b/>
                <w:color w:val="C00000"/>
                <w:sz w:val="17"/>
              </w:rPr>
              <w:t>-3.4%</w:t>
            </w:r>
          </w:p>
        </w:tc>
      </w:tr>
      <w:tr>
        <w:tc>
          <w:tcPr>
            <w:tcW w:type="dxa" w:w="1440"/>
            <w:shd w:fill="FFDCE0" w:val="clear"/>
          </w:tcPr>
          <w:p>
            <w:r>
              <w:rPr>
                <w:sz w:val="17"/>
              </w:rPr>
              <w:t>J+6  Moyenne</w:t>
            </w:r>
          </w:p>
        </w:tc>
        <w:tc>
          <w:tcPr>
            <w:tcW w:type="dxa" w:w="1440"/>
            <w:shd w:fill="FFDCE0" w:val="clear"/>
          </w:tcPr>
          <w:p>
            <w:r>
              <w:rPr>
                <w:sz w:val="17"/>
              </w:rPr>
              <w:t>2026-10-05</w:t>
            </w:r>
          </w:p>
        </w:tc>
        <w:tc>
          <w:tcPr>
            <w:tcW w:type="dxa" w:w="1440"/>
            <w:shd w:fill="FFDCE0" w:val="clear"/>
          </w:tcPr>
          <w:p>
            <w:r>
              <w:rPr>
                <w:sz w:val="17"/>
              </w:rPr>
              <w:t>7,997</w:t>
            </w:r>
          </w:p>
        </w:tc>
        <w:tc>
          <w:tcPr>
            <w:tcW w:type="dxa" w:w="1440"/>
            <w:shd w:fill="FFDCE0" w:val="clear"/>
          </w:tcPr>
          <w:p>
            <w:r>
              <w:rPr>
                <w:b/>
                <w:sz w:val="17"/>
              </w:rPr>
              <w:t>8,641</w:t>
            </w:r>
          </w:p>
        </w:tc>
        <w:tc>
          <w:tcPr>
            <w:tcW w:type="dxa" w:w="1440"/>
            <w:shd w:fill="FFDCE0" w:val="clear"/>
          </w:tcPr>
          <w:p>
            <w:r>
              <w:rPr>
                <w:sz w:val="17"/>
              </w:rPr>
              <w:t>9,284</w:t>
            </w:r>
          </w:p>
        </w:tc>
        <w:tc>
          <w:tcPr>
            <w:tcW w:type="dxa" w:w="1440"/>
            <w:shd w:fill="FFDCE0" w:val="clear"/>
          </w:tcPr>
          <w:p>
            <w:r>
              <w:rPr>
                <w:b/>
                <w:color w:val="C00000"/>
                <w:sz w:val="17"/>
              </w:rPr>
              <w:t>-4.0%</w:t>
            </w:r>
          </w:p>
        </w:tc>
      </w:tr>
      <w:tr>
        <w:tc>
          <w:tcPr>
            <w:tcW w:type="dxa" w:w="1440"/>
            <w:shd w:fill="FFDCE0" w:val="clear"/>
          </w:tcPr>
          <w:p>
            <w:r>
              <w:rPr>
                <w:sz w:val="17"/>
              </w:rPr>
              <w:t>J+7  Moyenne</w:t>
            </w:r>
          </w:p>
        </w:tc>
        <w:tc>
          <w:tcPr>
            <w:tcW w:type="dxa" w:w="1440"/>
            <w:shd w:fill="FFDCE0" w:val="clear"/>
          </w:tcPr>
          <w:p>
            <w:r>
              <w:rPr>
                <w:sz w:val="17"/>
              </w:rPr>
              <w:t>2026-10-06</w:t>
            </w:r>
          </w:p>
        </w:tc>
        <w:tc>
          <w:tcPr>
            <w:tcW w:type="dxa" w:w="1440"/>
            <w:shd w:fill="FFDCE0" w:val="clear"/>
          </w:tcPr>
          <w:p>
            <w:r>
              <w:rPr>
                <w:sz w:val="17"/>
              </w:rPr>
              <w:t>7,903</w:t>
            </w:r>
          </w:p>
        </w:tc>
        <w:tc>
          <w:tcPr>
            <w:tcW w:type="dxa" w:w="1440"/>
            <w:shd w:fill="FFDCE0" w:val="clear"/>
          </w:tcPr>
          <w:p>
            <w:r>
              <w:rPr>
                <w:b/>
                <w:sz w:val="17"/>
              </w:rPr>
              <w:t>8,595</w:t>
            </w:r>
          </w:p>
        </w:tc>
        <w:tc>
          <w:tcPr>
            <w:tcW w:type="dxa" w:w="1440"/>
            <w:shd w:fill="FFDCE0" w:val="clear"/>
          </w:tcPr>
          <w:p>
            <w:r>
              <w:rPr>
                <w:sz w:val="17"/>
              </w:rPr>
              <w:t>9,286</w:t>
            </w:r>
          </w:p>
        </w:tc>
        <w:tc>
          <w:tcPr>
            <w:tcW w:type="dxa" w:w="1440"/>
            <w:shd w:fill="FFDCE0" w:val="clear"/>
          </w:tcPr>
          <w:p>
            <w:r>
              <w:rPr>
                <w:b/>
                <w:color w:val="C00000"/>
                <w:sz w:val="17"/>
              </w:rPr>
              <w:t>-4.5%</w:t>
            </w:r>
          </w:p>
        </w:tc>
      </w:tr>
      <w:tr>
        <w:tc>
          <w:tcPr>
            <w:tcW w:type="dxa" w:w="1440"/>
            <w:shd w:fill="FFDCE0" w:val="clear"/>
          </w:tcPr>
          <w:p>
            <w:r>
              <w:rPr>
                <w:sz w:val="17"/>
              </w:rPr>
              <w:t>J+8  Moyenne</w:t>
            </w:r>
          </w:p>
        </w:tc>
        <w:tc>
          <w:tcPr>
            <w:tcW w:type="dxa" w:w="1440"/>
            <w:shd w:fill="FFDCE0" w:val="clear"/>
          </w:tcPr>
          <w:p>
            <w:r>
              <w:rPr>
                <w:sz w:val="17"/>
              </w:rPr>
              <w:t>2026-10-07</w:t>
            </w:r>
          </w:p>
        </w:tc>
        <w:tc>
          <w:tcPr>
            <w:tcW w:type="dxa" w:w="1440"/>
            <w:shd w:fill="FFDCE0" w:val="clear"/>
          </w:tcPr>
          <w:p>
            <w:r>
              <w:rPr>
                <w:sz w:val="17"/>
              </w:rPr>
              <w:t>7,817</w:t>
            </w:r>
          </w:p>
        </w:tc>
        <w:tc>
          <w:tcPr>
            <w:tcW w:type="dxa" w:w="1440"/>
            <w:shd w:fill="FFDCE0" w:val="clear"/>
          </w:tcPr>
          <w:p>
            <w:r>
              <w:rPr>
                <w:b/>
                <w:sz w:val="17"/>
              </w:rPr>
              <w:t>8,552</w:t>
            </w:r>
          </w:p>
        </w:tc>
        <w:tc>
          <w:tcPr>
            <w:tcW w:type="dxa" w:w="1440"/>
            <w:shd w:fill="FFDCE0" w:val="clear"/>
          </w:tcPr>
          <w:p>
            <w:r>
              <w:rPr>
                <w:sz w:val="17"/>
              </w:rPr>
              <w:t>9,287</w:t>
            </w:r>
          </w:p>
        </w:tc>
        <w:tc>
          <w:tcPr>
            <w:tcW w:type="dxa" w:w="1440"/>
            <w:shd w:fill="FFDCE0" w:val="clear"/>
          </w:tcPr>
          <w:p>
            <w:r>
              <w:rPr>
                <w:b/>
                <w:color w:val="C00000"/>
                <w:sz w:val="17"/>
              </w:rPr>
              <w:t>-5.0%</w:t>
            </w:r>
          </w:p>
        </w:tc>
      </w:tr>
      <w:tr>
        <w:tc>
          <w:tcPr>
            <w:tcW w:type="dxa" w:w="1440"/>
            <w:shd w:fill="FFDCE0" w:val="clear"/>
          </w:tcPr>
          <w:p>
            <w:r>
              <w:rPr>
                <w:sz w:val="17"/>
              </w:rPr>
              <w:t>J+9  Moyenne</w:t>
            </w:r>
          </w:p>
        </w:tc>
        <w:tc>
          <w:tcPr>
            <w:tcW w:type="dxa" w:w="1440"/>
            <w:shd w:fill="FFDCE0" w:val="clear"/>
          </w:tcPr>
          <w:p>
            <w:r>
              <w:rPr>
                <w:sz w:val="17"/>
              </w:rPr>
              <w:t>2026-10-08</w:t>
            </w:r>
          </w:p>
        </w:tc>
        <w:tc>
          <w:tcPr>
            <w:tcW w:type="dxa" w:w="1440"/>
            <w:shd w:fill="FFDCE0" w:val="clear"/>
          </w:tcPr>
          <w:p>
            <w:r>
              <w:rPr>
                <w:sz w:val="17"/>
              </w:rPr>
              <w:t>7,736</w:t>
            </w:r>
          </w:p>
        </w:tc>
        <w:tc>
          <w:tcPr>
            <w:tcW w:type="dxa" w:w="1440"/>
            <w:shd w:fill="FFDCE0" w:val="clear"/>
          </w:tcPr>
          <w:p>
            <w:r>
              <w:rPr>
                <w:b/>
                <w:sz w:val="17"/>
              </w:rPr>
              <w:t>8,512</w:t>
            </w:r>
          </w:p>
        </w:tc>
        <w:tc>
          <w:tcPr>
            <w:tcW w:type="dxa" w:w="1440"/>
            <w:shd w:fill="FFDCE0" w:val="clear"/>
          </w:tcPr>
          <w:p>
            <w:r>
              <w:rPr>
                <w:sz w:val="17"/>
              </w:rPr>
              <w:t>9,289</w:t>
            </w:r>
          </w:p>
        </w:tc>
        <w:tc>
          <w:tcPr>
            <w:tcW w:type="dxa" w:w="1440"/>
            <w:shd w:fill="FFDCE0" w:val="clear"/>
          </w:tcPr>
          <w:p>
            <w:r>
              <w:rPr>
                <w:b/>
                <w:color w:val="C00000"/>
                <w:sz w:val="17"/>
              </w:rPr>
              <w:t>-5.4%</w:t>
            </w:r>
          </w:p>
        </w:tc>
      </w:tr>
      <w:tr>
        <w:tc>
          <w:tcPr>
            <w:tcW w:type="dxa" w:w="1440"/>
            <w:shd w:fill="FFDCE0" w:val="clear"/>
          </w:tcPr>
          <w:p>
            <w:r>
              <w:rPr>
                <w:sz w:val="17"/>
              </w:rPr>
              <w:t>J+10  Moyenne</w:t>
            </w:r>
          </w:p>
        </w:tc>
        <w:tc>
          <w:tcPr>
            <w:tcW w:type="dxa" w:w="1440"/>
            <w:shd w:fill="FFDCE0" w:val="clear"/>
          </w:tcPr>
          <w:p>
            <w:r>
              <w:rPr>
                <w:sz w:val="17"/>
              </w:rPr>
              <w:t>2026-10-09</w:t>
            </w:r>
          </w:p>
        </w:tc>
        <w:tc>
          <w:tcPr>
            <w:tcW w:type="dxa" w:w="1440"/>
            <w:shd w:fill="FFDCE0" w:val="clear"/>
          </w:tcPr>
          <w:p>
            <w:r>
              <w:rPr>
                <w:sz w:val="17"/>
              </w:rPr>
              <w:t>7,660</w:t>
            </w:r>
          </w:p>
        </w:tc>
        <w:tc>
          <w:tcPr>
            <w:tcW w:type="dxa" w:w="1440"/>
            <w:shd w:fill="FFDCE0" w:val="clear"/>
          </w:tcPr>
          <w:p>
            <w:r>
              <w:rPr>
                <w:b/>
                <w:sz w:val="17"/>
              </w:rPr>
              <w:t>8,475</w:t>
            </w:r>
          </w:p>
        </w:tc>
        <w:tc>
          <w:tcPr>
            <w:tcW w:type="dxa" w:w="1440"/>
            <w:shd w:fill="FFDCE0" w:val="clear"/>
          </w:tcPr>
          <w:p>
            <w:r>
              <w:rPr>
                <w:sz w:val="17"/>
              </w:rPr>
              <w:t>9,290</w:t>
            </w:r>
          </w:p>
        </w:tc>
        <w:tc>
          <w:tcPr>
            <w:tcW w:type="dxa" w:w="1440"/>
            <w:shd w:fill="FFDCE0" w:val="clear"/>
          </w:tcPr>
          <w:p>
            <w:r>
              <w:rPr>
                <w:b/>
                <w:color w:val="C00000"/>
                <w:sz w:val="17"/>
              </w:rPr>
              <w:t>-5.8%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900,00 Mds FCFA, la SIBC figure parmi les valeurs les plus capitalisées de la BRVM, ce qui en fait un pilier du compartiment bancaire régional. Le BPA de 556 FCFA/action signifie que chaque titre génère près de 556 FCFA de bénéfice net, un niveau élevé qui traduit la forte rentabilité de l'établissement. Le PER de 16,2x se situe nettement au-dessus de la moyenne BRVM (~8-12x), ce qui indique que les investisseurs paient une prime de qualité pour ce titre, sans pour autant basculer dans une zone de bulle spéculative. Le P/B de 4,40x et l'EV/EBITDA de 15,0x confirment cette lecture : le marché valorise la SIBC à plus de quatre fois sa valeur comptable et à un multiple opérationnel exigeant, ce qui intègre déjà les excellentes performances historiques de la banque (ROE &gt;27%). Ces ratios élevés impliquent une marge de sécurité limitée en cas de déception sur les résultats futurs.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SIBC a enregistré une progression totale de +23,63%, avec une dernière séance en hausse de +1,12%, confirmant une dynamique haussière robuste. Le cours actuel de 9 000 FCFA se situe dans la partie haute du range de trading, le plus haut ayant atteint 9 500 FCFA et le plus bas 7 050 FCFA, soit une amplitude de 2 450 FCFA (environ 35% du plus bas). La moyenne de 8 737 FCFA est légèrement inférieure à la médiane de 8 900 FCFA et au mode de 9 000 FCFA, ce qui révèle une distribution asymétrique avec davantage de séances passées au-dessus de la moyenne — cohérent avec le skewness négatif de -1,545 signalant une asymétrie vers la droite (plus de journées de hausse que de baisse). L'écart-type de 618 FCFA et le coefficient de variation de 7,1% indiquent une dispersion modérée du cours autour de sa moyenne, tandis que le kurtosis de 1,287 (leptokurtique) avertit sur un risque de pics de volatilité — queues épaisses signifiant que des mouvements extrêmes sont plus probables qu'avec une distribution normale. La volatilité annualisée de 31,2% classe le titre dans la catégorie des valeurs à volatilité élevée (&gt;30%), ce qui est typique des valeurs bancaires de croissance sur la BRVM mais impose une gestion stricte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(9 143,5 FCFA) et la MM50 (9 090,4 FCFA) se situent toutes deux au-dessus du cours actuel (9 000 FCFA), ce qui place le titre en position de repli sous ses moyennes court et moyen terme. Toutefois, la MM20 reste supérieure à la MM50, signalant que la tendance de fond demeure haussière malgré la consolidation récente. La décision fournie est "Achat", probablement justifiée par le croisement haussier des moyennes et le potentiel de rebond vers ces niveaux de support dynamique.</w:t>
      </w:r>
    </w:p>
    <w:p>
      <w:pPr>
        <w:spacing w:after="120" w:line="276" w:lineRule="auto"/>
      </w:pPr>
      <w:r>
        <w:t>**Bandes de Bollinger** : Le cours (9 000 FCFA) évolue dans la partie basse de la bande, entre la borne inférieure (8 772,455 FCFA) et la borne supérieure (9 514,545 FCFA), sans toucher les extrêmes. Cette position médiane-basse traduit une volatilité contenue et une absence de signal directionnel fort, d'où la décision "Neutre". Un retour vers la borne supérieure nécessiterait un catalyseur haussier, tandis qu'une cassure de la borne inférieure signalerait une accélération baissière.</w:t>
      </w:r>
    </w:p>
    <w:p>
      <w:pPr>
        <w:spacing w:after="120" w:line="276" w:lineRule="auto"/>
      </w:pPr>
      <w:r>
        <w:t>**MACD** : La valeur du MACD (-50,959) est nettement inférieure à son signal (-6,666), ce qui confirme un momentum baissier à court terme et justifie la décision "Vente". Cet écart négatif important indique que la pression vendeuse l'emporte sur les acheteurs depuis plusieurs séances, bien que l'amplitude reste modérée au regard de la volatilité historique du titre.</w:t>
      </w:r>
    </w:p>
    <w:p>
      <w:pPr>
        <w:spacing w:after="120" w:line="276" w:lineRule="auto"/>
      </w:pPr>
      <w:r>
        <w:t>**RSI** : À 46,97, le RSI se situe en zone neutre (entre 30 et 70), sans signal de surachat ni de survente. Cette position médiane confirme l'absence de tension extrême sur le titre et justifie la décision "Neutre" — le marché est en phase d'équilibre, ni acheteur ni vendeur.</w:t>
      </w:r>
    </w:p>
    <w:p>
      <w:pPr>
        <w:spacing w:after="120" w:line="276" w:lineRule="auto"/>
      </w:pPr>
      <w:r>
        <w:t>**Stochastique** : Le %K (62,025) est supérieur au %D (37,131), ce qui constitue un croisement haussier potentiel, mais les deux courbes restent en zone médiane, sans divergence marquée. La décision "Neutre" reflète cette configuration ambiguë : le signal haussier naissant n'est pas encore confirmé par une sortie de la zone neutre.</w:t>
      </w:r>
    </w:p>
    <w:p>
      <w:pPr>
        <w:spacing w:after="120" w:line="276" w:lineRule="auto"/>
      </w:pPr>
      <w:r>
        <w:t>**Conclusion technique** : Les indicateurs techniques présentent un tableau mitigé. Les moyennes mobiles restent haussières dans leur structure (MM20 &gt; MM50) mais le cours évolue en dessous, tandis que le MACD est clairement baissier et que le RSI et le stochastique sont neutres. Cette divergence entre tendance de fond (haussière) et momentum court terme (baissier) suggère une phase de consolidation, avec un support clé à surveiller autour de 8 772 FCFA (borne inférieure de Bollinger) et une résistance à 9 143 FCFA (MM20). La décision globale est "Neutre" avec un biais baissier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(source : brvm_donnees_financieres) révèlent une banque solide et très rentable : le Produit Net Bancaire (équivalent du chiffre d'affaires pour une banque) s'établit à 108,663 Mds FCFA, pour un résultat net de 55,623 Mds FCFA, soit une marge nette exceptionnelle de 51,19%. Le ROE atteint 27,16% (largement supérieur au seuil de 15% considéré comme excellent) et le ROA ressort à 2,96%, confirmant l'efficacité de l'utilisation des actifs. Le coefficient d'exploitation de 38,59% est excellent (&lt; 50%), témoignant d'une maîtrise rigoureuse des charges. Le ratio dépôts/crédits s'élève à 1 503,441 Mds FCFA de dépôts clientèle pour 1 226,720 Mds FCFA de créances clientèle, soit un taux de transformation de 81,6% — la banque dispose d'une base de ressources abondante et stable. Le coût du risque, bien que fourni dans les données (ratio élevé), doit être interprété avec prudence : les rapports trimestriels (T1 2026, T3 2025) mentionnent une baisse significative du coût du risque (-34% au S1 2025), ce qui suggère une amélioration de la qualité du portefeuille. Les rapports narratifs confirment cette dynamique : au T1 2026 (rapport du 31/12/2026), le PNB progresse de +4% à 27,7 Mds FCFA et le résultat net bondit de +11% à 15,2 Mds FCFA, avec des dépôts en hausse de +9% (1 495 Mds FCFA) et des crédits en progression de +7% (1 112 Mds FCFA). Sur la base de ces tendances trimestrielles, on peut estimer que l'exercice 2026 devrait enregistrer un PNB annuel autour de 113-115 Mds FCFA et un résultat net de l'ordre de 60-62 Mds FCFA, soit une croissance de 8-10% par rapport à 2025. Le rapport annuel 2024 (date : 31/12/2024) indiquait déjà un ROE de 30,56% et un dividende brut de 375 FCFA/action (rendement ~10,55% sur la base du cours de fin 2024), confirmant la générosité de la politique de distribution. La structure financière reste solide avec une autonomie financière de 10,88% (faible mais normale pour une banque, dont le modèle repose sur le levier des dépôts) et un ratio de solvabilité confortable (&gt;14% selon le rapport 2024). En synthèse, la SIBC affiche des fondamentaux de premier ordre : croissance régulière, rentabilité exceptionnelle, efficacité opérationnelle et solidité du bilan. Les principaux risques résident dans la dépendance à l'économie ivoirienne, la concurrence accrue (fintechs, banques panafricaines) et la sensibilité aux taux d'intérêt. La recommandation fondamentale est **ACHAT** pour un investisseur de long terme, avec une surveillance trimestrielle des indicateurs clés (coût du risque, croissance du PNB, digitalisation).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précédentes et des prédictions IA conduit à une recommandation nuancée. **Valorisation (Partie 0)** : le PER de 16,2x, le P/B de 4,40x et l'EV/EBITDA de 15,0x indiquent une valorisation exigeante, intégrant déjà la prime de qualité de la SIBC — le titre n'est pas sous-évalué, mais il n'est pas non plus en zone de bulle manifeste. **Comportement du cours (Partie 1)** : la tendance haussière de +23,63% sur 100 jours est impressionnante, mais le skewness négatif (-1,545) et le kurtosis leptokurtique (1,287) suggèrent que le titre a connu des pics de volatilité et pourrait être sujet à des corrections brutales ; la volatilité annualisée de 31,2% est élevée. **Signaux techniques (Partie 2)** : divergence entre la structure haussière des moyennes mobiles et le momentum baissier du MACD, avec un RSI et un stochastique neutres — le marché est en phase de consolidation, sans direction claire à court terme. **Fondamentaux (Partie 3)** : la solidité financière est incontestable (ROE 27,16%, marge nette 51,19%, coefficient d'exploitation 38,59%), et les rapports trimestriels (T1 2026, T3 2025) confirment une croissance à deux chiffres du résultat net (+11% au T1 2026), ce qui devrait soutenir le titre à moyen terme. **Prédictions IA (J+1 à J+10)** : la trajectoire prévue est baissière, passant de 8 937 FCFA (J+1) à 8 691 FCFA (J+10), soit une baisse de -2,7% — cette prédiction contredit la tendance haussière de fond mais s'aligne sur le momentum baissier du MACD et la position du cours sous les moyennes mobiles. **Recommandation finale : CONSERVER** — la convergence entre une valorisation exigeante, des signaux techniques mitigés et des fondamentaux solides mais déjà bien intégrés dans les cours justifie une position d'attente. Le niveau de confiance est **Moyen** (les fondamentaux sont solides mais la technique est incertaine), le niveau de risque global est **Moyen** (volatilité élevée mais bilan robuste), et l'horizon d'investissement optimal est **moyen terme (3-12 mois)** , en attendant une correction vers 8 700-8 800 FCFA pour renforcer la position ou une confirmation de la reprise technique au-dessus de 9 143 FCFA (MM20). Pour les investisseurs déjà positionnés, la conservation est recommandée pour bénéficier de la croissance régulière et du dividende attractif ; pour les nouveaux entrants, une attente de clarification technique ou de publication des résultats semestriels 2026 est conseillée avant d'acheter.</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β=-1.0095 (Contre-cyclique) — Cov=-0.000038, Var(idx)=0.000037, ρ=-0.168, n=91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2026-09-28</w:t>
            </w:r>
          </w:p>
        </w:tc>
        <w:tc>
          <w:tcPr>
            <w:tcW w:type="dxa" w:w="1440"/>
            <w:shd w:fill="FFDCE0" w:val="clear"/>
          </w:tcPr>
          <w:p>
            <w:r>
              <w:rPr>
                <w:sz w:val="17"/>
              </w:rPr>
              <w:t>5,771</w:t>
            </w:r>
          </w:p>
        </w:tc>
        <w:tc>
          <w:tcPr>
            <w:tcW w:type="dxa" w:w="1440"/>
            <w:shd w:fill="FFDCE0" w:val="clear"/>
          </w:tcPr>
          <w:p>
            <w:r>
              <w:rPr>
                <w:b/>
                <w:sz w:val="17"/>
              </w:rPr>
              <w:t>7,347</w:t>
            </w:r>
          </w:p>
        </w:tc>
        <w:tc>
          <w:tcPr>
            <w:tcW w:type="dxa" w:w="1440"/>
            <w:shd w:fill="FFDCE0" w:val="clear"/>
          </w:tcPr>
          <w:p>
            <w:r>
              <w:rPr>
                <w:sz w:val="17"/>
              </w:rPr>
              <w:t>8,922</w:t>
            </w:r>
          </w:p>
        </w:tc>
        <w:tc>
          <w:tcPr>
            <w:tcW w:type="dxa" w:w="1440"/>
            <w:shd w:fill="FFDCE0" w:val="clear"/>
          </w:tcPr>
          <w:p>
            <w:r>
              <w:rPr>
                <w:b/>
                <w:color w:val="C00000"/>
                <w:sz w:val="17"/>
              </w:rPr>
              <w:t>-12.5%</w:t>
            </w:r>
          </w:p>
        </w:tc>
      </w:tr>
      <w:tr>
        <w:tc>
          <w:tcPr>
            <w:tcW w:type="dxa" w:w="1440"/>
            <w:shd w:fill="FFDCE0" w:val="clear"/>
          </w:tcPr>
          <w:p>
            <w:r>
              <w:rPr>
                <w:sz w:val="17"/>
              </w:rPr>
              <w:t>J+2  ⭐</w:t>
            </w:r>
          </w:p>
        </w:tc>
        <w:tc>
          <w:tcPr>
            <w:tcW w:type="dxa" w:w="1440"/>
            <w:shd w:fill="FFDCE0" w:val="clear"/>
          </w:tcPr>
          <w:p>
            <w:r>
              <w:rPr>
                <w:sz w:val="17"/>
              </w:rPr>
              <w:t>2026-09-29</w:t>
            </w:r>
          </w:p>
        </w:tc>
        <w:tc>
          <w:tcPr>
            <w:tcW w:type="dxa" w:w="1440"/>
            <w:shd w:fill="FFDCE0" w:val="clear"/>
          </w:tcPr>
          <w:p>
            <w:r>
              <w:rPr>
                <w:sz w:val="17"/>
              </w:rPr>
              <w:t>5,603</w:t>
            </w:r>
          </w:p>
        </w:tc>
        <w:tc>
          <w:tcPr>
            <w:tcW w:type="dxa" w:w="1440"/>
            <w:shd w:fill="FFDCE0" w:val="clear"/>
          </w:tcPr>
          <w:p>
            <w:r>
              <w:rPr>
                <w:b/>
                <w:sz w:val="17"/>
              </w:rPr>
              <w:t>7,239</w:t>
            </w:r>
          </w:p>
        </w:tc>
        <w:tc>
          <w:tcPr>
            <w:tcW w:type="dxa" w:w="1440"/>
            <w:shd w:fill="FFDCE0" w:val="clear"/>
          </w:tcPr>
          <w:p>
            <w:r>
              <w:rPr>
                <w:sz w:val="17"/>
              </w:rPr>
              <w:t>8,876</w:t>
            </w:r>
          </w:p>
        </w:tc>
        <w:tc>
          <w:tcPr>
            <w:tcW w:type="dxa" w:w="1440"/>
            <w:shd w:fill="FFDCE0" w:val="clear"/>
          </w:tcPr>
          <w:p>
            <w:r>
              <w:rPr>
                <w:b/>
                <w:color w:val="C00000"/>
                <w:sz w:val="17"/>
              </w:rPr>
              <w:t>-13.8%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ACTION SICC (SICOR)**</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SICC s'établit à 5,04 milliards FCFA, un niveau modeste à l'échelle de la BRVM qui la classe parmi les petites capitalisations du compartiment agro-industriel. Les ratios de valorisation boursière (BPA, PER, P/B, EV/EBITDA) ne sont pas calculables en l'absence de données financières structurées exploitables dans la base de données de référence, ce qui limite la comparaison directe avec la moyenne du marché (PER BRVM ~8-12x). Toutefois, en croisant le résultat net 2023 de 19,25 millions FCFA (rapport MISTRAL du 15/03/2026) avec le nombre d'actions implicite (capital social de 1,5 milliard FCFA), on peut estimer un BPA très faible et un PER élevé, suggérant que le marché valorise davantage le potentiel de redressement que les bénéfices actuels. Le P/B apparaît également tendu au regard des capitaux propres, ce qui traduit une anticipation haussière des investisseurs sur le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SICC affiche une progression spectaculaire de +95,35%, portée par un fort engouement spéculatif, même si la dernière séance (J-1) marque une légère correction de -1,12% à 8 400 FCFA. Le range de trading est très large, avec un plus haut à 10 200 FCFA et un plus bas à 3 985 FCFA, soit un écart de plus de 155% entre les deux extrêmes, témoignant d'une tendance nettement haussière mais extrêmement volatile. Les statistiques descriptives révèlent une moyenne de 5 815 FCFA nettement supérieure à la médiane de 5 022 FCFA, confirmant une distribution asymétrique avec des pics haussiers marqués ; le mode à 4 380 FCFA indique que le cours a longtemps stagné avant son envolée récente. L'écart-type de 1 813 FCFA (CV=31,2%) traduit une dispersion élevée du cours, tandis que le kurtosis de -0,630 (mésokurtique) suggère une distribution proche de la normale sans pics extrêmes excessifs, et le skewness de +0,913 (asymétrie positive) indique davantage de journées sous la moyenne que de journées exceptionnellement haussières. Avec une volatilité annualisée de 58,2%, le titre se situe largement au-dessus du seuil de 30%, ce qui le classe parmi les valeurs à volatilité élevée, adaptées aux profils d'investisseurs agressifs.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(8 472,25 FCFA) et la MM50 (7 205,0 FCFA) se situent toutes deux sous le cours actuel (8 400 FCFA), avec la MM20 au-dessus de la MM50, configurant un croisement haussier classique. Cette configuration confirme la dynamique positive de court et moyen terme, justifiant la décision technique d'**Achat**.</w:t>
      </w:r>
    </w:p>
    <w:p>
      <w:pPr>
        <w:spacing w:after="120" w:line="276" w:lineRule="auto"/>
      </w:pPr>
      <w:r>
        <w:t>**Bandes de Bollinger** : Le cours (8 400 FCFA) évolue à l'intérieur des bandes, entre la borne inférieure (7 354,78 FCFA) et la borne supérieure (9 589,72 FCFA), sans franchissement des extrêmes. Cette position médiane, couplée à un écart-type élevé, traduit une volatilité soutenue mais sans signal directionnel fort, d'où la décision **Neutre**.</w:t>
      </w:r>
    </w:p>
    <w:p>
      <w:pPr>
        <w:spacing w:after="120" w:line="276" w:lineRule="auto"/>
      </w:pPr>
      <w:r>
        <w:t>**MACD** : La valeur du MACD (274,14) est inférieure à son signal (366,43), générant un croisement baissier qui indique un essoufflement du momentum haussier. Cette divergence négative, bien que modérée, justifie la décision de **Vente** à court terme.</w:t>
      </w:r>
    </w:p>
    <w:p>
      <w:pPr>
        <w:spacing w:after="120" w:line="276" w:lineRule="auto"/>
      </w:pPr>
      <w:r>
        <w:t>**RSI** : À 61,16, le RSI se situe dans la zone neutre haute (30-70), sans atteindre le seuil de surachat (70). Le titre conserve donc un potentiel haussier résiduel, mais la proximité de la zone de surachat incite à la prudence, d'où la décision **Neutre**.</w:t>
      </w:r>
    </w:p>
    <w:p>
      <w:pPr>
        <w:spacing w:after="120" w:line="276" w:lineRule="auto"/>
      </w:pPr>
      <w:r>
        <w:t>**Stochastique** : Le %K (85,71) et le %D (94,76) évoluent tous deux en zone de surachat (&gt;80), avec un %K sous le %D signalant un possible croisement baissier imminent. Cette configuration surachetée justifie pleinement la décision de **Vente**.</w:t>
      </w:r>
    </w:p>
    <w:p>
      <w:pPr>
        <w:spacing w:after="120" w:line="276" w:lineRule="auto"/>
      </w:pPr>
      <w:r>
        <w:t>**Conclusion technique** : Les indicateurs sont divergents : les moyennes mobiles restent haussières, mais le MACD et le stochastique émettent des signaux baissiers, tandis que le RSI et les Bollinger sont neutres. Cette divergence suggère une phase de consolidation ou de correction à court terme après la forte hausse, avec un risque de repli vers la MM20 (8 472 FCFA) voire la borne inférieure des Bollinger (7 355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L'analyse fondamentale de SICOR s'appuie sur les rapports officiels disponibles, dont les plus récents portent sur l'exercice 2024 (rapport GEMINI-VISION du 06/09/2026) et l'exercice 2023 (rapport MISTRAL du 15/03/2026). En 2023, le chiffre d'affaires s'est établi à 701,09 millions FCFA, en baisse de 38,4% par rapport aux 1 138,17 millions FCFA de 2022, reflétant un effondrement des ventes d'huile de coprah (-98,82%) et de tourteaux (-86,03%), partiellement compensé par la stabilité des ventes de noix de coco (326,00 M FCFA). Malgré cette contraction, le résultat net est redevenu positif à +19,25 millions FCFA en 2023, contre une perte de -39,95 millions FCFA en 2022, grâce à une réduction drastique des charges totales (-43,68%) et au transfert de 50% du personnel vers la filiale SIPAL. La marge nette reste toutefois faible à 2,75%, très inférieure à la moyenne sectorielle (5-10%), et les pertes cumulées de 689,86 millions FCFA empêchent toute distribution de dividende, conformément à l'Acte Uniforme OHADA. L'évolution historique montre une forte volatilité des résultats : bénéfice de 119,23 M FCFA en 2021, perte de 39,95 M FCFA en 2022, puis redressement fragile en 2023, tandis que le rapport 2024 (GEMINI-VISION) confirme la poursuite de la reprise sans fournir de chiffres détaillés. Les risques opérationnels demeurent élevés (vols de noix de coco, arrêt du site de Boulay, dépendance aux cours mondiaux du coprah), tout comme les risques financiers (découverts bancaires multipliés par 14, trésorerie tendue). En synthèse, la situation fondamentale reste fragile mais en amélioration progressive, avec une recommandation de **CONSERVER** sous surveillance renforcée.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boursière de SICC (Partie 0) apparaît tendue, avec une capitalisation de 5,04 Mds FCFA pour un résultat net de seulement 19,25 M FCFA en 2023, suggérant un PER très élevé et une anticipation optimiste du marché. Le comportement du cours (Partie 1) est exceptionnellement haussier (+95,35% sur 100 jours) mais accompagné d'une volatilité annualisée de 58,2% et d'une asymétrie positive (skewness +0,913), signalant un risque de correction après l'envolée. Les signaux techniques (Partie 2) sont divergents : les moyennes mobiles restent haussières, mais le MACD et le stochastique émettent des signaux baissiers, plaidant pour une consolidation à court terme. Les fondamentaux (Partie 3) montrent un redressement fragile (retour à la profitabilité en 2023, confirmation en 2024) mais des pertes cumulées élevées et une absence de dividende qui limitent l'attractivité. Les prédictions IA (J+1 à J+10) anticipent une baisse vers 7 347 FCFA puis 7 239 FCFA, confirmant la thèse d'une correction imminente après la forte hausse. Sur la base de cette synthèse, la recommandation finale est **CONSERVER** avec un niveau de confiance **Moyen** et un risque global **Élevé**, en raison de la divergence entre la dynamique haussière passée et les signaux baissiers actuels. L'horizon d'investissement optimal est **court terme (&lt;3 mois)** pour les traders cherchant à profiter de la volatilité, tandis que les investisseurs long terme devront attendre une confirmation durable du redressement fondamental avant tout renforcement.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"Bénéfice en hausse mais de moindre qualité : chute du chiffre d'affaires et de l'EBE, résultat porté par des reprises de provisions non récurrentes. À conserver en surveillant le retour de la dynamique commerciale."}</w:t>
      </w:r>
    </w:p>
    <w:p>
      <w:pPr>
        <w:spacing w:before="40"/>
        <w:ind w:left="400"/>
      </w:pPr>
      <w:r>
        <w:rPr>
          <w:sz w:val="18"/>
        </w:rPr>
        <w:t>SICOR poursuit sur un bénéfice net de 119,2 M FCFA en 2021 (contre 109,8 M en 2020), mais la qualité du résultat se dégrade : le chiffre d'affaires chute de 41 % à 1,38 Md et l'EBE recule à 165 M. Le bénéfice est en réalité soutenu par un résultat financier exceptionnellement positif (+66 M, reprises de provisions financières). Le report à nouveau s'améliore (-769 M) et la trésorerie nette se redresse fortement (-6 M contre -47 M). Bénéfice en partie en trompe-l'oeil.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'164 millions FCFA', 'resultat_financier': '+66 millions FCFA (reprises de provisions)', 'resultat_exploitation': '53 millions FCFA', 'excedent_brut_exploitation': '165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8,63 %</w:t>
            </w:r>
          </w:p>
        </w:tc>
        <w:tc>
          <w:tcPr>
            <w:tcW w:type="dxa" w:w="2160"/>
          </w:tcPr>
          <w:p>
            <w:pPr>
              <w:ind w:left="100"/>
            </w:pPr>
            <w:r/>
            <w:r>
              <w:rPr>
                <w:b/>
                <w:sz w:val="16"/>
              </w:rPr>
              <w:t>total_actif</w:t>
              <w:br/>
            </w:r>
            <w:r>
              <w:rPr>
                <w:sz w:val="18"/>
              </w:rPr>
              <w:t>4,15 milliards FCFA</w:t>
            </w:r>
          </w:p>
        </w:tc>
      </w:tr>
      <w:tr>
        <w:tc>
          <w:tcPr>
            <w:tcW w:type="dxa" w:w="2160"/>
          </w:tcPr>
          <w:p>
            <w:r/>
            <w:r>
              <w:rPr>
                <w:b/>
                <w:sz w:val="16"/>
              </w:rPr>
              <w:t>resultat_net</w:t>
              <w:br/>
            </w:r>
            <w:r>
              <w:rPr>
                <w:sz w:val="18"/>
              </w:rPr>
              <w:t>119,2 millions FCFA (bénéfice)</w:t>
            </w:r>
          </w:p>
        </w:tc>
        <w:tc>
          <w:tcPr>
            <w:tcW w:type="dxa" w:w="2160"/>
          </w:tcPr>
          <w:p>
            <w:r/>
            <w:r>
              <w:rPr>
                <w:b/>
                <w:sz w:val="16"/>
              </w:rPr>
              <w:t>capitaux_propres</w:t>
              <w:br/>
            </w:r>
            <w:r>
              <w:rPr>
                <w:sz w:val="18"/>
              </w:rPr>
              <w:t>3,12 milliards FCFA</w:t>
            </w:r>
          </w:p>
        </w:tc>
        <w:tc>
          <w:tcPr>
            <w:tcW w:type="dxa" w:w="2160"/>
          </w:tcPr>
          <w:p>
            <w:r/>
            <w:r>
              <w:rPr>
                <w:b/>
                <w:sz w:val="16"/>
              </w:rPr>
              <w:t>chiffre_affaires</w:t>
              <w:br/>
            </w:r>
            <w:r>
              <w:rPr>
                <w:sz w:val="18"/>
              </w:rPr>
              <w:t>1,38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 1,38 Md FCFA (-41 %)</w:t>
      </w:r>
    </w:p>
    <w:p>
      <w:pPr>
        <w:pStyle w:val="ListBullet"/>
        <w:spacing w:before="20" w:after="20"/>
        <w:ind w:left="700"/>
      </w:pPr>
      <w:r>
        <w:rPr>
          <w:sz w:val="18"/>
        </w:rPr>
        <w:t>EBE en recul à 165 M FCFA</w:t>
      </w:r>
    </w:p>
    <w:p>
      <w:pPr>
        <w:pStyle w:val="ListBullet"/>
        <w:spacing w:before="20" w:after="20"/>
        <w:ind w:left="700"/>
      </w:pPr>
      <w:r>
        <w:rPr>
          <w:sz w:val="18"/>
        </w:rPr>
        <w:t>Bénéfice net 119,2 M FCFA (contre 109,8 M en 2020)</w:t>
      </w:r>
    </w:p>
    <w:p>
      <w:pPr>
        <w:pStyle w:val="ListBullet"/>
        <w:spacing w:before="20" w:after="20"/>
        <w:ind w:left="700"/>
      </w:pPr>
      <w:r>
        <w:rPr>
          <w:sz w:val="18"/>
        </w:rPr>
        <w:t>Résultat soutenu par un résultat financier de +66 M (reprises de provisions), non récurrent</w:t>
      </w:r>
    </w:p>
    <w:p>
      <w:pPr>
        <w:pStyle w:val="ListBullet"/>
        <w:spacing w:before="20" w:after="20"/>
        <w:ind w:left="700"/>
      </w:pPr>
      <w:r>
        <w:rPr>
          <w:sz w:val="18"/>
        </w:rPr>
        <w:t>Report à nouveau en amélioration : -769 M FCFA</w:t>
      </w:r>
    </w:p>
    <w:p>
      <w:pPr>
        <w:pStyle w:val="ListBullet"/>
        <w:spacing w:before="20" w:after="20"/>
        <w:ind w:left="700"/>
      </w:pPr>
      <w:r>
        <w:rPr>
          <w:sz w:val="18"/>
        </w:rPr>
        <w:t>Trésorerie nette quasi rétablie : -6 M (contre -47 M)</w:t>
      </w:r>
    </w:p>
    <w:p>
      <w:pPr>
        <w:spacing w:before="40"/>
        <w:ind w:left="400"/>
      </w:pPr>
      <w:r>
        <w:rPr>
          <w:b/>
          <w:color w:val="C05000"/>
          <w:sz w:val="18"/>
        </w:rPr>
        <w:t xml:space="preserve">⚠️ Risques : </w:t>
      </w:r>
      <w:r>
        <w:rPr>
          <w:sz w:val="18"/>
        </w:rPr>
        <w:t>["Chute du chiffre d'affaires (-41 %) et de l'EBE", "Bénéfice dépendant d'éléments financiers non récurrents (+66 M de reprises)", "Report à nouveau encore négatif (-769 M)", "Volatilité forte de l'activité"]</w:t>
      </w:r>
    </w:p>
    <w:p>
      <w:pPr>
        <w:spacing w:before="40"/>
        <w:ind w:left="400"/>
      </w:pPr>
      <w:r>
        <w:rPr>
          <w:b/>
          <w:color w:val="0064A0"/>
          <w:sz w:val="18"/>
        </w:rPr>
        <w:t xml:space="preserve">🔮 Perspectives : </w:t>
      </w:r>
      <w:r>
        <w:rPr>
          <w:sz w:val="18"/>
        </w:rPr>
        <w:t>Le redressement de la trésorerie est net, mais la baisse du chiffre d'affaires et de l'excédent brut d'exploitation fragilise la rentabilité de fond. Le maintien du bénéfice dépendra d'un rebond des volumes plutôt que d'éléments financiers exceptionnels.</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17.47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5,638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B40000"/>
                <w:sz w:val="17"/>
              </w:rPr>
              <w:t>-27.93%</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11.31% (Moyenne) — μ=2,471 FCFA, σ=279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β=0.4989 (Défensif) — Cov=0.000034, Var(idx)=0.000069, ρ=0.127,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σ_j=3.27%/j (Modérée) — Vol. annualisée≈51.9%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1,928</w:t>
            </w:r>
          </w:p>
        </w:tc>
        <w:tc>
          <w:tcPr>
            <w:tcW w:type="dxa" w:w="1440"/>
            <w:shd w:fill="FAFAFA" w:val="clear"/>
          </w:tcPr>
          <w:p>
            <w:r>
              <w:rPr>
                <w:b/>
                <w:sz w:val="17"/>
              </w:rPr>
              <w:t>2,011</w:t>
            </w:r>
          </w:p>
        </w:tc>
        <w:tc>
          <w:tcPr>
            <w:tcW w:type="dxa" w:w="1440"/>
            <w:shd w:fill="FAFAFA" w:val="clear"/>
          </w:tcPr>
          <w:p>
            <w:r>
              <w:rPr>
                <w:sz w:val="17"/>
              </w:rPr>
              <w:t>2,093</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1,884</w:t>
            </w:r>
          </w:p>
        </w:tc>
        <w:tc>
          <w:tcPr>
            <w:tcW w:type="dxa" w:w="1440"/>
            <w:shd w:fill="FAFAFA" w:val="clear"/>
          </w:tcPr>
          <w:p>
            <w:r>
              <w:rPr>
                <w:b/>
                <w:sz w:val="17"/>
              </w:rPr>
              <w:t>2,000</w:t>
            </w:r>
          </w:p>
        </w:tc>
        <w:tc>
          <w:tcPr>
            <w:tcW w:type="dxa" w:w="1440"/>
            <w:shd w:fill="FAFAFA" w:val="clear"/>
          </w:tcPr>
          <w:p>
            <w:r>
              <w:rPr>
                <w:sz w:val="17"/>
              </w:rPr>
              <w:t>2,116</w:t>
            </w:r>
          </w:p>
        </w:tc>
        <w:tc>
          <w:tcPr>
            <w:tcW w:type="dxa" w:w="1440"/>
            <w:shd w:fill="FAFAFA" w:val="clear"/>
          </w:tcPr>
          <w:p>
            <w:r>
              <w:rPr>
                <w:b/>
                <w:color w:val="C00000"/>
                <w:sz w:val="17"/>
              </w:rPr>
              <w:t>-0.0%</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1,848</w:t>
            </w:r>
          </w:p>
        </w:tc>
        <w:tc>
          <w:tcPr>
            <w:tcW w:type="dxa" w:w="1440"/>
            <w:shd w:fill="FAFAFA" w:val="clear"/>
          </w:tcPr>
          <w:p>
            <w:r>
              <w:rPr>
                <w:b/>
                <w:sz w:val="17"/>
              </w:rPr>
              <w:t>1,990</w:t>
            </w:r>
          </w:p>
        </w:tc>
        <w:tc>
          <w:tcPr>
            <w:tcW w:type="dxa" w:w="1440"/>
            <w:shd w:fill="FAFAFA" w:val="clear"/>
          </w:tcPr>
          <w:p>
            <w:r>
              <w:rPr>
                <w:sz w:val="17"/>
              </w:rPr>
              <w:t>2,132</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1,818</w:t>
            </w:r>
          </w:p>
        </w:tc>
        <w:tc>
          <w:tcPr>
            <w:tcW w:type="dxa" w:w="1440"/>
            <w:shd w:fill="FAFAFA" w:val="clear"/>
          </w:tcPr>
          <w:p>
            <w:r>
              <w:rPr>
                <w:b/>
                <w:sz w:val="17"/>
              </w:rPr>
              <w:t>1,981</w:t>
            </w:r>
          </w:p>
        </w:tc>
        <w:tc>
          <w:tcPr>
            <w:tcW w:type="dxa" w:w="1440"/>
            <w:shd w:fill="FAFAFA" w:val="clear"/>
          </w:tcPr>
          <w:p>
            <w:r>
              <w:rPr>
                <w:sz w:val="17"/>
              </w:rPr>
              <w:t>2,143</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1,791</w:t>
            </w:r>
          </w:p>
        </w:tc>
        <w:tc>
          <w:tcPr>
            <w:tcW w:type="dxa" w:w="1440"/>
            <w:shd w:fill="FAFAFA" w:val="clear"/>
          </w:tcPr>
          <w:p>
            <w:r>
              <w:rPr>
                <w:b/>
                <w:sz w:val="17"/>
              </w:rPr>
              <w:t>1,972</w:t>
            </w:r>
          </w:p>
        </w:tc>
        <w:tc>
          <w:tcPr>
            <w:tcW w:type="dxa" w:w="1440"/>
            <w:shd w:fill="FAFAFA" w:val="clear"/>
          </w:tcPr>
          <w:p>
            <w:r>
              <w:rPr>
                <w:sz w:val="17"/>
              </w:rPr>
              <w:t>2,153</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1,765</w:t>
            </w:r>
          </w:p>
        </w:tc>
        <w:tc>
          <w:tcPr>
            <w:tcW w:type="dxa" w:w="1440"/>
            <w:shd w:fill="FAFAFA" w:val="clear"/>
          </w:tcPr>
          <w:p>
            <w:r>
              <w:rPr>
                <w:b/>
                <w:sz w:val="17"/>
              </w:rPr>
              <w:t>1,963</w:t>
            </w:r>
          </w:p>
        </w:tc>
        <w:tc>
          <w:tcPr>
            <w:tcW w:type="dxa" w:w="1440"/>
            <w:shd w:fill="FAFAFA" w:val="clear"/>
          </w:tcPr>
          <w:p>
            <w:r>
              <w:rPr>
                <w:sz w:val="17"/>
              </w:rPr>
              <w:t>2,160</w:t>
            </w:r>
          </w:p>
        </w:tc>
        <w:tc>
          <w:tcPr>
            <w:tcW w:type="dxa" w:w="1440"/>
            <w:shd w:fill="FAFAFA" w:val="clear"/>
          </w:tcPr>
          <w:p>
            <w:r>
              <w:rPr>
                <w:b/>
                <w:color w:val="C00000"/>
                <w:sz w:val="17"/>
              </w:rPr>
              <w:t>-1.9%</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1,742</w:t>
            </w:r>
          </w:p>
        </w:tc>
        <w:tc>
          <w:tcPr>
            <w:tcW w:type="dxa" w:w="1440"/>
            <w:shd w:fill="FFDCE0" w:val="clear"/>
          </w:tcPr>
          <w:p>
            <w:r>
              <w:rPr>
                <w:b/>
                <w:sz w:val="17"/>
              </w:rPr>
              <w:t>1,954</w:t>
            </w:r>
          </w:p>
        </w:tc>
        <w:tc>
          <w:tcPr>
            <w:tcW w:type="dxa" w:w="1440"/>
            <w:shd w:fill="FFDCE0" w:val="clear"/>
          </w:tcPr>
          <w:p>
            <w:r>
              <w:rPr>
                <w:sz w:val="17"/>
              </w:rPr>
              <w:t>2,167</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1,720</w:t>
            </w:r>
          </w:p>
        </w:tc>
        <w:tc>
          <w:tcPr>
            <w:tcW w:type="dxa" w:w="1440"/>
            <w:shd w:fill="FFDCE0" w:val="clear"/>
          </w:tcPr>
          <w:p>
            <w:r>
              <w:rPr>
                <w:b/>
                <w:sz w:val="17"/>
              </w:rPr>
              <w:t>1,946</w:t>
            </w:r>
          </w:p>
        </w:tc>
        <w:tc>
          <w:tcPr>
            <w:tcW w:type="dxa" w:w="1440"/>
            <w:shd w:fill="FFDCE0" w:val="clear"/>
          </w:tcPr>
          <w:p>
            <w:r>
              <w:rPr>
                <w:sz w:val="17"/>
              </w:rPr>
              <w:t>2,172</w:t>
            </w:r>
          </w:p>
        </w:tc>
        <w:tc>
          <w:tcPr>
            <w:tcW w:type="dxa" w:w="1440"/>
            <w:shd w:fill="FFDCE0" w:val="clear"/>
          </w:tcPr>
          <w:p>
            <w:r>
              <w:rPr>
                <w:b/>
                <w:color w:val="C00000"/>
                <w:sz w:val="17"/>
              </w:rPr>
              <w:t>-2.7%</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1,699</w:t>
            </w:r>
          </w:p>
        </w:tc>
        <w:tc>
          <w:tcPr>
            <w:tcW w:type="dxa" w:w="1440"/>
            <w:shd w:fill="FFDCE0" w:val="clear"/>
          </w:tcPr>
          <w:p>
            <w:r>
              <w:rPr>
                <w:b/>
                <w:sz w:val="17"/>
              </w:rPr>
              <w:t>1,937</w:t>
            </w:r>
          </w:p>
        </w:tc>
        <w:tc>
          <w:tcPr>
            <w:tcW w:type="dxa" w:w="1440"/>
            <w:shd w:fill="FFDCE0" w:val="clear"/>
          </w:tcPr>
          <w:p>
            <w:r>
              <w:rPr>
                <w:sz w:val="17"/>
              </w:rPr>
              <w:t>2,176</w:t>
            </w:r>
          </w:p>
        </w:tc>
        <w:tc>
          <w:tcPr>
            <w:tcW w:type="dxa" w:w="1440"/>
            <w:shd w:fill="FFDCE0" w:val="clear"/>
          </w:tcPr>
          <w:p>
            <w:r>
              <w:rPr>
                <w:b/>
                <w:color w:val="C00000"/>
                <w:sz w:val="17"/>
              </w:rPr>
              <w:t>-3.1%</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1,678</w:t>
            </w:r>
          </w:p>
        </w:tc>
        <w:tc>
          <w:tcPr>
            <w:tcW w:type="dxa" w:w="1440"/>
            <w:shd w:fill="FFDCE0" w:val="clear"/>
          </w:tcPr>
          <w:p>
            <w:r>
              <w:rPr>
                <w:b/>
                <w:sz w:val="17"/>
              </w:rPr>
              <w:t>1,929</w:t>
            </w:r>
          </w:p>
        </w:tc>
        <w:tc>
          <w:tcPr>
            <w:tcW w:type="dxa" w:w="1440"/>
            <w:shd w:fill="FFDCE0" w:val="clear"/>
          </w:tcPr>
          <w:p>
            <w:r>
              <w:rPr>
                <w:sz w:val="17"/>
              </w:rPr>
              <w:t>2,180</w:t>
            </w:r>
          </w:p>
        </w:tc>
        <w:tc>
          <w:tcPr>
            <w:tcW w:type="dxa" w:w="1440"/>
            <w:shd w:fill="FFDCE0" w:val="clear"/>
          </w:tcPr>
          <w:p>
            <w:r>
              <w:rPr>
                <w:b/>
                <w:color w:val="C00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 📊 RAPPORT D'ANALYSE FINANCIÈRE — SIVC / ERIUM CÔTE D'IVOIRE (BRVM)</w:t>
      </w:r>
    </w:p>
    <w:p>
      <w:pPr>
        <w:spacing w:after="120" w:line="276" w:lineRule="auto"/>
      </w:pPr>
      <w:r>
        <w:t>**Secteur :** Gaz industriels / Équipements industriels (données comptables classées "BANQUE" par la base, à interpréter avec prudence)</w:t>
        <w:br/>
        <w:t>**Cours de référence :** 2 000 FCFA | **Capitalisation :** 17,47 Mds FCFA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SIVC s'établit à **17,47 Mds FCFA**, un niveau modeste à l'échelle de la BRVM qui la place dans la catégorie des valeurs moyennes à faible liquidité. Le **BPA de 43 FCFA/action** signifie que chaque titre génère théoriquement 43 FCFA de bénéfice net, un niveau faible au regard du cours. Le **PER de 46,3x** est très élevé comparé à la moyenne BRVM (~8-12x) : les investisseurs paient environ 46 fois les bénéfices, ce qui traduit soit une anticipation de forte croissance, soit une surévaluation manifeste — la prudence est de mise. Le **P/B de 5,34x** indique que le marché valorise la société à plus de 5 fois sa valeur comptable, une prime exigeante rarement justifiée hors croissance exceptionnelle. Enfin, l'**EV/EBITDA de 15,1x** confirme que la valeur totale de l'entreprise (dette incluse) est chèrement valorisée par rapport à sa capacité opérationnelle, signal d'une valorisation tendue sur tous les fronts.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SIVC a enregistré une **chute spectaculaire de -27,93%**, avec une dernière séance particulièrement violente à **-4,31%**, confirmant une pression vendeuse persistante. Le range de trading s'étend de **2 875 FCFA (plus haut)** à **1 920 FCFA (plus bas)**, soit un écart de près de 50% entre les extrêmes, et le cours actuel (2 000 FCFA) évolue dangereusement près du plancher, à seulement 4% au-dessus du plus bas. La tendance générale est clairement **baissière**, le titre ayant perdu plus du quart de sa valeur en un trimestre. Les statistiques descriptives révèlent une **moyenne de 2 471 FCFA** nettement supérieure à la **médiane de 2 400 FCFA**, signe d'une distribution légèrement tirée vers le haut par les niveaux antérieurs élevés, tandis que le **mode à 2 000 FCFA** coïncide avec le cours actuel, suggérant un palier de stabilisation possible. L'**écart-type de 281 FCFA (CV=11,4%)** traduit une dispersion modérée du cours autour de sa moyenne, mais la **volatilité annualisée de 51,9%** classe le titre en catégorie **très volatile** (&gt;30%), exposant l'investisseur à des mouvements amples. Le **kurtosis de -1,242 (platykurtique)** indique une distribution aplatie avec un risque de pics extrêmes plus faible qu'une loi normale, tandis que le **skewness de 0,116** confirme une distribution quasi symétrique, sans biais directionnel marqué dans les rendements.</w:t>
      </w:r>
    </w:p>
    <w:p>
      <w:pPr>
        <w:spacing w:after="120" w:line="276" w:lineRule="auto"/>
      </w:pPr>
      <w:r>
        <w:t>---</w:t>
      </w:r>
    </w:p>
    <w:p>
      <w:pPr>
        <w:spacing w:after="120" w:line="276" w:lineRule="auto"/>
      </w:pPr>
      <w:r>
        <w:t>## PARTIE 2 : ANALYSE TECHNIQUE DÉTAILLÉE</w:t>
      </w:r>
    </w:p>
    <w:p>
      <w:pPr>
        <w:spacing w:after="120" w:line="276" w:lineRule="auto"/>
      </w:pPr>
      <w:r>
        <w:t>**Moyennes Mobiles :** La MM20 (2 247,5 FCFA) et la MM50 (2 274,9 FCFA) se situent toutes deux **au-dessus du cours actuel** (2 000 FCFA), avec la MM20 légèrement sous la MM50 — configuration baissière classique. Le cours évoluant sous ses deux moyennes, la pression vendeuse domine et la décision technique **"Vente"** est pleinement justifiée.</w:t>
      </w:r>
    </w:p>
    <w:p>
      <w:pPr>
        <w:spacing w:after="120" w:line="276" w:lineRule="auto"/>
      </w:pPr>
      <w:r>
        <w:t>**Bandes de Bollinger :** Le cours (2 000 FCFA) évolue dans la partie basse du canal, proche de la borne inférieure (1 953,07 FCFA) et loin de la borne supérieure (2 541,93 FCFA). L'écart entre les bornes (~589 FCFA) traduit une volatilité encore élevée, mais la décision **"Neutre"** suggère que le titre approche d'une zone de survente technique où un rebond pourrait se dessiner.</w:t>
      </w:r>
    </w:p>
    <w:p>
      <w:pPr>
        <w:spacing w:after="120" w:line="276" w:lineRule="auto"/>
      </w:pPr>
      <w:r>
        <w:t>**MACD :** La valeur du MACD (-81,177) est **nettement inférieure à son signal** (-48,058), avec un histogramme négatif et creusé, confirmant un momentum baissier toujours actif. La décision **"Vente"** reflète l'absence de retournement tant que le MACD ne croise pas son signal à la hausse.</w:t>
      </w:r>
    </w:p>
    <w:p>
      <w:pPr>
        <w:spacing w:after="120" w:line="276" w:lineRule="auto"/>
      </w:pPr>
      <w:r>
        <w:t>**RSI :** À **26,627**, le RSI se situe en zone de **survente** (&lt;30), signalant que le titre a été excessivement vendu à court terme. La décision **"Achat"** traduit une opportunité technique de rebond, mais un RSI en survente dans une tendance baissière peut persister.</w:t>
      </w:r>
    </w:p>
    <w:p>
      <w:pPr>
        <w:spacing w:after="120" w:line="276" w:lineRule="auto"/>
      </w:pPr>
      <w:r>
        <w:t>**Stochastique :** Le %K (0,0) et le %D (7,5) sont **au plancher absolu**, avec un %K sous le %D — configuration extrême de survente. La décision **"Achat"** indique qu'un croisement haussier du %K au-dessus du %D pourrait déclencher un rebond technique.</w:t>
      </w:r>
    </w:p>
    <w:p>
      <w:pPr>
        <w:spacing w:after="120" w:line="276" w:lineRule="auto"/>
      </w:pPr>
      <w:r>
        <w:t>**Conclusion technique :** Les indicateurs sont **partagés** : les moyennes mobiles et le MACD confirment la tendance baissière de fond, tandis que le RSI et le stochastique signalent une survente extrême propice à un rebond technique à court terme. Les Bandes de Bollinger en position neutre renforcent l'idée d'une zone de retournement potentiel. Le titre se trouve à un **point d'inflexion critique** : soit un rebond technique se matérialise depuis la survente, soit la pression baissière reprend et casse le support des 1 920 FCFA.</w:t>
      </w:r>
    </w:p>
    <w:p>
      <w:pPr>
        <w:spacing w:after="120" w:line="276" w:lineRule="auto"/>
      </w:pPr>
      <w:r>
        <w:t>---</w:t>
      </w:r>
    </w:p>
    <w:p>
      <w:pPr>
        <w:spacing w:after="120" w:line="276" w:lineRule="auto"/>
      </w:pPr>
      <w:r>
        <w:t>## PARTIE 3 : ANALYSE FONDAMENTALE (SECTION CRITIQUE)</w:t>
      </w:r>
    </w:p>
    <w:p>
      <w:pPr>
        <w:spacing w:after="120" w:line="276" w:lineRule="auto"/>
      </w:pPr>
      <w:r>
        <w:t>Les états financiers structurés de l'exercice **2024** affichent un **chiffre d'affaires de 9,283 Mds FCFA**, un **résultat net de 376,96 M FCFA** (marge nette 4,06%), un **ROE de 11,52%** (correct mais sous le seuil d'excellence de 15%) et un **ROA de 2,69%** (faible, traduisant une rentabilité des actifs limitée). Le coefficient d'exploitation de **95,83%** est très élevé — bien au-dessus du seuil de 60% — signalant une structure de coûts lourde et une efficacité opérationnelle insuffisante ; le coût du risque de 3,10% reste contenu. La structure financière est **fragile** : autonomie financière de 23,34% (&lt;30%), ratio d'endettement de 80,09%, trésorerie nette négative de -2,143 Mds FCFA et liquidité générale de 61,93% (&lt;1). Le rapport annuel daté du **31/12/2025** (analysé le 29/06/2026) révèle une **dégradation brutale** : le CA progresse de +8,53% à **10,075 Mds FCFA**, mais le **résultat net chute de -52,4% à 179,29 M FCFA**, la marge nette s'effondrant à **1,78%** et le résultat financier passant d'un gain à une perte de -114 M FCFA. Les rapports trimestriels 2025 (S1 certifié au 30/06/2025, T3 au 30/09/2025) dessinent toutefois une **nette embellie** : le CA S1 atteint 4 897,5 M FCFA (+8,8%) avec un résultat net de 512,9 M FCFA (+4,6%) et une marge nette de 10,5% ; le cumul à fin septembre grimpe à 7 584,7 M FCFA (+13%) pour un résultat net de **832,5 M FCFA (+58%)** et une marge nette de 11,0%. **On estime donc** que l'exercice 2025 devrait clôturer sur un résultat net nettement supérieur à celui de 2024, potentiellement autour de 900 M-1 Md FCFA si la dynamique se maintient — ce qui contredirait la lecture du rapport annuel 2025 (179 M FCFA), probablement affecté par des éléments non récurrents ou une confusion de périmètre. Le communiqué du **21/11/2025** signale par ailleurs un **changement majeur d'actionnariat** : Air Liquide International a cédé 100% de sa participation (72,08%) à ERIUM LTD au cours de 230 FCFA/action, un prix très inférieur au cours actuel de 2 000 FCFA. **Recommandation fondamentale : CONSERVER avec surveillance renforcée** — la croissance du CA est réelle et les trimestriels 2025 sont encourageants, mais la volatilité du résultat net, la trésorerie négative et le changement de contrôle imposent la prudence.</w:t>
      </w:r>
    </w:p>
    <w:p>
      <w:pPr>
        <w:spacing w:after="120" w:line="276" w:lineRule="auto"/>
      </w:pPr>
      <w:r>
        <w:t>---</w:t>
      </w:r>
    </w:p>
    <w:p>
      <w:pPr>
        <w:spacing w:after="120" w:line="276" w:lineRule="auto"/>
      </w:pPr>
      <w:r>
        <w:t>## PARTIE 4 : CONCLUSION D'INVESTISSEMENT</w:t>
      </w:r>
    </w:p>
    <w:p>
      <w:pPr>
        <w:spacing w:after="120" w:line="276" w:lineRule="auto"/>
      </w:pPr>
      <w:r>
        <w:t>La **valorisation** (Partie 0) est manifestement **surévaluée** : PER de 46,3x, P/B de 5,34x et EV/EBITDA de 15,1x dépassent largement les normes BRVM, sans justification par les bénéfices actuels. Le **comportement du cours** (Partie 1) est préoccupant — chute de -27,93%, volatilité annualisée de 51,9%, cours proche du plus bas — même si la distribution symétrique (skewness 0,116) et le kurtosis négatif (-1,242) limitent le risque de pics extrêmes. Les **signaux techniques** (Partie 2) sont **divergents** : MM et MACD baissiers, mais RSI (26,6) et stochastique (0,0) en survente extrême appellent un rebond. Les **fondamentaux** (Partie 3) présentent un paradoxe : dégradation du résultat net annuel 2024/2025 mais forte amélioration des trimestriels 2025 (résultat net +58% à fin septembre), avec une structure financière fragile (trésorerie nette -2,143 Mds FCFA) et un changement d'actionnaire de référence à un prix (230 FCFA) très éloigné du marché. Les **prédictions IA** (J+1 à J+10) anticipent une **poursuite baissière modérée** de 2 011 à 1 972 FCFA (-1,9% sur 10 jours), confirmant la tendance de fond mais sans effondrement. **Synthèse :** la convergence entre valorisation tendue, tendance baissière et prédictions négatives l'emporte sur le rebond technique potentiel. **Recommandation finale : CONSERVER** (pour les détenteurs) / **ATTENDRE** (pour les nouveaux entrants), avec un **niveau de confiance Moyen**, un **risque global Élevé** (volatilité 51,9%, trésorerie négative, gouvernance en transition) et un **horizon d'investissement moyen terme (3-12 mois)**, le temps que la nouvelle gouvernance ERIUM LTD clarifie sa stratégie et que les trimestriels 2026 confirment — ou infirment — la trajectoire de redressement de la rentabilité.</w:t>
      </w:r>
    </w:p>
    <w:p>
      <w:pPr>
        <w:spacing w:after="120" w:line="276" w:lineRule="auto"/>
      </w:pPr>
      <w:r>
        <w:t>---</w:t>
      </w:r>
    </w:p>
    <w:p>
      <w:pPr>
        <w:spacing w:after="120" w:line="276" w:lineRule="auto"/>
      </w:pPr>
      <w:r>
        <w:t>*Rapport généré le 27 septembre 2026 — Sources : BRVM (données de marché, états financiers 2024, rapports trimestriels 2025, communiqués officiels), analyses DeepSeek/Gemini-Vision. Ce document est informatif et ne constitue pas un conseil en investissement.*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625.51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1,358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007800"/>
                <w:sz w:val="17"/>
              </w:rPr>
              <w:t>+1.60%</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2.23% (Faible) — μ=38,272 FCFA, σ=855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β=0.0829 (Défensif) — Cov=0.000006, Var(idx)=0.000069, ρ=0.045,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37,854</w:t>
            </w:r>
          </w:p>
        </w:tc>
        <w:tc>
          <w:tcPr>
            <w:tcW w:type="dxa" w:w="1440"/>
            <w:shd w:fill="FAFAFA" w:val="clear"/>
          </w:tcPr>
          <w:p>
            <w:r>
              <w:rPr>
                <w:b/>
                <w:sz w:val="17"/>
              </w:rPr>
              <w:t>38,534</w:t>
            </w:r>
          </w:p>
        </w:tc>
        <w:tc>
          <w:tcPr>
            <w:tcW w:type="dxa" w:w="1440"/>
            <w:shd w:fill="FAFAFA" w:val="clear"/>
          </w:tcPr>
          <w:p>
            <w:r>
              <w:rPr>
                <w:sz w:val="17"/>
              </w:rPr>
              <w:t>39,213</w:t>
            </w:r>
          </w:p>
        </w:tc>
        <w:tc>
          <w:tcPr>
            <w:tcW w:type="dxa" w:w="1440"/>
            <w:shd w:fill="FAFAFA" w:val="clear"/>
          </w:tcPr>
          <w:p>
            <w:r>
              <w:rPr>
                <w:b/>
                <w:color w:val="008000"/>
                <w:sz w:val="17"/>
              </w:rPr>
              <w:t>+1.4%</w:t>
            </w:r>
          </w:p>
        </w:tc>
      </w:tr>
      <w:tr>
        <w:tc>
          <w:tcPr>
            <w:tcW w:type="dxa" w:w="1440"/>
            <w:shd w:fill="C6EFCE" w:val="clear"/>
          </w:tcPr>
          <w:p>
            <w:r>
              <w:rPr>
                <w:sz w:val="17"/>
              </w:rPr>
              <w:t>J+2  ⭐⭐⭐</w:t>
            </w:r>
          </w:p>
        </w:tc>
        <w:tc>
          <w:tcPr>
            <w:tcW w:type="dxa" w:w="1440"/>
            <w:shd w:fill="C6EFCE" w:val="clear"/>
          </w:tcPr>
          <w:p>
            <w:r>
              <w:rPr>
                <w:sz w:val="17"/>
              </w:rPr>
              <w:t>2026-09-29</w:t>
            </w:r>
          </w:p>
        </w:tc>
        <w:tc>
          <w:tcPr>
            <w:tcW w:type="dxa" w:w="1440"/>
            <w:shd w:fill="C6EFCE" w:val="clear"/>
          </w:tcPr>
          <w:p>
            <w:r>
              <w:rPr>
                <w:sz w:val="17"/>
              </w:rPr>
              <w:t>37,851</w:t>
            </w:r>
          </w:p>
        </w:tc>
        <w:tc>
          <w:tcPr>
            <w:tcW w:type="dxa" w:w="1440"/>
            <w:shd w:fill="C6EFCE" w:val="clear"/>
          </w:tcPr>
          <w:p>
            <w:r>
              <w:rPr>
                <w:b/>
                <w:sz w:val="17"/>
              </w:rPr>
              <w:t>38,819</w:t>
            </w:r>
          </w:p>
        </w:tc>
        <w:tc>
          <w:tcPr>
            <w:tcW w:type="dxa" w:w="1440"/>
            <w:shd w:fill="C6EFCE" w:val="clear"/>
          </w:tcPr>
          <w:p>
            <w:r>
              <w:rPr>
                <w:sz w:val="17"/>
              </w:rPr>
              <w:t>39,787</w:t>
            </w:r>
          </w:p>
        </w:tc>
        <w:tc>
          <w:tcPr>
            <w:tcW w:type="dxa" w:w="1440"/>
            <w:shd w:fill="C6EFCE" w:val="clear"/>
          </w:tcPr>
          <w:p>
            <w:r>
              <w:rPr>
                <w:b/>
                <w:color w:val="008000"/>
                <w:sz w:val="17"/>
              </w:rPr>
              <w:t>+2.2%</w:t>
            </w:r>
          </w:p>
        </w:tc>
      </w:tr>
      <w:tr>
        <w:tc>
          <w:tcPr>
            <w:tcW w:type="dxa" w:w="1440"/>
            <w:shd w:fill="C6EFCE" w:val="clear"/>
          </w:tcPr>
          <w:p>
            <w:r>
              <w:rPr>
                <w:sz w:val="17"/>
              </w:rPr>
              <w:t>J+3  ⭐⭐⭐</w:t>
            </w:r>
          </w:p>
        </w:tc>
        <w:tc>
          <w:tcPr>
            <w:tcW w:type="dxa" w:w="1440"/>
            <w:shd w:fill="C6EFCE" w:val="clear"/>
          </w:tcPr>
          <w:p>
            <w:r>
              <w:rPr>
                <w:sz w:val="17"/>
              </w:rPr>
              <w:t>2026-09-30</w:t>
            </w:r>
          </w:p>
        </w:tc>
        <w:tc>
          <w:tcPr>
            <w:tcW w:type="dxa" w:w="1440"/>
            <w:shd w:fill="C6EFCE" w:val="clear"/>
          </w:tcPr>
          <w:p>
            <w:r>
              <w:rPr>
                <w:sz w:val="17"/>
              </w:rPr>
              <w:t>37,961</w:t>
            </w:r>
          </w:p>
        </w:tc>
        <w:tc>
          <w:tcPr>
            <w:tcW w:type="dxa" w:w="1440"/>
            <w:shd w:fill="C6EFCE" w:val="clear"/>
          </w:tcPr>
          <w:p>
            <w:r>
              <w:rPr>
                <w:b/>
                <w:sz w:val="17"/>
              </w:rPr>
              <w:t>39,157</w:t>
            </w:r>
          </w:p>
        </w:tc>
        <w:tc>
          <w:tcPr>
            <w:tcW w:type="dxa" w:w="1440"/>
            <w:shd w:fill="C6EFCE" w:val="clear"/>
          </w:tcPr>
          <w:p>
            <w:r>
              <w:rPr>
                <w:sz w:val="17"/>
              </w:rPr>
              <w:t>40,353</w:t>
            </w:r>
          </w:p>
        </w:tc>
        <w:tc>
          <w:tcPr>
            <w:tcW w:type="dxa" w:w="1440"/>
            <w:shd w:fill="C6EFCE" w:val="clear"/>
          </w:tcPr>
          <w:p>
            <w:r>
              <w:rPr>
                <w:b/>
                <w:color w:val="008000"/>
                <w:sz w:val="17"/>
              </w:rPr>
              <w:t>+3.0%</w:t>
            </w:r>
          </w:p>
        </w:tc>
      </w:tr>
      <w:tr>
        <w:tc>
          <w:tcPr>
            <w:tcW w:type="dxa" w:w="1440"/>
            <w:shd w:fill="C6EFCE" w:val="clear"/>
          </w:tcPr>
          <w:p>
            <w:r>
              <w:rPr>
                <w:sz w:val="17"/>
              </w:rPr>
              <w:t>J+4  Moyenne</w:t>
            </w:r>
          </w:p>
        </w:tc>
        <w:tc>
          <w:tcPr>
            <w:tcW w:type="dxa" w:w="1440"/>
            <w:shd w:fill="C6EFCE" w:val="clear"/>
          </w:tcPr>
          <w:p>
            <w:r>
              <w:rPr>
                <w:sz w:val="17"/>
              </w:rPr>
              <w:t>2026-10-01</w:t>
            </w:r>
          </w:p>
        </w:tc>
        <w:tc>
          <w:tcPr>
            <w:tcW w:type="dxa" w:w="1440"/>
            <w:shd w:fill="C6EFCE" w:val="clear"/>
          </w:tcPr>
          <w:p>
            <w:r>
              <w:rPr>
                <w:sz w:val="17"/>
              </w:rPr>
              <w:t>38,104</w:t>
            </w:r>
          </w:p>
        </w:tc>
        <w:tc>
          <w:tcPr>
            <w:tcW w:type="dxa" w:w="1440"/>
            <w:shd w:fill="C6EFCE" w:val="clear"/>
          </w:tcPr>
          <w:p>
            <w:r>
              <w:rPr>
                <w:b/>
                <w:sz w:val="17"/>
              </w:rPr>
              <w:t>39,497</w:t>
            </w:r>
          </w:p>
        </w:tc>
        <w:tc>
          <w:tcPr>
            <w:tcW w:type="dxa" w:w="1440"/>
            <w:shd w:fill="C6EFCE" w:val="clear"/>
          </w:tcPr>
          <w:p>
            <w:r>
              <w:rPr>
                <w:sz w:val="17"/>
              </w:rPr>
              <w:t>40,890</w:t>
            </w:r>
          </w:p>
        </w:tc>
        <w:tc>
          <w:tcPr>
            <w:tcW w:type="dxa" w:w="1440"/>
            <w:shd w:fill="C6EFCE" w:val="clear"/>
          </w:tcPr>
          <w:p>
            <w:r>
              <w:rPr>
                <w:b/>
                <w:color w:val="008000"/>
                <w:sz w:val="17"/>
              </w:rPr>
              <w:t>+3.9%</w:t>
            </w:r>
          </w:p>
        </w:tc>
      </w:tr>
      <w:tr>
        <w:tc>
          <w:tcPr>
            <w:tcW w:type="dxa" w:w="1440"/>
            <w:shd w:fill="C6EFCE" w:val="clear"/>
          </w:tcPr>
          <w:p>
            <w:r>
              <w:rPr>
                <w:sz w:val="17"/>
              </w:rPr>
              <w:t>J+5  Moyenne</w:t>
            </w:r>
          </w:p>
        </w:tc>
        <w:tc>
          <w:tcPr>
            <w:tcW w:type="dxa" w:w="1440"/>
            <w:shd w:fill="C6EFCE" w:val="clear"/>
          </w:tcPr>
          <w:p>
            <w:r>
              <w:rPr>
                <w:sz w:val="17"/>
              </w:rPr>
              <w:t>2026-10-02</w:t>
            </w:r>
          </w:p>
        </w:tc>
        <w:tc>
          <w:tcPr>
            <w:tcW w:type="dxa" w:w="1440"/>
            <w:shd w:fill="C6EFCE" w:val="clear"/>
          </w:tcPr>
          <w:p>
            <w:r>
              <w:rPr>
                <w:sz w:val="17"/>
              </w:rPr>
              <w:t>38,259</w:t>
            </w:r>
          </w:p>
        </w:tc>
        <w:tc>
          <w:tcPr>
            <w:tcW w:type="dxa" w:w="1440"/>
            <w:shd w:fill="C6EFCE" w:val="clear"/>
          </w:tcPr>
          <w:p>
            <w:r>
              <w:rPr>
                <w:b/>
                <w:sz w:val="17"/>
              </w:rPr>
              <w:t>39,830</w:t>
            </w:r>
          </w:p>
        </w:tc>
        <w:tc>
          <w:tcPr>
            <w:tcW w:type="dxa" w:w="1440"/>
            <w:shd w:fill="C6EFCE" w:val="clear"/>
          </w:tcPr>
          <w:p>
            <w:r>
              <w:rPr>
                <w:sz w:val="17"/>
              </w:rPr>
              <w:t>41,400</w:t>
            </w:r>
          </w:p>
        </w:tc>
        <w:tc>
          <w:tcPr>
            <w:tcW w:type="dxa" w:w="1440"/>
            <w:shd w:fill="C6EFCE" w:val="clear"/>
          </w:tcPr>
          <w:p>
            <w:r>
              <w:rPr>
                <w:b/>
                <w:color w:val="008000"/>
                <w:sz w:val="17"/>
              </w:rPr>
              <w:t>+4.8%</w:t>
            </w:r>
          </w:p>
        </w:tc>
      </w:tr>
      <w:tr>
        <w:tc>
          <w:tcPr>
            <w:tcW w:type="dxa" w:w="1440"/>
            <w:shd w:fill="C6EFCE" w:val="clear"/>
          </w:tcPr>
          <w:p>
            <w:r>
              <w:rPr>
                <w:sz w:val="17"/>
              </w:rPr>
              <w:t>J+6  Moyenne</w:t>
            </w:r>
          </w:p>
        </w:tc>
        <w:tc>
          <w:tcPr>
            <w:tcW w:type="dxa" w:w="1440"/>
            <w:shd w:fill="C6EFCE" w:val="clear"/>
          </w:tcPr>
          <w:p>
            <w:r>
              <w:rPr>
                <w:sz w:val="17"/>
              </w:rPr>
              <w:t>2026-10-05</w:t>
            </w:r>
          </w:p>
        </w:tc>
        <w:tc>
          <w:tcPr>
            <w:tcW w:type="dxa" w:w="1440"/>
            <w:shd w:fill="C6EFCE" w:val="clear"/>
          </w:tcPr>
          <w:p>
            <w:r>
              <w:rPr>
                <w:sz w:val="17"/>
              </w:rPr>
              <w:t>38,420</w:t>
            </w:r>
          </w:p>
        </w:tc>
        <w:tc>
          <w:tcPr>
            <w:tcW w:type="dxa" w:w="1440"/>
            <w:shd w:fill="C6EFCE" w:val="clear"/>
          </w:tcPr>
          <w:p>
            <w:r>
              <w:rPr>
                <w:b/>
                <w:sz w:val="17"/>
              </w:rPr>
              <w:t>40,154</w:t>
            </w:r>
          </w:p>
        </w:tc>
        <w:tc>
          <w:tcPr>
            <w:tcW w:type="dxa" w:w="1440"/>
            <w:shd w:fill="C6EFCE" w:val="clear"/>
          </w:tcPr>
          <w:p>
            <w:r>
              <w:rPr>
                <w:sz w:val="17"/>
              </w:rPr>
              <w:t>41,888</w:t>
            </w:r>
          </w:p>
        </w:tc>
        <w:tc>
          <w:tcPr>
            <w:tcW w:type="dxa" w:w="1440"/>
            <w:shd w:fill="C6EFCE" w:val="clear"/>
          </w:tcPr>
          <w:p>
            <w:r>
              <w:rPr>
                <w:b/>
                <w:color w:val="008000"/>
                <w:sz w:val="17"/>
              </w:rPr>
              <w:t>+5.7%</w:t>
            </w:r>
          </w:p>
        </w:tc>
      </w:tr>
      <w:tr>
        <w:tc>
          <w:tcPr>
            <w:tcW w:type="dxa" w:w="1440"/>
            <w:shd w:fill="C6EFCE" w:val="clear"/>
          </w:tcPr>
          <w:p>
            <w:r>
              <w:rPr>
                <w:sz w:val="17"/>
              </w:rPr>
              <w:t>J+7  Moyenne</w:t>
            </w:r>
          </w:p>
        </w:tc>
        <w:tc>
          <w:tcPr>
            <w:tcW w:type="dxa" w:w="1440"/>
            <w:shd w:fill="C6EFCE" w:val="clear"/>
          </w:tcPr>
          <w:p>
            <w:r>
              <w:rPr>
                <w:sz w:val="17"/>
              </w:rPr>
              <w:t>2026-10-06</w:t>
            </w:r>
          </w:p>
        </w:tc>
        <w:tc>
          <w:tcPr>
            <w:tcW w:type="dxa" w:w="1440"/>
            <w:shd w:fill="C6EFCE" w:val="clear"/>
          </w:tcPr>
          <w:p>
            <w:r>
              <w:rPr>
                <w:sz w:val="17"/>
              </w:rPr>
              <w:t>38,584</w:t>
            </w:r>
          </w:p>
        </w:tc>
        <w:tc>
          <w:tcPr>
            <w:tcW w:type="dxa" w:w="1440"/>
            <w:shd w:fill="C6EFCE" w:val="clear"/>
          </w:tcPr>
          <w:p>
            <w:r>
              <w:rPr>
                <w:b/>
                <w:sz w:val="17"/>
              </w:rPr>
              <w:t>40,472</w:t>
            </w:r>
          </w:p>
        </w:tc>
        <w:tc>
          <w:tcPr>
            <w:tcW w:type="dxa" w:w="1440"/>
            <w:shd w:fill="C6EFCE" w:val="clear"/>
          </w:tcPr>
          <w:p>
            <w:r>
              <w:rPr>
                <w:sz w:val="17"/>
              </w:rPr>
              <w:t>42,360</w:t>
            </w:r>
          </w:p>
        </w:tc>
        <w:tc>
          <w:tcPr>
            <w:tcW w:type="dxa" w:w="1440"/>
            <w:shd w:fill="C6EFCE" w:val="clear"/>
          </w:tcPr>
          <w:p>
            <w:r>
              <w:rPr>
                <w:b/>
                <w:color w:val="008000"/>
                <w:sz w:val="17"/>
              </w:rPr>
              <w:t>+6.5%</w:t>
            </w:r>
          </w:p>
        </w:tc>
      </w:tr>
      <w:tr>
        <w:tc>
          <w:tcPr>
            <w:tcW w:type="dxa" w:w="1440"/>
            <w:shd w:fill="C6EFCE" w:val="clear"/>
          </w:tcPr>
          <w:p>
            <w:r>
              <w:rPr>
                <w:sz w:val="17"/>
              </w:rPr>
              <w:t>J+8  Moyenne</w:t>
            </w:r>
          </w:p>
        </w:tc>
        <w:tc>
          <w:tcPr>
            <w:tcW w:type="dxa" w:w="1440"/>
            <w:shd w:fill="C6EFCE" w:val="clear"/>
          </w:tcPr>
          <w:p>
            <w:r>
              <w:rPr>
                <w:sz w:val="17"/>
              </w:rPr>
              <w:t>2026-10-07</w:t>
            </w:r>
          </w:p>
        </w:tc>
        <w:tc>
          <w:tcPr>
            <w:tcW w:type="dxa" w:w="1440"/>
            <w:shd w:fill="C6EFCE" w:val="clear"/>
          </w:tcPr>
          <w:p>
            <w:r>
              <w:rPr>
                <w:sz w:val="17"/>
              </w:rPr>
              <w:t>38,750</w:t>
            </w:r>
          </w:p>
        </w:tc>
        <w:tc>
          <w:tcPr>
            <w:tcW w:type="dxa" w:w="1440"/>
            <w:shd w:fill="C6EFCE" w:val="clear"/>
          </w:tcPr>
          <w:p>
            <w:r>
              <w:rPr>
                <w:b/>
                <w:sz w:val="17"/>
              </w:rPr>
              <w:t>40,784</w:t>
            </w:r>
          </w:p>
        </w:tc>
        <w:tc>
          <w:tcPr>
            <w:tcW w:type="dxa" w:w="1440"/>
            <w:shd w:fill="C6EFCE" w:val="clear"/>
          </w:tcPr>
          <w:p>
            <w:r>
              <w:rPr>
                <w:sz w:val="17"/>
              </w:rPr>
              <w:t>42,818</w:t>
            </w:r>
          </w:p>
        </w:tc>
        <w:tc>
          <w:tcPr>
            <w:tcW w:type="dxa" w:w="1440"/>
            <w:shd w:fill="C6EFCE" w:val="clear"/>
          </w:tcPr>
          <w:p>
            <w:r>
              <w:rPr>
                <w:b/>
                <w:color w:val="008000"/>
                <w:sz w:val="17"/>
              </w:rPr>
              <w:t>+7.3%</w:t>
            </w:r>
          </w:p>
        </w:tc>
      </w:tr>
      <w:tr>
        <w:tc>
          <w:tcPr>
            <w:tcW w:type="dxa" w:w="1440"/>
            <w:shd w:fill="C6EFCE" w:val="clear"/>
          </w:tcPr>
          <w:p>
            <w:r>
              <w:rPr>
                <w:sz w:val="17"/>
              </w:rPr>
              <w:t>J+9  Moyenne</w:t>
            </w:r>
          </w:p>
        </w:tc>
        <w:tc>
          <w:tcPr>
            <w:tcW w:type="dxa" w:w="1440"/>
            <w:shd w:fill="C6EFCE" w:val="clear"/>
          </w:tcPr>
          <w:p>
            <w:r>
              <w:rPr>
                <w:sz w:val="17"/>
              </w:rPr>
              <w:t>2026-10-08</w:t>
            </w:r>
          </w:p>
        </w:tc>
        <w:tc>
          <w:tcPr>
            <w:tcW w:type="dxa" w:w="1440"/>
            <w:shd w:fill="C6EFCE" w:val="clear"/>
          </w:tcPr>
          <w:p>
            <w:r>
              <w:rPr>
                <w:sz w:val="17"/>
              </w:rPr>
              <w:t>38,918</w:t>
            </w:r>
          </w:p>
        </w:tc>
        <w:tc>
          <w:tcPr>
            <w:tcW w:type="dxa" w:w="1440"/>
            <w:shd w:fill="C6EFCE" w:val="clear"/>
          </w:tcPr>
          <w:p>
            <w:r>
              <w:rPr>
                <w:b/>
                <w:sz w:val="17"/>
              </w:rPr>
              <w:t>41,091</w:t>
            </w:r>
          </w:p>
        </w:tc>
        <w:tc>
          <w:tcPr>
            <w:tcW w:type="dxa" w:w="1440"/>
            <w:shd w:fill="C6EFCE" w:val="clear"/>
          </w:tcPr>
          <w:p>
            <w:r>
              <w:rPr>
                <w:sz w:val="17"/>
              </w:rPr>
              <w:t>43,265</w:t>
            </w:r>
          </w:p>
        </w:tc>
        <w:tc>
          <w:tcPr>
            <w:tcW w:type="dxa" w:w="1440"/>
            <w:shd w:fill="C6EFCE" w:val="clear"/>
          </w:tcPr>
          <w:p>
            <w:r>
              <w:rPr>
                <w:b/>
                <w:color w:val="008000"/>
                <w:sz w:val="17"/>
              </w:rPr>
              <w:t>+8.1%</w:t>
            </w:r>
          </w:p>
        </w:tc>
      </w:tr>
      <w:tr>
        <w:tc>
          <w:tcPr>
            <w:tcW w:type="dxa" w:w="1440"/>
            <w:shd w:fill="C6EFCE" w:val="clear"/>
          </w:tcPr>
          <w:p>
            <w:r>
              <w:rPr>
                <w:sz w:val="17"/>
              </w:rPr>
              <w:t>J+10  Moyenne</w:t>
            </w:r>
          </w:p>
        </w:tc>
        <w:tc>
          <w:tcPr>
            <w:tcW w:type="dxa" w:w="1440"/>
            <w:shd w:fill="C6EFCE" w:val="clear"/>
          </w:tcPr>
          <w:p>
            <w:r>
              <w:rPr>
                <w:sz w:val="17"/>
              </w:rPr>
              <w:t>2026-10-09</w:t>
            </w:r>
          </w:p>
        </w:tc>
        <w:tc>
          <w:tcPr>
            <w:tcW w:type="dxa" w:w="1440"/>
            <w:shd w:fill="C6EFCE" w:val="clear"/>
          </w:tcPr>
          <w:p>
            <w:r>
              <w:rPr>
                <w:sz w:val="17"/>
              </w:rPr>
              <w:t>39,086</w:t>
            </w:r>
          </w:p>
        </w:tc>
        <w:tc>
          <w:tcPr>
            <w:tcW w:type="dxa" w:w="1440"/>
            <w:shd w:fill="C6EFCE" w:val="clear"/>
          </w:tcPr>
          <w:p>
            <w:r>
              <w:rPr>
                <w:b/>
                <w:sz w:val="17"/>
              </w:rPr>
              <w:t>41,395</w:t>
            </w:r>
          </w:p>
        </w:tc>
        <w:tc>
          <w:tcPr>
            <w:tcW w:type="dxa" w:w="1440"/>
            <w:shd w:fill="C6EFCE" w:val="clear"/>
          </w:tcPr>
          <w:p>
            <w:r>
              <w:rPr>
                <w:sz w:val="17"/>
              </w:rPr>
              <w:t>43,703</w:t>
            </w:r>
          </w:p>
        </w:tc>
        <w:tc>
          <w:tcPr>
            <w:tcW w:type="dxa" w:w="1440"/>
            <w:shd w:fill="C6EFCE" w:val="clear"/>
          </w:tcPr>
          <w:p>
            <w:r>
              <w:rPr>
                <w:b/>
                <w:color w:val="008000"/>
                <w:sz w:val="17"/>
              </w:rPr>
              <w:t>+8.9%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SOLIBRA (SLBC)**</w:t>
        <w:br/>
        <w:t>*Bourse Régionale des Valeurs Mobilières (BRVM) — Secteur : Entreprise (Boissons &amp; Limonaderies)*</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625,51 milliards FCFA, SOLIBRA s'impose comme l'une des plus importantes capitalisations de la BRVM, ce qui témoigne de son statut de valeur de premier plan sur le marché régional. Le BPA de 2 781 FCFA/action signifie que chaque titre génère près de 2 800 FCFA de bénéfice net, un niveau élevé qui traduit la forte rentabilité de l'entreprise. Le PER de 13,7x se situe légèrement au-dessus de la moyenne BRVM (8-12x), ce qui indique que les investisseurs acceptent de payer une prime modérée pour la qualité de la croissance et la solidité des fondamentaux, sans pour autant que le titre soit surévalué. Le P/B de 3,21x montre que le marché valorise SOLIBRA à plus de trois fois sa valeur comptable, une prime de croissance justifiée par un ROE de 23,46% et une dynamique commerciale soutenue. Enfin, l'EV/EBITDA de 7,4x, dans la fourchette raisonnable de 5-10x, suggère que la valeur totale de l'entreprise (incluant la dette) reste cohérente avec sa capacité opérationnelle à générer des liquidités.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 enregistré une variation totale de +1,60%, avec une dernière séance en hausse de +0,53%, s'établissant à 38 000 FCFA. Le titre a évolué dans un range relativement étroit entre un plus bas de 36 900 FCFA et un plus haut de 41 500 FCFA, traduisant une phase de consolidation plutôt qu'une tendance directionnelle marquée. La moyenne (38 272 FCFA) est légèrement supérieure à la médiane et au mode (tous deux à 38 000 FCFA), ce qui indique une distribution légèrement asymétrique avec quelques journées de hausse ponctuelle tirant la moyenne vers le haut. L'écart-type de 859 FCFA et le coefficient de variation de 2,2% révèlent une dispersion très faible du cours, signe d'une grande stabilité. Le kurtosis de 0,781 (mésokurtique) suggère une distribution proche de la normale, sans risque excessif de pics extrêmes, tandis que le skewness de 0,831 (asymétrie positive) indique davantage de journées sous la moyenne que de journées exceptionnellement haussières. La volatilité annualisée de 24,4% place le titre dans la catégorie des valeurs à volatilité modérée (15-30%), ce qui est cohérent avec un profil de valeur de rendement stable et peu spéculative.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(37 881 FCFA) et la MM50 (37 975,5 FCFA) se situent toutes deux en dessous du cours actuel (38 000 FCFA), mais leur proximité immédiate et le fait que la MM20 soit légèrement inférieure à la MM50 indiquent une configuration baissière naissante. La décision technique est à la **Vente**, le cours n'ayant pas réussi à s'affranchir durablement de ses moyennes.</w:t>
      </w:r>
    </w:p>
    <w:p>
      <w:pPr>
        <w:spacing w:after="120" w:line="276" w:lineRule="auto"/>
      </w:pPr>
      <w:r>
        <w:t>**Bandes de Bollinger** : Le cours actuel (38 000 FCFA) se situe à l'intérieur des bandes, entre la borne inférieure (37 403,79 FCFA) et la borne supérieure (38 358,21 FCFA), mais plus proche de la borne haute. L'étroitesse des bandes (moins de 1 000 FCFA d'écart) confirme une faible volatilité et une phase de compression, souvent précurseur d'un mouvement directionnel. La décision est **Neutre**, le cours n'étant ni suracheté ni survendu selon ce critère.</w:t>
      </w:r>
    </w:p>
    <w:p>
      <w:pPr>
        <w:spacing w:after="120" w:line="276" w:lineRule="auto"/>
      </w:pPr>
      <w:r>
        <w:t>**MACD** : La valeur du MACD (17,984) est nettement supérieure à son signal (-6,937), générant un croisement haussier et un momentum positif. Cette divergence positive indique que la dynamique de court terme s'améliore, justifiant une décision d'**Achat** sur ce seul indicateur.</w:t>
      </w:r>
    </w:p>
    <w:p>
      <w:pPr>
        <w:spacing w:after="120" w:line="276" w:lineRule="auto"/>
      </w:pPr>
      <w:r>
        <w:t>**RSI** : À 78,571, le RSI se situe largement au-dessus du seuil de surachat de 70, signalant que le titre a connu une progression rapide et pourrait être sujet à une correction ou à une consolidation. La décision est à la **Vente**, le risque de retournement à court terme étant élevé.</w:t>
      </w:r>
    </w:p>
    <w:p>
      <w:pPr>
        <w:spacing w:after="120" w:line="276" w:lineRule="auto"/>
      </w:pPr>
      <w:r>
        <w:t>**Stochastique** : Le %K (100,0) est au maximum de sa plage et nettement supérieur au %D (86,875), confirmant une position de surachat extrême. Le croisement potentiel à la baisse du %K sous le %D n'est pas encore effectif mais la configuration est clairement baissière à court terme. La décision est à la **Vente**.</w:t>
      </w:r>
    </w:p>
    <w:p>
      <w:pPr>
        <w:spacing w:after="120" w:line="276" w:lineRule="auto"/>
      </w:pPr>
      <w:r>
        <w:t>**Conclusion technique** : Les indicateurs techniques présentent une divergence notable. Le MACD est haussier, mais le RSI et le Stochastique sont en zone de surachat extrême, tandis que les moyennes mobiles et les Bandes de Bollinger suggèrent une absence de tendance claire. Cette configuration mixte plaide pour une **prudence à court terme**, avec un risque de consolidation voire de correction après la récente progression. La convergence des signaux de vente (RSI, Stochastique, MM) l'emporte sur le signal d'achat isolé du MACD.</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de l'exercice 2025 (source : brvm_donnees_financieres) révèlent une performance exceptionnelle pour SOLIBRA. Le chiffre d'affaires s'établit à **378,123 milliards FCFA**, en croissance de **+22,08%** par rapport à 2024, porté par une demande soutenue et une stratégie commerciale efficace. Le résultat net atteint **45,781 milliards FCFA**, soit une marge nette de **12,11%**, en forte amélioration par rapport aux 6,9% de 2024 (rapport MISTRAL du 15/03/2026). Le ROE de **23,46%** et le ROA de **13,48%** confirment une excellente rentabilité des fonds propres et des actifs, bien au-dessus des seuils de référence (&gt;15% pour le ROE). La structure financière est saine : l'autonomie financière de **57,48%** (capitaux propres/total bilan) et un ratio d'endettement de **42,52%** témoignent d'un bilan solide. Le BFR de **61,587 milliards FCFA** et le fonds de roulement de **83,689 milliards FCFA** indiquent une gestion équilibrée du cycle d'exploitation. Les délais clients (64,27 jours) et fournisseurs (76,82 jours) sont maîtrisés, bien que le délai de stockage élevé (117,32 jours) mérite une surveillance. Le rapport trimestriel T1 2026 (publié en 2026) confirme la dynamique avec un CA de **93,46 milliards FCFA** (+7,6%) et un résultat net de **16,26 milliards FCFA** (+4,8%), soit une marge nette de **17,4%**. Sur cette base, on estime que l'exercice 2026 devrait maintenir une croissance à deux chiffres, avec un résultat net potentiellement supérieur à **50 milliards FCFA**. La politique de dividende est très généreuse : le dividende proposé de **2 127 FCFA/action** (AGO du 05/06/2026) offre un rendement attractif de **5,6%** au cours actuel de 38 000 FCFA, avec un taux de distribution de **76,5%**. Les risques identifiés incluent la dépendance aux matières premières (90 milliards FCFA d'achats exposés à la volatilité des prix) et la concentration géographique sur le marché ivoirien. Néanmoins, la solidité du bilan, la position de leader et la dynamique commerciale justifient une recommandation fondamentale **positive**.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contrasté mais globalement favorable. La **valorisation (Partie 0)** est raisonnable : le PER de 13,7x et l'EV/EBITDA de 7,4x n'indiquent ni sous-évaluation flagrante ni surévaluation, tandis que le P/B de 3,21x reflète une prime de croissance justifiée par un ROE de 23,46%. Le **comportement du cours (Partie 1)** est celui d'une valeur stable (CV de 2,2%, volatilité modérée de 24,4%), avec une légère asymétrie positive et une absence de pics extrêmes (kurtosis mésokurtique), ce qui est rassurant pour un investisseur prudent. Les **signaux techniques (Partie 2)** sont mitigés : le MACD est haussier, mais le RSI (78,57) et le Stochastique (100,0) sont en zone de surachat extrême, et les moyennes mobiles sont baissières, suggérant une consolidation imminente. Les **fondamentaux (Partie 3)** sont excellents : croissance du CA de +22% en 2025, résultat net de 45,78 milliards FCFA, ROE de 23,46%, et perspectives 2026 favorables avec un T1 en hausse de +7,6%. Les **prédictions IA (J+1 à J+10)** anticipent une trajectoire haussière vers 39 830 FCFA d'ici le 2 octobre 2026, ce qui contredit les signaux techniques de surachat à court terme mais s'aligne sur la dynamique fondamentale. Compte tenu de cette convergence entre valorisation raisonnable, fondamentaux solides et perspectives positives, tempérée par des signaux techniques de surachat à court terme, la recommandation finale est **CONSERVER** avec un biais haussier. Le niveau de confiance est **Moyen** (les indicateurs techniques à court terme incitent à la prudence), et le niveau de risque global est **Faible** (volatilité modérée, bilan solide, dividende attractif). L'horizon d'investissement optimal est le **moyen terme (3-12 mois)**, le temps que la consolidation technique s'achève et que la croissance bénéficiaire se matérialise, avec un objectif de cours potentiel de **42 000-44 000 FCFA** à horizon 12 mois, soit un potentiel de +10% à +15% hors dividende.</w:t>
      </w:r>
    </w:p>
    <w:p>
      <w:pPr>
        <w:spacing w:after="120" w:line="276" w:lineRule="auto"/>
      </w:pPr>
      <w:r>
        <w:t>---</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123.24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1,630 titres</w:t>
            </w:r>
          </w:p>
        </w:tc>
        <w:tc>
          <w:tcPr>
            <w:tcW w:type="dxa" w:w="2268"/>
            <w:shd w:fill="FFF2CC" w:val="clear"/>
          </w:tcPr>
          <w:p>
            <w:r>
              <w:rPr>
                <w:b/>
                <w:color w:val="503200"/>
                <w:sz w:val="16"/>
              </w:rPr>
              <w:t xml:space="preserve">Cours actuel : </w:t>
            </w:r>
            <w:r>
              <w:rPr>
                <w:color w:val="000000"/>
                <w:sz w:val="17"/>
              </w:rPr>
              <w:t>15,810 FCFA</w:t>
            </w:r>
          </w:p>
          <w:p>
            <w:r>
              <w:rPr>
                <w:b/>
                <w:color w:val="503200"/>
                <w:sz w:val="16"/>
              </w:rPr>
              <w:t xml:space="preserve">Var. 100 jours : </w:t>
            </w:r>
            <w:r>
              <w:rPr>
                <w:b/>
                <w:color w:val="007800"/>
                <w:sz w:val="17"/>
              </w:rPr>
              <w:t>+36.35%</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11,500 FCFA</w:t>
            </w:r>
          </w:p>
          <w:p>
            <w:r>
              <w:rPr>
                <w:b/>
                <w:color w:val="503200"/>
                <w:sz w:val="16"/>
              </w:rPr>
              <w:t xml:space="preserve">Volatilité ann. : </w:t>
            </w:r>
            <w:r>
              <w:rPr>
                <w:color w:val="000000"/>
                <w:sz w:val="17"/>
              </w:rPr>
              <w:t>41.7%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11.56% (Moyenne) — μ=15,742 FCFA, σ=1,820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β=0.4924 (Défensif) — Cov=0.000034, Var(idx)=0.000069, ρ=0.156,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σ_j=2.63%/j (Stable) — Vol. annualisée≈41.7%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2026-09-28</w:t>
            </w:r>
          </w:p>
        </w:tc>
        <w:tc>
          <w:tcPr>
            <w:tcW w:type="dxa" w:w="1440"/>
            <w:shd w:fill="FFDCE0" w:val="clear"/>
          </w:tcPr>
          <w:p>
            <w:r>
              <w:rPr>
                <w:sz w:val="17"/>
              </w:rPr>
              <w:t>14,757</w:t>
            </w:r>
          </w:p>
        </w:tc>
        <w:tc>
          <w:tcPr>
            <w:tcW w:type="dxa" w:w="1440"/>
            <w:shd w:fill="FFDCE0" w:val="clear"/>
          </w:tcPr>
          <w:p>
            <w:r>
              <w:rPr>
                <w:b/>
                <w:sz w:val="17"/>
              </w:rPr>
              <w:t>15,414</w:t>
            </w:r>
          </w:p>
        </w:tc>
        <w:tc>
          <w:tcPr>
            <w:tcW w:type="dxa" w:w="1440"/>
            <w:shd w:fill="FFDCE0" w:val="clear"/>
          </w:tcPr>
          <w:p>
            <w:r>
              <w:rPr>
                <w:sz w:val="17"/>
              </w:rPr>
              <w:t>16,071</w:t>
            </w:r>
          </w:p>
        </w:tc>
        <w:tc>
          <w:tcPr>
            <w:tcW w:type="dxa" w:w="1440"/>
            <w:shd w:fill="FFDCE0" w:val="clear"/>
          </w:tcPr>
          <w:p>
            <w:r>
              <w:rPr>
                <w:b/>
                <w:color w:val="C00000"/>
                <w:sz w:val="17"/>
              </w:rPr>
              <w:t>-2.5%</w:t>
            </w:r>
          </w:p>
        </w:tc>
      </w:tr>
      <w:tr>
        <w:tc>
          <w:tcPr>
            <w:tcW w:type="dxa" w:w="1440"/>
            <w:shd w:fill="FFDCE0" w:val="clear"/>
          </w:tcPr>
          <w:p>
            <w:r>
              <w:rPr>
                <w:sz w:val="17"/>
              </w:rPr>
              <w:t>J+2  ⭐</w:t>
            </w:r>
          </w:p>
        </w:tc>
        <w:tc>
          <w:tcPr>
            <w:tcW w:type="dxa" w:w="1440"/>
            <w:shd w:fill="FFDCE0" w:val="clear"/>
          </w:tcPr>
          <w:p>
            <w:r>
              <w:rPr>
                <w:sz w:val="17"/>
              </w:rPr>
              <w:t>2026-09-29</w:t>
            </w:r>
          </w:p>
        </w:tc>
        <w:tc>
          <w:tcPr>
            <w:tcW w:type="dxa" w:w="1440"/>
            <w:shd w:fill="FFDCE0" w:val="clear"/>
          </w:tcPr>
          <w:p>
            <w:r>
              <w:rPr>
                <w:sz w:val="17"/>
              </w:rPr>
              <w:t>14,539</w:t>
            </w:r>
          </w:p>
        </w:tc>
        <w:tc>
          <w:tcPr>
            <w:tcW w:type="dxa" w:w="1440"/>
            <w:shd w:fill="FFDCE0" w:val="clear"/>
          </w:tcPr>
          <w:p>
            <w:r>
              <w:rPr>
                <w:b/>
                <w:sz w:val="17"/>
              </w:rPr>
              <w:t>15,472</w:t>
            </w:r>
          </w:p>
        </w:tc>
        <w:tc>
          <w:tcPr>
            <w:tcW w:type="dxa" w:w="1440"/>
            <w:shd w:fill="FFDCE0" w:val="clear"/>
          </w:tcPr>
          <w:p>
            <w:r>
              <w:rPr>
                <w:sz w:val="17"/>
              </w:rPr>
              <w:t>16,405</w:t>
            </w:r>
          </w:p>
        </w:tc>
        <w:tc>
          <w:tcPr>
            <w:tcW w:type="dxa" w:w="1440"/>
            <w:shd w:fill="FFDCE0" w:val="clear"/>
          </w:tcPr>
          <w:p>
            <w:r>
              <w:rPr>
                <w:b/>
                <w:color w:val="C00000"/>
                <w:sz w:val="17"/>
              </w:rPr>
              <w:t>-2.1%</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14,325</w:t>
            </w:r>
          </w:p>
        </w:tc>
        <w:tc>
          <w:tcPr>
            <w:tcW w:type="dxa" w:w="1440"/>
            <w:shd w:fill="FFDCE0" w:val="clear"/>
          </w:tcPr>
          <w:p>
            <w:r>
              <w:rPr>
                <w:b/>
                <w:sz w:val="17"/>
              </w:rPr>
              <w:t>15,467</w:t>
            </w:r>
          </w:p>
        </w:tc>
        <w:tc>
          <w:tcPr>
            <w:tcW w:type="dxa" w:w="1440"/>
            <w:shd w:fill="FFDCE0" w:val="clear"/>
          </w:tcPr>
          <w:p>
            <w:r>
              <w:rPr>
                <w:sz w:val="17"/>
              </w:rPr>
              <w:t>16,610</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14,143</w:t>
            </w:r>
          </w:p>
        </w:tc>
        <w:tc>
          <w:tcPr>
            <w:tcW w:type="dxa" w:w="1440"/>
            <w:shd w:fill="FFDCE0" w:val="clear"/>
          </w:tcPr>
          <w:p>
            <w:r>
              <w:rPr>
                <w:b/>
                <w:sz w:val="17"/>
              </w:rPr>
              <w:t>15,462</w:t>
            </w:r>
          </w:p>
        </w:tc>
        <w:tc>
          <w:tcPr>
            <w:tcW w:type="dxa" w:w="1440"/>
            <w:shd w:fill="FFDCE0" w:val="clear"/>
          </w:tcPr>
          <w:p>
            <w:r>
              <w:rPr>
                <w:sz w:val="17"/>
              </w:rPr>
              <w:t>16,781</w:t>
            </w:r>
          </w:p>
        </w:tc>
        <w:tc>
          <w:tcPr>
            <w:tcW w:type="dxa" w:w="1440"/>
            <w:shd w:fill="FFDCE0" w:val="clear"/>
          </w:tcPr>
          <w:p>
            <w:r>
              <w:rPr>
                <w:b/>
                <w:color w:val="C00000"/>
                <w:sz w:val="17"/>
              </w:rPr>
              <w:t>-2.2%</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13,985</w:t>
            </w:r>
          </w:p>
        </w:tc>
        <w:tc>
          <w:tcPr>
            <w:tcW w:type="dxa" w:w="1440"/>
            <w:shd w:fill="FFDCE0" w:val="clear"/>
          </w:tcPr>
          <w:p>
            <w:r>
              <w:rPr>
                <w:b/>
                <w:sz w:val="17"/>
              </w:rPr>
              <w:t>15,459</w:t>
            </w:r>
          </w:p>
        </w:tc>
        <w:tc>
          <w:tcPr>
            <w:tcW w:type="dxa" w:w="1440"/>
            <w:shd w:fill="FFDCE0" w:val="clear"/>
          </w:tcPr>
          <w:p>
            <w:r>
              <w:rPr>
                <w:sz w:val="17"/>
              </w:rPr>
              <w:t>16,933</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13,842</w:t>
            </w:r>
          </w:p>
        </w:tc>
        <w:tc>
          <w:tcPr>
            <w:tcW w:type="dxa" w:w="1440"/>
            <w:shd w:fill="FFDCE0" w:val="clear"/>
          </w:tcPr>
          <w:p>
            <w:r>
              <w:rPr>
                <w:b/>
                <w:sz w:val="17"/>
              </w:rPr>
              <w:t>15,457</w:t>
            </w:r>
          </w:p>
        </w:tc>
        <w:tc>
          <w:tcPr>
            <w:tcW w:type="dxa" w:w="1440"/>
            <w:shd w:fill="FFDCE0" w:val="clear"/>
          </w:tcPr>
          <w:p>
            <w:r>
              <w:rPr>
                <w:sz w:val="17"/>
              </w:rPr>
              <w:t>17,071</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13,710</w:t>
            </w:r>
          </w:p>
        </w:tc>
        <w:tc>
          <w:tcPr>
            <w:tcW w:type="dxa" w:w="1440"/>
            <w:shd w:fill="FFDCE0" w:val="clear"/>
          </w:tcPr>
          <w:p>
            <w:r>
              <w:rPr>
                <w:b/>
                <w:sz w:val="17"/>
              </w:rPr>
              <w:t>15,454</w:t>
            </w:r>
          </w:p>
        </w:tc>
        <w:tc>
          <w:tcPr>
            <w:tcW w:type="dxa" w:w="1440"/>
            <w:shd w:fill="FFDCE0" w:val="clear"/>
          </w:tcPr>
          <w:p>
            <w:r>
              <w:rPr>
                <w:sz w:val="17"/>
              </w:rPr>
              <w:t>17,197</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13,588</w:t>
            </w:r>
          </w:p>
        </w:tc>
        <w:tc>
          <w:tcPr>
            <w:tcW w:type="dxa" w:w="1440"/>
            <w:shd w:fill="FFDCE0" w:val="clear"/>
          </w:tcPr>
          <w:p>
            <w:r>
              <w:rPr>
                <w:b/>
                <w:sz w:val="17"/>
              </w:rPr>
              <w:t>15,451</w:t>
            </w:r>
          </w:p>
        </w:tc>
        <w:tc>
          <w:tcPr>
            <w:tcW w:type="dxa" w:w="1440"/>
            <w:shd w:fill="FFDCE0" w:val="clear"/>
          </w:tcPr>
          <w:p>
            <w:r>
              <w:rPr>
                <w:sz w:val="17"/>
              </w:rPr>
              <w:t>17,315</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13,472</w:t>
            </w:r>
          </w:p>
        </w:tc>
        <w:tc>
          <w:tcPr>
            <w:tcW w:type="dxa" w:w="1440"/>
            <w:shd w:fill="FFDCE0" w:val="clear"/>
          </w:tcPr>
          <w:p>
            <w:r>
              <w:rPr>
                <w:b/>
                <w:sz w:val="17"/>
              </w:rPr>
              <w:t>15,449</w:t>
            </w:r>
          </w:p>
        </w:tc>
        <w:tc>
          <w:tcPr>
            <w:tcW w:type="dxa" w:w="1440"/>
            <w:shd w:fill="FFDCE0" w:val="clear"/>
          </w:tcPr>
          <w:p>
            <w:r>
              <w:rPr>
                <w:sz w:val="17"/>
              </w:rPr>
              <w:t>17,425</w:t>
            </w:r>
          </w:p>
        </w:tc>
        <w:tc>
          <w:tcPr>
            <w:tcW w:type="dxa" w:w="1440"/>
            <w:shd w:fill="FFDCE0" w:val="clear"/>
          </w:tcPr>
          <w:p>
            <w:r>
              <w:rPr>
                <w:b/>
                <w:color w:val="C00000"/>
                <w:sz w:val="17"/>
              </w:rPr>
              <w:t>-2.3%</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13,363</w:t>
            </w:r>
          </w:p>
        </w:tc>
        <w:tc>
          <w:tcPr>
            <w:tcW w:type="dxa" w:w="1440"/>
            <w:shd w:fill="FFDCE0" w:val="clear"/>
          </w:tcPr>
          <w:p>
            <w:r>
              <w:rPr>
                <w:b/>
                <w:sz w:val="17"/>
              </w:rPr>
              <w:t>15,446</w:t>
            </w:r>
          </w:p>
        </w:tc>
        <w:tc>
          <w:tcPr>
            <w:tcW w:type="dxa" w:w="1440"/>
            <w:shd w:fill="FFDCE0" w:val="clear"/>
          </w:tcPr>
          <w:p>
            <w:r>
              <w:rPr>
                <w:sz w:val="17"/>
              </w:rPr>
              <w:t>17,529</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**RAPPORT D'ANALYSE FINANCIÈRE — SMBC (SOCIÉTÉ MULTINATIONALE DE BITUMES)**</w:t>
        <w:br/>
        <w:t>*Bourse Régionale des Valeurs Mobilières (BRVM) — Secteur : Entreprise non financière (Bitumes / Produits pétroliers)*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123,24 Mds FCFA, SMBC se positionne comme une valeur de taille intermédiaire sur la cote BRVM, suffisamment liquide pour intéresser les investisseurs institutionnels régionaux. Le BPA de 1 677 FCFA/action signifie que chaque titre génère près de 1 677 FCFA de bénéfice net, ce qui, rapporté au cours actuel de 15 810 FCFA, donne un PER de 9,4x — légèrement inférieur à la moyenne BRVM (8-12x), suggérant une valorisation raisonnable voire légèrement sous-évaluée au regard des bénéfices. Le P/B de 2,87x indique que le marché valorise l'action près de trois fois sa valeur comptable, traduisant une prime de croissance et de qualité accordée à l'entreprise. Enfin, l'EV/EBITDA de 5,9x, dans la fourchette raisonnable de 5-10x, montre que la valeur totale de l'entreprise (dette incluse) reste modérée par rapport à sa capacité opérationnelle à générer du cash, ce qui renforce le profil de valorisation attractif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SMBC affiche une progression spectaculaire de +36,35%, avec une dernière séance en forte hausse de +7,48%, confirmant un net regain d'intérêt des investisseurs. Le cours a évolué dans un range large de 11 500 FCFA (plus bas) à 18 500 FCFA (plus haut), soit une amplitude de 61%, avant de se stabiliser à 15 810 FCFA, légèrement en dessous de sa moyenne de 15 742 FCFA et de sa médiane de 16 272 FCFA. L'écart entre moyenne et médiane (530 FCFA) confirme une distribution asymétrique, cohérente avec le skewness négatif de -0,854 qui indique davantage de journées de cotation au-dessus de la moyenne, mais avec quelques séances de correction marquées. L'écart-type de 1 829 FCFA (CV de 11,6%) traduit une dispersion modérée du cours, tandis que le kurtosis de -0,334 (mésokurtique) suggère une distribution proche de la normale, sans risque excessif de pics extrêmes. La volatilité annualisée de 41,7% classe le titre dans la catégorie des valeurs à volatilité élevée (&gt;30%), ce qui implique un potentiel de gain attractif mais aussi un risque de correction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(17 130,25 FCFA) et la MM50 (16 624,0 FCFA) se situent toutes deux au-dessus du cours actuel (15 810 FCFA), ce qui place le titre en position baissière à court terme. Cependant, la MM20 reste supérieure à la MM50, signalant que la tendance de fond demeure haussière. La décision fournie est "Achat", probablement justifiée par le potentiel de rebond vers ces moyennes.</w:t>
      </w:r>
    </w:p>
    <w:p>
      <w:pPr>
        <w:spacing w:after="120" w:line="276" w:lineRule="auto"/>
      </w:pPr>
      <w:r>
        <w:t>**Bandes de Bollinger** : Le cours (15 810 FCFA) évolue dans la partie basse de la bande (borne inférieure à 14 903,625 FCFA, borne supérieure à 19 356,875 FCFA), sans atteindre la zone de survente. La décision "Neutre" reflète une absence de signal directionnel fort, avec une volatilité qui reste contenue dans les bandes.</w:t>
      </w:r>
    </w:p>
    <w:p>
      <w:pPr>
        <w:spacing w:after="120" w:line="276" w:lineRule="auto"/>
      </w:pPr>
      <w:r>
        <w:t>**MACD** : La valeur du MACD (-363,558) est nettement inférieure à son signal (-17,481), générant une divergence baissière marquée. Le momentum est clairement négatif, ce qui justifie la décision "Vente" et suggère une pression vendeuse persistante à court terme.</w:t>
      </w:r>
    </w:p>
    <w:p>
      <w:pPr>
        <w:spacing w:after="120" w:line="276" w:lineRule="auto"/>
      </w:pPr>
      <w:r>
        <w:t>**RSI** : À 35,656, le RSI se situe dans la zone neutre basse (30-70), sans atteindre la survente (&lt;30). La décision "Neutre" indique que le titre n'est ni suracheté ni survendu, laissant place à une possible stabilisation ou rebond.</w:t>
      </w:r>
    </w:p>
    <w:p>
      <w:pPr>
        <w:spacing w:after="120" w:line="276" w:lineRule="auto"/>
      </w:pPr>
      <w:r>
        <w:t>**Stochastique** : Le %K (29,024) est supérieur au %D (9,675), avec un croisement récent qui pourrait signaler un début de retournement haussier. La décision "Neutre" reste prudente, mais la configuration suggère une possible reprise à court terme.</w:t>
      </w:r>
    </w:p>
    <w:p>
      <w:pPr>
        <w:spacing w:after="120" w:line="276" w:lineRule="auto"/>
      </w:pPr>
      <w:r>
        <w:t>**Conclusion technique** : Les indicateurs sont globalement mitigés, avec une majorité de signaux neutres ou baissiers (MACD, position sous les MM), mais des signes de stabilisation (RSI, Stochastique). Le titre semble en phase de consolidation après sa forte hausse, avec un potentiel de rebond vers les 17 000 FCFA si les acheteurs reprennent la main.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SMBC affiche un chiffre d'affaires de 206,740 Mds FCFA, en baisse de 9,74% par rapport à 2024, reflétant un environnement de marché difficile marqué par la volatilité des prix pétroliers et un ralentissement des ventes à l'export. Malgré cette contraction, le résultat net progresse spectaculairement de +50,3% à 13,075 Mds FCFA, porté par une amélioration de la marge brute (18,11%) et une marge nette passant de 3,8% à 6,32%. Le ROE atteint 30,47%, bien au-dessus du seuil d'excellence de 15%, tandis que le ROA de 7,26% témoigne d'une utilisation efficace des actifs. La structure financière reste solide avec des capitaux propres de 42,913 Mds FCFA (+21,6%) et une trésorerie nette positive de 23,988 Mds FCFA, offrant une marge de manœuvre confortable. Cependant, le BFR de 1,693 Mds FCFA et le délai client élevé de 193,75 jours constituent un risque de trésorerie, bien que le délai fournisseur de 207,07 jours compense partiellement ce déséquilibre. Le ratio d'endettement de 76,16% et la dépendance financière de 21,45% restent modérés, avec une capacité de remboursement de 0,68 an (dette/CAF) très confortable. Les rapports trimestriels 2025 (T1, S1, 9M) confirment cette dynamique : au T1 2025, le CA chute de -22% mais le résultat net ne recule que de -7% grâce à l'amélioration des marges de raffinage ; au S1 2025, le CA baisse de -23% mais le résultat net ne recule que de -7% ; au 9M 2025, le CA baisse de -14% mais le résultat net progresse de +6%. On estime donc que l'exercice 2025 devrait se conclure sur un résultat net autour de 13 Mds FCFA, confirmant la résilience opérationnelle de l'entreprise. La recommandation fondamentale est de **CONSERVER** le titre, avec un potentiel d'achat si la croissance du CA reprend en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SMBC apparaît attractive avec un PER de 9,4x (légèrement sous la moyenne BRVM) et un EV/EBITDA de 5,9x, suggérant une sous-évaluation modérée malgré un P/B de 2,87x qui traduit une prime de qualité. Le comportement du cours sur 100 jours est haussier (+36,35%) mais avec une volatilité élevée (41,7%) et une asymétrie négative (skewness -0,854), ce qui implique un risque de correction à court terme, bien que la distribution mésokurtique (-0,334) limite le risque de pics extrêmes. Les signaux techniques sont mitigés : le MACD est baissier, le cours évolue sous ses moyennes mobiles, mais le RSI (35,66) et le Stochastique (%K &gt; %D) suggèrent une possible stabilisation, voire un rebond. Les fondamentaux sont solides : malgré une baisse du CA de -9,74% en 2025, le résultat net progresse de +50,3% à 13,075 Mds FCFA, le ROE atteint 30,47% et la trésorerie nette est positive à 23,988 Mds FCFA, confirmant la résilience de l'entreprise. Les prédictions IA pour les 10 prochains jours (15 414 FCFA à 15 459 FCFA) tablent sur une légère correction baissière (-2,2% par rapport au cours actuel), ce qui contredit le potentiel de rebond technique mais reste cohérent avec la pression baissière du MACD. Sur la base de cette synthèse, la recommandation finale est de **CONSERVER** le titre, avec un niveau de confiance **Moyen** et un risque global **Moyen**. L'horizon d'investissement optimal est le **moyen terme (3-12 mois)**, en attendant la confirmation d'une reprise du chiffre d'affaires et la concrétisation des investissements en cours. Un passage à l'achat serait justifié si le cours se stabilise au-dessus de 16 000 FCFA et que les prochains résultats trimestriels confirment l'amélioration des marges.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4250.00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11,813 titres</w:t>
            </w:r>
          </w:p>
        </w:tc>
        <w:tc>
          <w:tcPr>
            <w:tcW w:type="dxa" w:w="2268"/>
            <w:shd w:fill="FFF2CC" w:val="clear"/>
          </w:tcPr>
          <w:p>
            <w:r>
              <w:rPr>
                <w:b/>
                <w:color w:val="503200"/>
                <w:sz w:val="16"/>
              </w:rPr>
              <w:t xml:space="preserve">Cours actuel : </w:t>
            </w:r>
            <w:r>
              <w:rPr>
                <w:color w:val="000000"/>
                <w:sz w:val="17"/>
              </w:rPr>
              <w:t>42,500 FCFA</w:t>
            </w:r>
          </w:p>
          <w:p>
            <w:r>
              <w:rPr>
                <w:b/>
                <w:color w:val="503200"/>
                <w:sz w:val="16"/>
              </w:rPr>
              <w:t xml:space="preserve">Var. 100 jours : </w:t>
            </w:r>
            <w:r>
              <w:rPr>
                <w:b/>
                <w:color w:val="007800"/>
                <w:sz w:val="17"/>
              </w:rPr>
              <w:t>+46.55%</w:t>
            </w:r>
          </w:p>
          <w:p>
            <w:r>
              <w:rPr>
                <w:b/>
                <w:color w:val="503200"/>
                <w:sz w:val="16"/>
              </w:rPr>
              <w:t xml:space="preserve">Plus haut 100j : </w:t>
            </w:r>
            <w:r>
              <w:rPr>
                <w:color w:val="000000"/>
                <w:sz w:val="17"/>
              </w:rPr>
              <w:t>42,500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13.19% (Moyenne) — μ=32,157 FCFA, σ=4,241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β=1.2751 (Agressif) — Cov=0.000088, Var(idx)=0.000069, ρ=0.516,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11,813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σ_j=2.05%/j (Stable) — Vol. annualisée≈32.6%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2026-09-28</w:t>
            </w:r>
          </w:p>
        </w:tc>
        <w:tc>
          <w:tcPr>
            <w:tcW w:type="dxa" w:w="1440"/>
            <w:shd w:fill="FFDCE0" w:val="clear"/>
          </w:tcPr>
          <w:p>
            <w:r>
              <w:rPr>
                <w:sz w:val="17"/>
              </w:rPr>
              <w:t>39,441</w:t>
            </w:r>
          </w:p>
        </w:tc>
        <w:tc>
          <w:tcPr>
            <w:tcW w:type="dxa" w:w="1440"/>
            <w:shd w:fill="FFDCE0" w:val="clear"/>
          </w:tcPr>
          <w:p>
            <w:r>
              <w:rPr>
                <w:b/>
                <w:sz w:val="17"/>
              </w:rPr>
              <w:t>41,185</w:t>
            </w:r>
          </w:p>
        </w:tc>
        <w:tc>
          <w:tcPr>
            <w:tcW w:type="dxa" w:w="1440"/>
            <w:shd w:fill="FFDCE0" w:val="clear"/>
          </w:tcPr>
          <w:p>
            <w:r>
              <w:rPr>
                <w:sz w:val="17"/>
              </w:rPr>
              <w:t>42,928</w:t>
            </w:r>
          </w:p>
        </w:tc>
        <w:tc>
          <w:tcPr>
            <w:tcW w:type="dxa" w:w="1440"/>
            <w:shd w:fill="FFDCE0" w:val="clear"/>
          </w:tcPr>
          <w:p>
            <w:r>
              <w:rPr>
                <w:b/>
                <w:color w:val="C00000"/>
                <w:sz w:val="17"/>
              </w:rPr>
              <w:t>-3.1%</w:t>
            </w:r>
          </w:p>
        </w:tc>
      </w:tr>
      <w:tr>
        <w:tc>
          <w:tcPr>
            <w:tcW w:type="dxa" w:w="1440"/>
            <w:shd w:fill="FFDCE0" w:val="clear"/>
          </w:tcPr>
          <w:p>
            <w:r>
              <w:rPr>
                <w:sz w:val="17"/>
              </w:rPr>
              <w:t>J+2  ⭐</w:t>
            </w:r>
          </w:p>
        </w:tc>
        <w:tc>
          <w:tcPr>
            <w:tcW w:type="dxa" w:w="1440"/>
            <w:shd w:fill="FFDCE0" w:val="clear"/>
          </w:tcPr>
          <w:p>
            <w:r>
              <w:rPr>
                <w:sz w:val="17"/>
              </w:rPr>
              <w:t>2026-09-29</w:t>
            </w:r>
          </w:p>
        </w:tc>
        <w:tc>
          <w:tcPr>
            <w:tcW w:type="dxa" w:w="1440"/>
            <w:shd w:fill="FFDCE0" w:val="clear"/>
          </w:tcPr>
          <w:p>
            <w:r>
              <w:rPr>
                <w:sz w:val="17"/>
              </w:rPr>
              <w:t>38,701</w:t>
            </w:r>
          </w:p>
        </w:tc>
        <w:tc>
          <w:tcPr>
            <w:tcW w:type="dxa" w:w="1440"/>
            <w:shd w:fill="FFDCE0" w:val="clear"/>
          </w:tcPr>
          <w:p>
            <w:r>
              <w:rPr>
                <w:b/>
                <w:sz w:val="17"/>
              </w:rPr>
              <w:t>41,165</w:t>
            </w:r>
          </w:p>
        </w:tc>
        <w:tc>
          <w:tcPr>
            <w:tcW w:type="dxa" w:w="1440"/>
            <w:shd w:fill="FFDCE0" w:val="clear"/>
          </w:tcPr>
          <w:p>
            <w:r>
              <w:rPr>
                <w:sz w:val="17"/>
              </w:rPr>
              <w:t>43,629</w:t>
            </w:r>
          </w:p>
        </w:tc>
        <w:tc>
          <w:tcPr>
            <w:tcW w:type="dxa" w:w="1440"/>
            <w:shd w:fill="FFDCE0" w:val="clear"/>
          </w:tcPr>
          <w:p>
            <w:r>
              <w:rPr>
                <w:b/>
                <w:color w:val="C00000"/>
                <w:sz w:val="17"/>
              </w:rPr>
              <w:t>-3.1%</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38,048</w:t>
            </w:r>
          </w:p>
        </w:tc>
        <w:tc>
          <w:tcPr>
            <w:tcW w:type="dxa" w:w="1440"/>
            <w:shd w:fill="FFDCE0" w:val="clear"/>
          </w:tcPr>
          <w:p>
            <w:r>
              <w:rPr>
                <w:b/>
                <w:sz w:val="17"/>
              </w:rPr>
              <w:t>41,058</w:t>
            </w:r>
          </w:p>
        </w:tc>
        <w:tc>
          <w:tcPr>
            <w:tcW w:type="dxa" w:w="1440"/>
            <w:shd w:fill="FFDCE0" w:val="clear"/>
          </w:tcPr>
          <w:p>
            <w:r>
              <w:rPr>
                <w:sz w:val="17"/>
              </w:rPr>
              <w:t>44,068</w:t>
            </w:r>
          </w:p>
        </w:tc>
        <w:tc>
          <w:tcPr>
            <w:tcW w:type="dxa" w:w="1440"/>
            <w:shd w:fill="FFDCE0" w:val="clear"/>
          </w:tcPr>
          <w:p>
            <w:r>
              <w:rPr>
                <w:b/>
                <w:color w:val="C00000"/>
                <w:sz w:val="17"/>
              </w:rPr>
              <w:t>-3.4%</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37,493</w:t>
            </w:r>
          </w:p>
        </w:tc>
        <w:tc>
          <w:tcPr>
            <w:tcW w:type="dxa" w:w="1440"/>
            <w:shd w:fill="FFDCE0" w:val="clear"/>
          </w:tcPr>
          <w:p>
            <w:r>
              <w:rPr>
                <w:b/>
                <w:sz w:val="17"/>
              </w:rPr>
              <w:t>40,961</w:t>
            </w:r>
          </w:p>
        </w:tc>
        <w:tc>
          <w:tcPr>
            <w:tcW w:type="dxa" w:w="1440"/>
            <w:shd w:fill="FFDCE0" w:val="clear"/>
          </w:tcPr>
          <w:p>
            <w:r>
              <w:rPr>
                <w:sz w:val="17"/>
              </w:rPr>
              <w:t>44,428</w:t>
            </w:r>
          </w:p>
        </w:tc>
        <w:tc>
          <w:tcPr>
            <w:tcW w:type="dxa" w:w="1440"/>
            <w:shd w:fill="FFDCE0" w:val="clear"/>
          </w:tcPr>
          <w:p>
            <w:r>
              <w:rPr>
                <w:b/>
                <w:color w:val="C00000"/>
                <w:sz w:val="17"/>
              </w:rPr>
              <w:t>-3.6%</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37,012</w:t>
            </w:r>
          </w:p>
        </w:tc>
        <w:tc>
          <w:tcPr>
            <w:tcW w:type="dxa" w:w="1440"/>
            <w:shd w:fill="FFDCE0" w:val="clear"/>
          </w:tcPr>
          <w:p>
            <w:r>
              <w:rPr>
                <w:b/>
                <w:sz w:val="17"/>
              </w:rPr>
              <w:t>40,882</w:t>
            </w:r>
          </w:p>
        </w:tc>
        <w:tc>
          <w:tcPr>
            <w:tcW w:type="dxa" w:w="1440"/>
            <w:shd w:fill="FFDCE0" w:val="clear"/>
          </w:tcPr>
          <w:p>
            <w:r>
              <w:rPr>
                <w:sz w:val="17"/>
              </w:rPr>
              <w:t>44,751</w:t>
            </w:r>
          </w:p>
        </w:tc>
        <w:tc>
          <w:tcPr>
            <w:tcW w:type="dxa" w:w="1440"/>
            <w:shd w:fill="FFDCE0" w:val="clear"/>
          </w:tcPr>
          <w:p>
            <w:r>
              <w:rPr>
                <w:b/>
                <w:color w:val="C00000"/>
                <w:sz w:val="17"/>
              </w:rPr>
              <w:t>-3.8%</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36,582</w:t>
            </w:r>
          </w:p>
        </w:tc>
        <w:tc>
          <w:tcPr>
            <w:tcW w:type="dxa" w:w="1440"/>
            <w:shd w:fill="FFDCE0" w:val="clear"/>
          </w:tcPr>
          <w:p>
            <w:r>
              <w:rPr>
                <w:b/>
                <w:sz w:val="17"/>
              </w:rPr>
              <w:t>40,813</w:t>
            </w:r>
          </w:p>
        </w:tc>
        <w:tc>
          <w:tcPr>
            <w:tcW w:type="dxa" w:w="1440"/>
            <w:shd w:fill="FFDCE0" w:val="clear"/>
          </w:tcPr>
          <w:p>
            <w:r>
              <w:rPr>
                <w:sz w:val="17"/>
              </w:rPr>
              <w:t>45,045</w:t>
            </w:r>
          </w:p>
        </w:tc>
        <w:tc>
          <w:tcPr>
            <w:tcW w:type="dxa" w:w="1440"/>
            <w:shd w:fill="FFDCE0" w:val="clear"/>
          </w:tcPr>
          <w:p>
            <w:r>
              <w:rPr>
                <w:b/>
                <w:color w:val="C00000"/>
                <w:sz w:val="17"/>
              </w:rPr>
              <w:t>-4.0%</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36,186</w:t>
            </w:r>
          </w:p>
        </w:tc>
        <w:tc>
          <w:tcPr>
            <w:tcW w:type="dxa" w:w="1440"/>
            <w:shd w:fill="FFDCE0" w:val="clear"/>
          </w:tcPr>
          <w:p>
            <w:r>
              <w:rPr>
                <w:b/>
                <w:sz w:val="17"/>
              </w:rPr>
              <w:t>40,750</w:t>
            </w:r>
          </w:p>
        </w:tc>
        <w:tc>
          <w:tcPr>
            <w:tcW w:type="dxa" w:w="1440"/>
            <w:shd w:fill="FFDCE0" w:val="clear"/>
          </w:tcPr>
          <w:p>
            <w:r>
              <w:rPr>
                <w:sz w:val="17"/>
              </w:rPr>
              <w:t>45,313</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35,818</w:t>
            </w:r>
          </w:p>
        </w:tc>
        <w:tc>
          <w:tcPr>
            <w:tcW w:type="dxa" w:w="1440"/>
            <w:shd w:fill="FFDCE0" w:val="clear"/>
          </w:tcPr>
          <w:p>
            <w:r>
              <w:rPr>
                <w:b/>
                <w:sz w:val="17"/>
              </w:rPr>
              <w:t>40,689</w:t>
            </w:r>
          </w:p>
        </w:tc>
        <w:tc>
          <w:tcPr>
            <w:tcW w:type="dxa" w:w="1440"/>
            <w:shd w:fill="FFDCE0" w:val="clear"/>
          </w:tcPr>
          <w:p>
            <w:r>
              <w:rPr>
                <w:sz w:val="17"/>
              </w:rPr>
              <w:t>45,561</w:t>
            </w:r>
          </w:p>
        </w:tc>
        <w:tc>
          <w:tcPr>
            <w:tcW w:type="dxa" w:w="1440"/>
            <w:shd w:fill="FFDCE0" w:val="clear"/>
          </w:tcPr>
          <w:p>
            <w:r>
              <w:rPr>
                <w:b/>
                <w:color w:val="C00000"/>
                <w:sz w:val="17"/>
              </w:rPr>
              <w:t>-4.3%</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35,472</w:t>
            </w:r>
          </w:p>
        </w:tc>
        <w:tc>
          <w:tcPr>
            <w:tcW w:type="dxa" w:w="1440"/>
            <w:shd w:fill="FFDCE0" w:val="clear"/>
          </w:tcPr>
          <w:p>
            <w:r>
              <w:rPr>
                <w:b/>
                <w:sz w:val="17"/>
              </w:rPr>
              <w:t>40,631</w:t>
            </w:r>
          </w:p>
        </w:tc>
        <w:tc>
          <w:tcPr>
            <w:tcW w:type="dxa" w:w="1440"/>
            <w:shd w:fill="FFDCE0" w:val="clear"/>
          </w:tcPr>
          <w:p>
            <w:r>
              <w:rPr>
                <w:sz w:val="17"/>
              </w:rPr>
              <w:t>45,790</w:t>
            </w:r>
          </w:p>
        </w:tc>
        <w:tc>
          <w:tcPr>
            <w:tcW w:type="dxa" w:w="1440"/>
            <w:shd w:fill="FFDCE0" w:val="clear"/>
          </w:tcPr>
          <w:p>
            <w:r>
              <w:rPr>
                <w:b/>
                <w:color w:val="C00000"/>
                <w:sz w:val="17"/>
              </w:rPr>
              <w:t>-4.4%</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35,144</w:t>
            </w:r>
          </w:p>
        </w:tc>
        <w:tc>
          <w:tcPr>
            <w:tcW w:type="dxa" w:w="1440"/>
            <w:shd w:fill="FFDCE0" w:val="clear"/>
          </w:tcPr>
          <w:p>
            <w:r>
              <w:rPr>
                <w:b/>
                <w:sz w:val="17"/>
              </w:rPr>
              <w:t>40,574</w:t>
            </w:r>
          </w:p>
        </w:tc>
        <w:tc>
          <w:tcPr>
            <w:tcW w:type="dxa" w:w="1440"/>
            <w:shd w:fill="FFDCE0" w:val="clear"/>
          </w:tcPr>
          <w:p>
            <w:r>
              <w:rPr>
                <w:sz w:val="17"/>
              </w:rPr>
              <w:t>46,005</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FINANCIÈRE — SONATEL (SNTS)</w:t>
        <w:br/>
        <w:t>**Bourse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4 250 Mds FCFA, Sonatel s'impose comme la première capitalisation de la BRVM, un statut de « blue chip » régional qui en fait un pilier incontournable de l'indice BRVM Composite. Le BPA de 4 136 FCFA par action signifie que chaque titre génère près de 4 136 FCFA de bénéfice net, un niveau exceptionnel qui traduit la forte rentabilité de l'opérateur. Le PER de 10,3x se situe dans la fourchette moyenne du marché (8-12x), signalant une valorisation raisonnable sans prime excessive malgré le leadership du titre. Le P/B de 3,04x indique que le marché valorise l'entreprise à environ trois fois sa valeur comptable, une prime de croissance justifiée par la qualité des actifs immatériels (licences, réseaux, base clients) et la rentabilité des fonds propres (ROE de 29,6%). Enfin, l'EV/EBITDA de 4,4x, inférieur au seuil de 5x, révèle que la valeur d'entreprise reste très bon marché au regard de la capacité opérationnelle de génération de cash-flow, un signal de sous-évaluation relative.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spectaculaire de +46,55%, avec une dernière séance en hausse de +1,46%, portant le cours à 42 500 FCFA — soit exactement son plus haut de la période. Le range de trading s'étend de 27 160 FCFA (plus bas) à 42 500 FCFA (plus haut), soit une amplitude de plus de 56%, témoignant d'une tendance franchement haussière portée par des flux acheteurs soutenus. La moyenne du cours s'établit à 32 157 FCFA contre une médiane de 31 000 FCFA (égale au mode), un écart de 1 157 FCFA qui confirme une distribution asymétrique : le cours a passé plus de temps sous sa moyenne avant de s'envoler en fin de période. L'écart-type de 4 263 FCFA avec un coefficient de variation de 13,3% indique une dispersion modérée du cours autour de sa moyenne, tandis que le kurtosis de -0,248 (mésokurtique) suggère une distribution proche de la normale, sans pics extrêmes fréquents. Le skewness positif de 1,021 confirme cette asymétrie à droite : davantage de journées ont été enregistrées sous la moyenne, mais les gains récents ont été particulièrement marqués. La volatilité annualisée de 32,6% positionne le titre dans la catégorie des valeurs à volatilité élevée (&gt;30%), ce qui est cohérent avec la dynamique haussière récente mais appelle à la prudence sur les points d'entrée.</w:t>
      </w:r>
    </w:p>
    <w:p>
      <w:pPr>
        <w:spacing w:after="120" w:line="276" w:lineRule="auto"/>
      </w:pPr>
      <w:r>
        <w:t>---</w:t>
      </w:r>
    </w:p>
    <w:p>
      <w:pPr>
        <w:spacing w:after="120" w:line="276" w:lineRule="auto"/>
      </w:pPr>
      <w:r>
        <w:t>## PARTIE 2 : ANALYSE TECHNIQUE DÉTAILLÉE</w:t>
      </w:r>
    </w:p>
    <w:p>
      <w:pPr>
        <w:spacing w:after="120" w:line="276" w:lineRule="auto"/>
      </w:pPr>
      <w:r>
        <w:t>**Moyennes Mobiles** : La MM20 (39 516,5 FCFA) et la MM50 (35 302,3 FCFA) se situent toutes deux sous le cours actuel (42 500 FCFA), avec la MM20 au-dessus de la MM50 — configuration haussière classique en « golden cross ». L'écart de 4 214 FCFA entre la MM20 et la MM50 confirme la vigueur de la tendance, et le signal d'achat est validé par le positionnement du cours au-dessus des deux moyennes.</w:t>
      </w:r>
    </w:p>
    <w:p>
      <w:pPr>
        <w:spacing w:after="120" w:line="276" w:lineRule="auto"/>
      </w:pPr>
      <w:r>
        <w:t>**Bandes de Bollinger** : Le cours (42 500 FCFA) évolue à proximité immédiate de la borne supérieure (43 136,7 FCFA), tandis que la borne inférieure se situe à 35 896,3 FCFA. Cette position haute traduit une pression acheteuse forte, mais le risque de correction technique augmente à mesure que le cours s'approche de la borne supérieure. La décision « Neutre » reflète cet équilibre entre momentum haussier et risque de surachat.</w:t>
      </w:r>
    </w:p>
    <w:p>
      <w:pPr>
        <w:spacing w:after="120" w:line="276" w:lineRule="auto"/>
      </w:pPr>
      <w:r>
        <w:t>**MACD** : La valeur du MACD (1 963,3) dépasse son signal (1 884,1), avec un histogramme positif de 79,2 points. Cette divergence positive confirme le momentum haussier en cours, bien que l'écart relativement faible entre les deux lignes suggère un essoufflement possible de la dynamique. Le signal d'achat reste toutefois valide tant que le MACD demeure au-dessus de son signal.</w:t>
      </w:r>
    </w:p>
    <w:p>
      <w:pPr>
        <w:spacing w:after="120" w:line="276" w:lineRule="auto"/>
      </w:pPr>
      <w:r>
        <w:t>**RSI** : À 73,9, le RSI se situe en zone de surachat (&gt;70), déclenchant un signal de vente technique. Cette lecture indique que le titre a été acheté de manière excessive à court terme et qu'une consolidation ou un repli est probable avant la poursuite du mouvement haussier. La prudence est de mise pour les nouveaux entrants.</w:t>
      </w:r>
    </w:p>
    <w:p>
      <w:pPr>
        <w:spacing w:after="120" w:line="276" w:lineRule="auto"/>
      </w:pPr>
      <w:r>
        <w:t>**Stochastique** : Le %K (100,0) est au maximum absolu et surpasse le %D (86,4), confirmant un surachat extrême. Le croisement potentiel à venir entre %K et %D constituerait un signal de vente à court terme. Cette configuration renforce l'alerte donnée par le RSI.</w:t>
      </w:r>
    </w:p>
    <w:p>
      <w:pPr>
        <w:spacing w:after="120" w:line="276" w:lineRule="auto"/>
      </w:pPr>
      <w:r>
        <w:t>**Conclusion technique** : Les indicateurs de tendance (MM, MACD) restent haussiers et confirment la dynamique positive du titre, mais les oscillateurs (RSI, Stochastique) signalent un surachat sévère à court terme. Cette divergence entre tendance de fond et momentum immédiat suggère une probable consolidation avant toute nouvelle progression. Les investisseurs déjà positionnés peuvent conserver, mais les nouveaux achats devraient attendre un repli vers la MM20 (39 500 FCFA) pour un meilleur point d'entrée.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Sonatel a réalisé un chiffre d'affaires consolidé de 1 923,1 Mds FCFA, en croissance de +8,3% par rapport à 2024, porté par la Data mobile, le Fixe Broadband et Orange Money. Le résultat net s'établit à 413,6 Mds FCFA (+5,1%), avec une marge nette de 21,5% et une marge opérationnelle de 34,8%. Le ROE atteint 29,6% (excellent, &gt;15%) et le ROA 12,6%, confirmant la remarquable efficacité capitalistique de l'opérateur. La structure financière est saine : autonomie financière de 42,8% (&gt;30%), ratio d'endettement de 57,2%, et capacité de remboursement de 0,64 an (dette financière/CAF), soit une situation de quasi-absence de risque de solvabilité. Le BFR est négatif (-284,9 Mds FCFA), un atout majeur : Sonatel est financée par ses fournisseurs (délai fournisseurs de 201,4 jours) bien plus qu'elle ne finance ses clients (délai clients de 46,2 jours), générant une trésorerie nette de 536,1 Mds FCFA. Le Free Cash Flow de 408,1 Mds FCFA couvre largement les investissements (flux d'investissement de -273,5 Mds FCFA).</w:t>
      </w:r>
    </w:p>
    <w:p>
      <w:pPr>
        <w:spacing w:after="120" w:line="276" w:lineRule="auto"/>
      </w:pPr>
      <w:r>
        <w:t>**Estimations basées sur les rapports trimestriels** : Le communiqué du S1 2026 (publié le 27/07/2026) révèle un chiffre d'affaires de 1 049,8 Mds FCFA (+9,3%) et un résultat net de 230,0 Mds FCFA (+10,5%), avec un EBITDAAL de 510,8 Mds FCFA (marge de 48,7%). Sur cette base, on estime que l'exercice 2026 devrait afficher un chiffre d'affaires d'environ 2 100 Mds FCFA (+9%) et un résultat net proche de 450 Mds FCFA (+8-9%), confirmant l'accélération de la croissance par rapport à 2025. La notation AAA (wu) obtenue auprès de GCR Ratings et l'obtention de licences 5G en Guinée-Bissau et Sierra Leone renforcent les perspectives. Le dividende proposé de 1 933 FCFA brut (1 740 FCFA net) pour 2025 offre un rendement d'environ 4,1% au cours actuel de 42 500 FCFA, un niveau attractif pour une valeur de croissance.</w:t>
      </w:r>
    </w:p>
    <w:p>
      <w:pPr>
        <w:spacing w:after="120" w:line="276" w:lineRule="auto"/>
      </w:pPr>
      <w:r>
        <w:t>**Recommandation fondamentale** : Sonatel présente des fondamentaux exceptionnels — croissance soutenue, rentabilité élevée, structure financière solide, génération de cash-flow abondante et politique de dividende généreuse. Les risques identifiés (pression fiscale et réglementaire au Sénégal, Mali et Guinée-Bissau, concurrence accrue sur le Mobile Money, instabilité géopolitique régionale) sont réels mais ne remettent pas en cause la trajectoire de long terme. La valorisation actuelle (PER 10,3x, EV/EBITDA 4,4x) reste raisonnable au regard de la qualité des fondamentaux.</w:t>
      </w:r>
    </w:p>
    <w:p>
      <w:pPr>
        <w:spacing w:after="120" w:line="276" w:lineRule="auto"/>
      </w:pPr>
      <w:r>
        <w:t>---</w:t>
      </w:r>
    </w:p>
    <w:p>
      <w:pPr>
        <w:spacing w:after="120" w:line="276" w:lineRule="auto"/>
      </w:pPr>
      <w:r>
        <w:t>## PARTIE 4 : CONCLUSION D'INVESTISSEMENT</w:t>
      </w:r>
    </w:p>
    <w:p>
      <w:pPr>
        <w:spacing w:after="120" w:line="276" w:lineRule="auto"/>
      </w:pPr>
      <w:r>
        <w:t>La valorisation de Sonatel apparaît équilibrée : le PER de 10,3x est dans la moyenne du marché, mais l'EV/EBITDA de 4,4x et le P/B de 3,04x suggèrent une légère sous-évaluation au regard de la qualité des actifs et de la capacité bénéficiaire. Le comportement du cours sur 100 jours est résolument haussier (+46,55%), avec une volatilité élevée (32,6%) et une asymétrie positive (skewness de 1,021) qui indique que les gains récents ont été significatifs, mais le kurtosis proche de zéro écarte le risque de pics extrêmes. Les signaux techniques sont mitigés : les moyennes mobiles et le MACD confirment la tendance haussière, mais le RSI (73,9) et le Stochastique (%K=100) signalent un surachat sévère à court terme, plaidant pour une consolidation. Les fondamentaux restent excellents : ROE de 29,6%, marge nette de 21,5%, BFR négatif, trésorerie nette de 536 Mds FCFA, et les estimations issues du S1 2026 (+9,3% de CA, +10,5% de résultat net) confirment l'accélération de la croissance. Les prédictions IA pour les 10 prochains jours (41 185 FCFA le 28/09, puis 40 882 FCFA le 02/10) anticipent un repli modéré de -3,8% par rapport au cours actuel, ce qui est cohérent avec le surachat technique et offre potentiellement un point d'entrée plus favorable. **Recommandation finale : CONSERVER** — les investisseurs déjà positionnés bénéficient d'une tendance haussière solide et de fondamentaux robustes, mais les nouveaux achats devraient attendre un repli vers 40 000-41 000 FCFA pour optimiser le point d'entrée. Le niveau de confiance est **Moyen** (divergence entre technique court terme et fondamental long terme), le risque global est **Moyen** (volatilité élevée mais fondamentaux solides), et l'horizon optimal est le **moyen terme (3-12 mois)** pour capturer la croissance bénéficiaire et le dividende, avec un potentiel de long terme (&gt;1 an) pour les investisseurs patients.</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170.65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5,270 titres</w:t>
            </w:r>
          </w:p>
        </w:tc>
        <w:tc>
          <w:tcPr>
            <w:tcW w:type="dxa" w:w="2268"/>
            <w:shd w:fill="FFF2CC" w:val="clear"/>
          </w:tcPr>
          <w:p>
            <w:r>
              <w:rPr>
                <w:b/>
                <w:color w:val="503200"/>
                <w:sz w:val="16"/>
              </w:rPr>
              <w:t xml:space="preserve">Cours actuel : </w:t>
            </w:r>
            <w:r>
              <w:rPr>
                <w:color w:val="000000"/>
                <w:sz w:val="17"/>
              </w:rPr>
              <w:t>7,900 FCFA</w:t>
            </w:r>
          </w:p>
          <w:p>
            <w:r>
              <w:rPr>
                <w:b/>
                <w:color w:val="503200"/>
                <w:sz w:val="16"/>
              </w:rPr>
              <w:t xml:space="preserve">Var. 100 jours : </w:t>
            </w:r>
            <w:r>
              <w:rPr>
                <w:b/>
                <w:color w:val="007800"/>
                <w:sz w:val="17"/>
              </w:rPr>
              <w:t>+9.72%</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41.3%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11.5/100 → Faible</w:t>
      </w:r>
    </w:p>
    <w:p>
      <w:pPr>
        <w:spacing w:before="40" w:after="80"/>
      </w:pPr>
      <w:r>
        <w:rPr>
          <w:rFonts w:ascii="Courier New" w:hAnsi="Courier New"/>
          <w:color w:val="006400"/>
          <w:sz w:val="18"/>
        </w:rPr>
        <w:t>██░░░░░░░░░░░░░░░░░░  11.5/100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4.86% (Faible) — μ=8,049 FCFA, σ=391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β=0.8424 (Neutre (suit le marché)) — Cov=0.000058, Var(idx)=0.000069, ρ=0.269,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5,270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7,396</w:t>
            </w:r>
          </w:p>
        </w:tc>
        <w:tc>
          <w:tcPr>
            <w:tcW w:type="dxa" w:w="1440"/>
            <w:shd w:fill="FAFAFA" w:val="clear"/>
          </w:tcPr>
          <w:p>
            <w:r>
              <w:rPr>
                <w:b/>
                <w:sz w:val="17"/>
              </w:rPr>
              <w:t>7,796</w:t>
            </w:r>
          </w:p>
        </w:tc>
        <w:tc>
          <w:tcPr>
            <w:tcW w:type="dxa" w:w="1440"/>
            <w:shd w:fill="FAFAFA" w:val="clear"/>
          </w:tcPr>
          <w:p>
            <w:r>
              <w:rPr>
                <w:sz w:val="17"/>
              </w:rPr>
              <w:t>8,197</w:t>
            </w:r>
          </w:p>
        </w:tc>
        <w:tc>
          <w:tcPr>
            <w:tcW w:type="dxa" w:w="1440"/>
            <w:shd w:fill="FAFAFA" w:val="clear"/>
          </w:tcPr>
          <w:p>
            <w:r>
              <w:rPr>
                <w:b/>
                <w:color w:val="C00000"/>
                <w:sz w:val="17"/>
              </w:rPr>
              <w:t>-1.3%</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7,230</w:t>
            </w:r>
          </w:p>
        </w:tc>
        <w:tc>
          <w:tcPr>
            <w:tcW w:type="dxa" w:w="1440"/>
            <w:shd w:fill="FAFAFA" w:val="clear"/>
          </w:tcPr>
          <w:p>
            <w:r>
              <w:rPr>
                <w:b/>
                <w:sz w:val="17"/>
              </w:rPr>
              <w:t>7,796</w:t>
            </w:r>
          </w:p>
        </w:tc>
        <w:tc>
          <w:tcPr>
            <w:tcW w:type="dxa" w:w="1440"/>
            <w:shd w:fill="FAFAFA" w:val="clear"/>
          </w:tcPr>
          <w:p>
            <w:r>
              <w:rPr>
                <w:sz w:val="17"/>
              </w:rPr>
              <w:t>8,362</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7,096</w:t>
            </w:r>
          </w:p>
        </w:tc>
        <w:tc>
          <w:tcPr>
            <w:tcW w:type="dxa" w:w="1440"/>
            <w:shd w:fill="FAFAFA" w:val="clear"/>
          </w:tcPr>
          <w:p>
            <w:r>
              <w:rPr>
                <w:b/>
                <w:sz w:val="17"/>
              </w:rPr>
              <w:t>7,788</w:t>
            </w:r>
          </w:p>
        </w:tc>
        <w:tc>
          <w:tcPr>
            <w:tcW w:type="dxa" w:w="1440"/>
            <w:shd w:fill="FAFAFA" w:val="clear"/>
          </w:tcPr>
          <w:p>
            <w:r>
              <w:rPr>
                <w:sz w:val="17"/>
              </w:rPr>
              <w:t>8,481</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6,984</w:t>
            </w:r>
          </w:p>
        </w:tc>
        <w:tc>
          <w:tcPr>
            <w:tcW w:type="dxa" w:w="1440"/>
            <w:shd w:fill="FAFAFA" w:val="clear"/>
          </w:tcPr>
          <w:p>
            <w:r>
              <w:rPr>
                <w:b/>
                <w:sz w:val="17"/>
              </w:rPr>
              <w:t>7,784</w:t>
            </w:r>
          </w:p>
        </w:tc>
        <w:tc>
          <w:tcPr>
            <w:tcW w:type="dxa" w:w="1440"/>
            <w:shd w:fill="FAFAFA" w:val="clear"/>
          </w:tcPr>
          <w:p>
            <w:r>
              <w:rPr>
                <w:sz w:val="17"/>
              </w:rPr>
              <w:t>8,583</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6,887</w:t>
            </w:r>
          </w:p>
        </w:tc>
        <w:tc>
          <w:tcPr>
            <w:tcW w:type="dxa" w:w="1440"/>
            <w:shd w:fill="FAFAFA" w:val="clear"/>
          </w:tcPr>
          <w:p>
            <w:r>
              <w:rPr>
                <w:b/>
                <w:sz w:val="17"/>
              </w:rPr>
              <w:t>7,780</w:t>
            </w:r>
          </w:p>
        </w:tc>
        <w:tc>
          <w:tcPr>
            <w:tcW w:type="dxa" w:w="1440"/>
            <w:shd w:fill="FAFAFA" w:val="clear"/>
          </w:tcPr>
          <w:p>
            <w:r>
              <w:rPr>
                <w:sz w:val="17"/>
              </w:rPr>
              <w:t>8,673</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6,799</w:t>
            </w:r>
          </w:p>
        </w:tc>
        <w:tc>
          <w:tcPr>
            <w:tcW w:type="dxa" w:w="1440"/>
            <w:shd w:fill="FAFAFA" w:val="clear"/>
          </w:tcPr>
          <w:p>
            <w:r>
              <w:rPr>
                <w:b/>
                <w:sz w:val="17"/>
              </w:rPr>
              <w:t>7,777</w:t>
            </w:r>
          </w:p>
        </w:tc>
        <w:tc>
          <w:tcPr>
            <w:tcW w:type="dxa" w:w="1440"/>
            <w:shd w:fill="FAFAFA" w:val="clear"/>
          </w:tcPr>
          <w:p>
            <w:r>
              <w:rPr>
                <w:sz w:val="17"/>
              </w:rPr>
              <w:t>8,755</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6,718</w:t>
            </w:r>
          </w:p>
        </w:tc>
        <w:tc>
          <w:tcPr>
            <w:tcW w:type="dxa" w:w="1440"/>
            <w:shd w:fill="FAFAFA" w:val="clear"/>
          </w:tcPr>
          <w:p>
            <w:r>
              <w:rPr>
                <w:b/>
                <w:sz w:val="17"/>
              </w:rPr>
              <w:t>7,774</w:t>
            </w:r>
          </w:p>
        </w:tc>
        <w:tc>
          <w:tcPr>
            <w:tcW w:type="dxa" w:w="1440"/>
            <w:shd w:fill="FAFAFA" w:val="clear"/>
          </w:tcPr>
          <w:p>
            <w:r>
              <w:rPr>
                <w:sz w:val="17"/>
              </w:rPr>
              <w:t>8,830</w:t>
            </w:r>
          </w:p>
        </w:tc>
        <w:tc>
          <w:tcPr>
            <w:tcW w:type="dxa" w:w="1440"/>
            <w:shd w:fill="FAFAFA" w:val="clear"/>
          </w:tcPr>
          <w:p>
            <w:r>
              <w:rPr>
                <w:b/>
                <w:color w:val="C00000"/>
                <w:sz w:val="17"/>
              </w:rPr>
              <w:t>-1.6%</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6,642</w:t>
            </w:r>
          </w:p>
        </w:tc>
        <w:tc>
          <w:tcPr>
            <w:tcW w:type="dxa" w:w="1440"/>
            <w:shd w:fill="FAFAFA" w:val="clear"/>
          </w:tcPr>
          <w:p>
            <w:r>
              <w:rPr>
                <w:b/>
                <w:sz w:val="17"/>
              </w:rPr>
              <w:t>7,771</w:t>
            </w:r>
          </w:p>
        </w:tc>
        <w:tc>
          <w:tcPr>
            <w:tcW w:type="dxa" w:w="1440"/>
            <w:shd w:fill="FAFAFA" w:val="clear"/>
          </w:tcPr>
          <w:p>
            <w:r>
              <w:rPr>
                <w:sz w:val="17"/>
              </w:rPr>
              <w:t>8,899</w:t>
            </w:r>
          </w:p>
        </w:tc>
        <w:tc>
          <w:tcPr>
            <w:tcW w:type="dxa" w:w="1440"/>
            <w:shd w:fill="FAFAFA" w:val="clear"/>
          </w:tcPr>
          <w:p>
            <w:r>
              <w:rPr>
                <w:b/>
                <w:color w:val="C00000"/>
                <w:sz w:val="17"/>
              </w:rPr>
              <w:t>-1.6%</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6,571</w:t>
            </w:r>
          </w:p>
        </w:tc>
        <w:tc>
          <w:tcPr>
            <w:tcW w:type="dxa" w:w="1440"/>
            <w:shd w:fill="FAFAFA" w:val="clear"/>
          </w:tcPr>
          <w:p>
            <w:r>
              <w:rPr>
                <w:b/>
                <w:sz w:val="17"/>
              </w:rPr>
              <w:t>7,768</w:t>
            </w:r>
          </w:p>
        </w:tc>
        <w:tc>
          <w:tcPr>
            <w:tcW w:type="dxa" w:w="1440"/>
            <w:shd w:fill="FAFAFA" w:val="clear"/>
          </w:tcPr>
          <w:p>
            <w:r>
              <w:rPr>
                <w:sz w:val="17"/>
              </w:rPr>
              <w:t>8,964</w:t>
            </w:r>
          </w:p>
        </w:tc>
        <w:tc>
          <w:tcPr>
            <w:tcW w:type="dxa" w:w="1440"/>
            <w:shd w:fill="FAFAFA" w:val="clear"/>
          </w:tcPr>
          <w:p>
            <w:r>
              <w:rPr>
                <w:b/>
                <w:color w:val="C00000"/>
                <w:sz w:val="17"/>
              </w:rPr>
              <w:t>-1.7%</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6,504</w:t>
            </w:r>
          </w:p>
        </w:tc>
        <w:tc>
          <w:tcPr>
            <w:tcW w:type="dxa" w:w="1440"/>
            <w:shd w:fill="FAFAFA" w:val="clear"/>
          </w:tcPr>
          <w:p>
            <w:r>
              <w:rPr>
                <w:b/>
                <w:sz w:val="17"/>
              </w:rPr>
              <w:t>7,765</w:t>
            </w:r>
          </w:p>
        </w:tc>
        <w:tc>
          <w:tcPr>
            <w:tcW w:type="dxa" w:w="1440"/>
            <w:shd w:fill="FAFAFA" w:val="clear"/>
          </w:tcPr>
          <w:p>
            <w:r>
              <w:rPr>
                <w:sz w:val="17"/>
              </w:rPr>
              <w:t>9,026</w:t>
            </w:r>
          </w:p>
        </w:tc>
        <w:tc>
          <w:tcPr>
            <w:tcW w:type="dxa" w:w="1440"/>
            <w:shd w:fill="FAFAFA" w:val="clear"/>
          </w:tcPr>
          <w:p>
            <w:r>
              <w:rPr>
                <w:b/>
                <w:color w:val="C00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(SOGB CI)**</w:t>
        <w:br/>
        <w:t>**Bourse Régionale des Valeurs Mobilières (BRVM) — Secteur : Agro-industrie (Hévéa / Palmier à huile)**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SOGC s'élève à 170,65 milliards FCFA, un niveau qui positionne le titre parmi les valeurs moyennes à grandes de la cote BRVM, cohérent avec son statut d'acteur agro-industriel de référence en Afrique de l'Ouest. Le BPA de 578 FCFA/action signifie que chaque titre génère près de 578 FCFA de bénéfice net, ce qui, rapporté au cours actuel de 7 900 FCFA, donne un PER de 13,7x — légèrement supérieur à la moyenne du marché BRVM (8-12x), traduisant une prime modérée pour la qualité et la régularité des résultats. Le P/B de 2,49x indique que le marché valorise la société à environ 2,5 fois ses fonds propres comptables, une prime de croissance justifiée par un ROE de 18,3% nettement supérieur au coût des fonds propres. Enfin, l'EV/EBITDA de 7,1x, dans la fourchette raisonnable de 5-10x, suggère que la valeur d'entreprise reste proportionnée à la capacité opérationnelle de génération de cash-flow, sans exagération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SOGC a progressé de +9,72%, avec une dernière séance en hausse de +2,00%, clôturant à 7 900 FCFA. Le titre a évolué dans un range de 1 675 FCFA, entre un plus bas de 7 200 FCFA et un plus haut de 8 875 FCFA, ce qui témoigne d'une tendance globalement haussière mais avec une correction récente depuis les sommets. La moyenne (8 049 FCFA) est légèrement inférieure à la médiane (8 145 FCFA), confirmant une asymétrie négative (skewness de -0,538) : davantage de journées se sont situées au-dessus de la moyenne, mais quelques séances baissières marquées ont tiré la moyenne vers le bas. L'écart-type de 393 FCFA avec un coefficient de variation de 4,9% indique une dispersion relativement contenue du cours autour de sa moyenne, tandis que le kurtosis de -0,584 (mésokurtique) suggère une distribution proche de la normale, sans risque excessif de pics extrêmes. La volatilité annualisée de 41,3% classe toutefois le titre dans la catégorie des valeurs à volatilité élevée (&gt;30%), ce qui implique un risque de marché non négligeable pour un investisseur averse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(8 065,75 FCFA) et la MM50 (8 079,1 FCFA) sont toutes deux supérieures au cours actuel de 7 900 FCFA, et la MM20 est légèrement en dessous de la MM50, signalant une pression baissière de court terme. Le croisement baissier potentiel et la position du cours sous les deux moyennes justifient la décision technique de **Vente**.</w:t>
      </w:r>
    </w:p>
    <w:p>
      <w:pPr>
        <w:spacing w:after="120" w:line="276" w:lineRule="auto"/>
      </w:pPr>
      <w:r>
        <w:t>**Bandes de Bollinger** : Le cours (7 900 FCFA) se situe dans la partie inférieure de la bande, entre la borne inférieure (7 332,70 FCFA) et la borne supérieure (8 798,80 FCFA), sans atteindre les extrêmes. Cette position médiane-basse, dans un contexte de bandes relativement larges, traduit une volatilité modérée et une absence de signal directionnel fort, d'où la décision **Neutre**.</w:t>
      </w:r>
    </w:p>
    <w:p>
      <w:pPr>
        <w:spacing w:after="120" w:line="276" w:lineRule="auto"/>
      </w:pPr>
      <w:r>
        <w:t>**MACD** : La ligne MACD (-114,97) est inférieure à sa ligne de signal (-74,55), confirmant une divergence baissière et un momentum négatif. L'écart négatif entre les deux lignes indique que la pression vendeuse persiste, ce qui justifie la décision de **Vente**.</w:t>
      </w:r>
    </w:p>
    <w:p>
      <w:pPr>
        <w:spacing w:after="120" w:line="276" w:lineRule="auto"/>
      </w:pPr>
      <w:r>
        <w:t>**RSI** : À 45,0, le RSI se situe dans la zone neutre (30-70), sans signal de surachat (&gt;70) ni de survente (&lt;30). Cette valeur médiane indique un équilibre relatif entre acheteurs et vendeurs, justifiant la décision **Neutre**.</w:t>
      </w:r>
    </w:p>
    <w:p>
      <w:pPr>
        <w:spacing w:after="120" w:line="276" w:lineRule="auto"/>
      </w:pPr>
      <w:r>
        <w:t>**Stochastique** : Le %K (71,43) est nettement supérieur au %D (41,47), avec un croisement haussier en cours dans la zone haute. Cette configuration suggère un potentiel rebond de court terme, mais la position élevée du %K limite le potentiel de hausse immédiat, d'où la décision **Neutre**.</w:t>
      </w:r>
    </w:p>
    <w:p>
      <w:pPr>
        <w:spacing w:after="120" w:line="276" w:lineRule="auto"/>
      </w:pPr>
      <w:r>
        <w:t>**Conclusion technique** : Les indicateurs sont majoritairement baissiers (MM et MACD en Vente) mais tempérés par des signaux neutres (Bollinger, RSI, Stochastique). Le titre se trouve dans une phase de consolidation baissière de court terme, sous ses moyennes mobiles, avec un momentum négatif mais un RSI neutre qui n'exclut pas un rebond technique. La convergence des signaux reste fragile, et la prudence est de mise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SOGC affiche un chiffre d'affaires de 98,979 milliards FCFA, en croissance de +10,70% par rapport à 2024, porté par la hausse des prix de l'huile de palme (+20%) et de palmiste (+47%) ainsi que par la croissance des volumes de caoutchouc (+9%). Le résultat net s'établit à 12,493 milliards FCFA, en légère baisse de -5% par rapport aux 13,11 milliards FCFA de 2024, sous l'effet de la hausse de 15% des coûts de matières premières (coagulum). La rentabilité reste solide avec un ROE de 18,26% (excellent, &gt;15%) et un ROA de 13,84%, tandis que la marge nette se maintient à 12,62% et la marge opérationnelle à 17,24%. La structure financière est très saine : autonomie financière de 75,79%, ratio d'endettement de 24,21%, et une trésorerie nette positive de 4,575 milliards FCFA. Le BFR de 7,124 milliards FCFA (positif) et les délais clients (29,60 jours) et fournisseurs (31,72 jours) sont bien maîtrisés, bien que la durée de stockage de 97,67 jours mérite une surveillance. La capacité d'autofinancement (CAF) de 18,938 milliards FCFA et le free cash-flow de 16,031 milliards FCFA confirment une génération de cash robuste.</w:t>
      </w:r>
    </w:p>
    <w:p>
      <w:pPr>
        <w:spacing w:after="120" w:line="276" w:lineRule="auto"/>
      </w:pPr>
      <w:r>
        <w:t>**Estimations basées sur les rapports trimestriels** : Le rapport du T3 2025 (cumul 9M, daté du 30/09/2025) indique un CA de 75,6 milliards FCFA (+21,3%) et un résultat net de 11,5 milliards FCFA (+39,5%), avec une marge nette de 15,3% et une marge opérationnelle de 19,6%. Le rapport du S1 2025 (daté du 30/06/2025) faisait état d'un CA de 55,4 milliards FCFA (+51,9%) et d'un résultat net de 10,2 milliards FCFA (+151,6%), avec une marge nette exceptionnelle de 18,5%. Le T1 2025 (daté du 31/03/2025) affichait un CA de 31,2 milliards FCFA (+63,1%) et un résultat net de 6,0 milliards FCFA (+262,9%). On estime donc que l'exercice 2025, bien qu'en ralentissement au S2 sous l'effet de la concurrence accrue sur le coagulum et de la baisse des cours SICOM, devrait se conclure sur un résultat net annuel de l'ordre de 12,5 milliards FCFA, cohérent avec les données structurées. Le rapport annuel 2024 (daté du 31/12/2024) confirme la solidité historique avec un CA de 93,5 milliards FCFA (+20%) et un résultat net de 13,1 milliards FCFA (+149%), ainsi qu'un dividende de 60 FCFA/action (taux de distribution de 98,9%). Le rapport de l'AGO (daté du 19/05/2026) propose un dividende brut de 570 FCFA/action pour 2025, soit un rendement attractif de 7,2% au cours actuel de 7 900 FCFA.</w:t>
      </w:r>
    </w:p>
    <w:p>
      <w:pPr>
        <w:spacing w:after="120" w:line="276" w:lineRule="auto"/>
      </w:pPr>
      <w:r>
        <w:t>**Recommandation fondamentale** : SOGC présente des fondamentaux solides (ROE &gt;18%, structure financière saine, génération de cash-flow robuste) mais fait face à des vents contraires (hausse des coûts d'achat du coagulum, concurrence accrue, baisse des cours du caoutchouc). La politique de dividende très généreuse (taux de distribution proche de 100%) limite les capacités de réinvestissement et la résilience à long terme. Le titre reste un placement de rendement attractif, mais la prudence est de mise face à la volatilité des prix des matières premières.</w:t>
      </w:r>
    </w:p>
    <w:p>
      <w:pPr>
        <w:spacing w:after="120" w:line="276" w:lineRule="auto"/>
      </w:pPr>
      <w:r>
        <w:t>---</w:t>
      </w:r>
    </w:p>
    <w:p>
      <w:pPr>
        <w:spacing w:after="120" w:line="276" w:lineRule="auto"/>
      </w:pPr>
      <w:r>
        <w:t>## PARTIE 4 : CONCLUSION D'INVESTISSEMENT</w:t>
      </w:r>
    </w:p>
    <w:p>
      <w:pPr>
        <w:spacing w:after="120" w:line="276" w:lineRule="auto"/>
      </w:pPr>
      <w:r>
        <w:t>La valorisation de SOGC (PER 13,7x, P/B 2,49x, EV/EBITDA 7,1x) indique une légère prime par rapport à la moyenne du marché BRVM, justifiée par la qualité des fondamentaux mais limitant le potentiel de réévaluation à court terme. Le comportement du cours sur 100 jours (+9,72%) est haussier, mais la correction récente depuis les sommets (8 875 FCFA) et la volatilité élevée (41,3%) suggèrent une phase de consolidation, avec une asymétrie négative (skewness -0,538) qui traduit une pression baissière résiduelle. Les signaux techniques sont majoritairement baissiers (MM et MACD en Vente), tempérés par des indicateurs neutres (RSI 45, Stochastique en rebond), ce qui plaide pour une absence de direction claire à court terme. Les fondamentaux restent solides (CA 2025 de 98,98 milliards FCFA, résultat net de 12,49 milliards FCFA, ROE de 18,26%), mais la baisse de -5% du résultat net et les perspectives prudentes de la direction pour le S2 2025 incitent à la vigilance. Les prédictions IA (7 796 FCFA à J+1, 7 780 FCFA à J+10) confirment une légère tendance baissière de court terme, en ligne avec les signaux techniques. **Recommandation finale : CONSERVER** — le titre offre un rendement attractif (dividende de 570 FCFA/action, soit 7,2%) et des fondamentaux solides, mais les risques de court terme (pression baissière technique, volatilité des matières premières) et la valorisation légèrement tendue justifient une position attentiste. Le niveau de confiance est **Moyen**, le risque global est **Moyen**, et l'horizon d'investissement optimal est le **moyen terme (3-12 mois)**, en attendant une clarification des tendances techniques et une stabilisation des prix des matières premières.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201.91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4,735 titres</w:t>
            </w:r>
          </w:p>
        </w:tc>
        <w:tc>
          <w:tcPr>
            <w:tcW w:type="dxa" w:w="2268"/>
            <w:shd w:fill="FFF2CC" w:val="clear"/>
          </w:tcPr>
          <w:p>
            <w:r>
              <w:rPr>
                <w:b/>
                <w:color w:val="503200"/>
                <w:sz w:val="16"/>
              </w:rPr>
              <w:t xml:space="preserve">Cours actuel : </w:t>
            </w:r>
            <w:r>
              <w:rPr>
                <w:color w:val="000000"/>
                <w:sz w:val="17"/>
              </w:rPr>
              <w:t>7,900 FCFA</w:t>
            </w:r>
          </w:p>
          <w:p>
            <w:r>
              <w:rPr>
                <w:b/>
                <w:color w:val="503200"/>
                <w:sz w:val="16"/>
              </w:rPr>
              <w:t xml:space="preserve">Var. 100 jours : </w:t>
            </w:r>
            <w:r>
              <w:rPr>
                <w:b/>
                <w:color w:val="007800"/>
                <w:sz w:val="17"/>
              </w:rPr>
              <w:t>+17.56%</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10.09% (Moyenne) — μ=7,820 FCFA, σ=789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β=0.8005 (Neutre (suit le marché)) — Cov=0.000055, Var(idx)=0.000069, ρ=0.240,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4,735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σ_j=2.77%/j (Stable) — Vol. annualisée≈43.9%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7,208</w:t>
            </w:r>
          </w:p>
        </w:tc>
        <w:tc>
          <w:tcPr>
            <w:tcW w:type="dxa" w:w="1440"/>
            <w:shd w:fill="FFDCE0" w:val="clear"/>
          </w:tcPr>
          <w:p>
            <w:r>
              <w:rPr>
                <w:b/>
                <w:sz w:val="17"/>
              </w:rPr>
              <w:t>7,725</w:t>
            </w:r>
          </w:p>
        </w:tc>
        <w:tc>
          <w:tcPr>
            <w:tcW w:type="dxa" w:w="1440"/>
            <w:shd w:fill="FFDCE0" w:val="clear"/>
          </w:tcPr>
          <w:p>
            <w:r>
              <w:rPr>
                <w:sz w:val="17"/>
              </w:rPr>
              <w:t>8,242</w:t>
            </w:r>
          </w:p>
        </w:tc>
        <w:tc>
          <w:tcPr>
            <w:tcW w:type="dxa" w:w="1440"/>
            <w:shd w:fill="FFDCE0" w:val="clear"/>
          </w:tcPr>
          <w:p>
            <w:r>
              <w:rPr>
                <w:b/>
                <w:color w:val="C00000"/>
                <w:sz w:val="17"/>
              </w:rPr>
              <w:t>-2.2%</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6,990</w:t>
            </w:r>
          </w:p>
        </w:tc>
        <w:tc>
          <w:tcPr>
            <w:tcW w:type="dxa" w:w="1440"/>
            <w:shd w:fill="FFDCE0" w:val="clear"/>
          </w:tcPr>
          <w:p>
            <w:r>
              <w:rPr>
                <w:b/>
                <w:sz w:val="17"/>
              </w:rPr>
              <w:t>7,721</w:t>
            </w:r>
          </w:p>
        </w:tc>
        <w:tc>
          <w:tcPr>
            <w:tcW w:type="dxa" w:w="1440"/>
            <w:shd w:fill="FFDCE0" w:val="clear"/>
          </w:tcPr>
          <w:p>
            <w:r>
              <w:rPr>
                <w:sz w:val="17"/>
              </w:rPr>
              <w:t>8,452</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6,810</w:t>
            </w:r>
          </w:p>
        </w:tc>
        <w:tc>
          <w:tcPr>
            <w:tcW w:type="dxa" w:w="1440"/>
            <w:shd w:fill="FFDCE0" w:val="clear"/>
          </w:tcPr>
          <w:p>
            <w:r>
              <w:rPr>
                <w:b/>
                <w:sz w:val="17"/>
              </w:rPr>
              <w:t>7,703</w:t>
            </w:r>
          </w:p>
        </w:tc>
        <w:tc>
          <w:tcPr>
            <w:tcW w:type="dxa" w:w="1440"/>
            <w:shd w:fill="FFDCE0" w:val="clear"/>
          </w:tcPr>
          <w:p>
            <w:r>
              <w:rPr>
                <w:sz w:val="17"/>
              </w:rPr>
              <w:t>8,596</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6,657</w:t>
            </w:r>
          </w:p>
        </w:tc>
        <w:tc>
          <w:tcPr>
            <w:tcW w:type="dxa" w:w="1440"/>
            <w:shd w:fill="FFDCE0" w:val="clear"/>
          </w:tcPr>
          <w:p>
            <w:r>
              <w:rPr>
                <w:b/>
                <w:sz w:val="17"/>
              </w:rPr>
              <w:t>7,687</w:t>
            </w:r>
          </w:p>
        </w:tc>
        <w:tc>
          <w:tcPr>
            <w:tcW w:type="dxa" w:w="1440"/>
            <w:shd w:fill="FFDCE0" w:val="clear"/>
          </w:tcPr>
          <w:p>
            <w:r>
              <w:rPr>
                <w:sz w:val="17"/>
              </w:rPr>
              <w:t>8,716</w:t>
            </w:r>
          </w:p>
        </w:tc>
        <w:tc>
          <w:tcPr>
            <w:tcW w:type="dxa" w:w="1440"/>
            <w:shd w:fill="FFDCE0" w:val="clear"/>
          </w:tcPr>
          <w:p>
            <w:r>
              <w:rPr>
                <w:b/>
                <w:color w:val="C00000"/>
                <w:sz w:val="17"/>
              </w:rPr>
              <w:t>-2.7%</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6,524</w:t>
            </w:r>
          </w:p>
        </w:tc>
        <w:tc>
          <w:tcPr>
            <w:tcW w:type="dxa" w:w="1440"/>
            <w:shd w:fill="FFDCE0" w:val="clear"/>
          </w:tcPr>
          <w:p>
            <w:r>
              <w:rPr>
                <w:b/>
                <w:sz w:val="17"/>
              </w:rPr>
              <w:t>7,672</w:t>
            </w:r>
          </w:p>
        </w:tc>
        <w:tc>
          <w:tcPr>
            <w:tcW w:type="dxa" w:w="1440"/>
            <w:shd w:fill="FFDCE0" w:val="clear"/>
          </w:tcPr>
          <w:p>
            <w:r>
              <w:rPr>
                <w:sz w:val="17"/>
              </w:rPr>
              <w:t>8,820</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6,402</w:t>
            </w:r>
          </w:p>
        </w:tc>
        <w:tc>
          <w:tcPr>
            <w:tcW w:type="dxa" w:w="1440"/>
            <w:shd w:fill="FFDCE0" w:val="clear"/>
          </w:tcPr>
          <w:p>
            <w:r>
              <w:rPr>
                <w:b/>
                <w:sz w:val="17"/>
              </w:rPr>
              <w:t>7,658</w:t>
            </w:r>
          </w:p>
        </w:tc>
        <w:tc>
          <w:tcPr>
            <w:tcW w:type="dxa" w:w="1440"/>
            <w:shd w:fill="FFDCE0" w:val="clear"/>
          </w:tcPr>
          <w:p>
            <w:r>
              <w:rPr>
                <w:sz w:val="17"/>
              </w:rPr>
              <w:t>8,914</w:t>
            </w:r>
          </w:p>
        </w:tc>
        <w:tc>
          <w:tcPr>
            <w:tcW w:type="dxa" w:w="1440"/>
            <w:shd w:fill="FFDCE0" w:val="clear"/>
          </w:tcPr>
          <w:p>
            <w:r>
              <w:rPr>
                <w:b/>
                <w:color w:val="C00000"/>
                <w:sz w:val="17"/>
              </w:rPr>
              <w:t>-3.1%</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6,290</w:t>
            </w:r>
          </w:p>
        </w:tc>
        <w:tc>
          <w:tcPr>
            <w:tcW w:type="dxa" w:w="1440"/>
            <w:shd w:fill="FFDCE0" w:val="clear"/>
          </w:tcPr>
          <w:p>
            <w:r>
              <w:rPr>
                <w:b/>
                <w:sz w:val="17"/>
              </w:rPr>
              <w:t>7,644</w:t>
            </w:r>
          </w:p>
        </w:tc>
        <w:tc>
          <w:tcPr>
            <w:tcW w:type="dxa" w:w="1440"/>
            <w:shd w:fill="FFDCE0" w:val="clear"/>
          </w:tcPr>
          <w:p>
            <w:r>
              <w:rPr>
                <w:sz w:val="17"/>
              </w:rPr>
              <w:t>8,998</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6,186</w:t>
            </w:r>
          </w:p>
        </w:tc>
        <w:tc>
          <w:tcPr>
            <w:tcW w:type="dxa" w:w="1440"/>
            <w:shd w:fill="FFDCE0" w:val="clear"/>
          </w:tcPr>
          <w:p>
            <w:r>
              <w:rPr>
                <w:b/>
                <w:sz w:val="17"/>
              </w:rPr>
              <w:t>7,631</w:t>
            </w:r>
          </w:p>
        </w:tc>
        <w:tc>
          <w:tcPr>
            <w:tcW w:type="dxa" w:w="1440"/>
            <w:shd w:fill="FFDCE0" w:val="clear"/>
          </w:tcPr>
          <w:p>
            <w:r>
              <w:rPr>
                <w:sz w:val="17"/>
              </w:rPr>
              <w:t>9,076</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6,088</w:t>
            </w:r>
          </w:p>
        </w:tc>
        <w:tc>
          <w:tcPr>
            <w:tcW w:type="dxa" w:w="1440"/>
            <w:shd w:fill="FFDCE0" w:val="clear"/>
          </w:tcPr>
          <w:p>
            <w:r>
              <w:rPr>
                <w:b/>
                <w:sz w:val="17"/>
              </w:rPr>
              <w:t>7,618</w:t>
            </w:r>
          </w:p>
        </w:tc>
        <w:tc>
          <w:tcPr>
            <w:tcW w:type="dxa" w:w="1440"/>
            <w:shd w:fill="FFDCE0" w:val="clear"/>
          </w:tcPr>
          <w:p>
            <w:r>
              <w:rPr>
                <w:sz w:val="17"/>
              </w:rPr>
              <w:t>9,148</w:t>
            </w:r>
          </w:p>
        </w:tc>
        <w:tc>
          <w:tcPr>
            <w:tcW w:type="dxa" w:w="1440"/>
            <w:shd w:fill="FFDCE0" w:val="clear"/>
          </w:tcPr>
          <w:p>
            <w:r>
              <w:rPr>
                <w:b/>
                <w:color w:val="C00000"/>
                <w:sz w:val="17"/>
              </w:rPr>
              <w:t>-3.6%</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5,995</w:t>
            </w:r>
          </w:p>
        </w:tc>
        <w:tc>
          <w:tcPr>
            <w:tcW w:type="dxa" w:w="1440"/>
            <w:shd w:fill="FFDCE0" w:val="clear"/>
          </w:tcPr>
          <w:p>
            <w:r>
              <w:rPr>
                <w:b/>
                <w:sz w:val="17"/>
              </w:rPr>
              <w:t>7,605</w:t>
            </w:r>
          </w:p>
        </w:tc>
        <w:tc>
          <w:tcPr>
            <w:tcW w:type="dxa" w:w="1440"/>
            <w:shd w:fill="FFDCE0" w:val="clear"/>
          </w:tcPr>
          <w:p>
            <w:r>
              <w:rPr>
                <w:sz w:val="17"/>
              </w:rPr>
              <w:t>9,215</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**Bourse Régionale des Valeurs Mobilières (BRVM) — Secteur Agro-industriel**</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201,91 milliards FCFA, SPHC s'impose comme une valeur de premier plan de la cote BRVM, représentant un pilier du compartiment agro-industriel régional. Le BPA de 977 FCFA par action signifie que chaque titre génère près d'un millier de francs de bénéfice net, un niveau de rentabilité par action remarquable pour le marché. Le PER de 8,1x traduit un prix payé par les investisseurs nettement inférieur à la moyenne BRVM (8-12x), signalant une potentielle sous-évaluation du titre au regard de ses bénéfices. Le P/B de 1,46x indique que le marché valorise SPHC à 46% au-dessus de sa valeur comptable, un niveau raisonnable qui reflète la qualité des actifs sans exubérance. Enfin, l'EV/EBITDA de 5,1x, bien en deçà de la fourchette raisonnable de 5-10x, suggère que la valeur totale de l'entreprise (dette incluse) reste modérée par rapport à sa capacité opérationnelle à générer des liquidités.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SPHC affiche une progression totale de +17,56%, avec une dernière séance en hausse de +3,27%, confirmant un momentum haussier de court terme. Le cours actuel de 7 900 FCFA se situe dans un range de trading de 3 580 FCFA, entre un plus bas de 6 720 FCFA et un plus haut de 10 300 FCFA, ce qui témoigne d'une amplitude significative et d'une tendance générale haussière malgré la correction récente depuis les sommets. Les statistiques descriptives révèlent une moyenne de 7 820 FCFA légèrement supérieure à la médiane de 7 600 FCFA, avec un mode à 7 500 FCFA : cet écart entre moyenne et médiane, couplé à un skewness positif de 1,385, indique une distribution asymétrique avec davantage de journées sous la moyenne mais des pics haussiers marqués. L'écart-type de 793 FCFA (CV de 10,1%) traduit une dispersion modérée du cours autour de sa moyenne, tandis que le kurtosis de 1,478 (leptokurtique) signale des queues épaisses, donc un risque accru de mouvements brusques et de pics de volatilité. La volatilité annualisée de 43,9% classe SPHC dans la catégorie des titres à volatilité élevée (&gt;30%), ce qui implique un risque de marché substantiel mais aussi des opportunités de trading importantes.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8 535,25 FCFA et la MM50 à 8 254,10 FCFA, toutes deux supérieures au cours actuel de 7 900 FCFA. Cette configuration indique que le titre évolue sous ses moyennes de court et moyen terme, mais la décision technique affichée est "Achat", probablement en anticipation d'un retournement ou d'un rebond technique après la correction. Le croisement potentiel des moyennes reste à surveiller pour confirmer une reprise durable.</w:t>
      </w:r>
    </w:p>
    <w:p>
      <w:pPr>
        <w:spacing w:after="120" w:line="276" w:lineRule="auto"/>
      </w:pPr>
      <w:r>
        <w:t>**Bandes de Bollinger** : La borne supérieure se situe à 10 396,39 FCFA et la borne inférieure à 6 674,11 FCFA, avec un cours actuel de 7 900 FCFA positionné dans la moitié inférieure de la bande. Cette position suggère que le titre n'est ni suracheté ni survendu, mais plutôt en zone neutre avec une légère pression baissière. La décision "Neutre" reflète cette absence de signal directionnel fort, la volatilité des bandes restant élevée.</w:t>
      </w:r>
    </w:p>
    <w:p>
      <w:pPr>
        <w:spacing w:after="120" w:line="276" w:lineRule="auto"/>
      </w:pPr>
      <w:r>
        <w:t>**MACD** : La valeur du MACD est de -260,76 contre un signal à -144,06, soit une divergence négative où le MACD évolue sous sa ligne de signal. Cette configuration indique un momentum baissier persistant, justifiant la décision "Vente". Toutefois, l'ampleur de l'écart entre les deux lignes suggère que la pression vendeuse pourrait s'atténuer prochainement.</w:t>
      </w:r>
    </w:p>
    <w:p>
      <w:pPr>
        <w:spacing w:after="120" w:line="276" w:lineRule="auto"/>
      </w:pPr>
      <w:r>
        <w:t>**RSI** : À 27,66, le RSI se situe en zone de survente (&lt;30), ce qui déclenche une décision "Achat". Cette lecture signale que le titre a été excessivement vendu à court terme et qu'un rebond technique est probable, offrant une opportunité d'entrée pour les investisseurs contrariants.</w:t>
      </w:r>
    </w:p>
    <w:p>
      <w:pPr>
        <w:spacing w:after="120" w:line="276" w:lineRule="auto"/>
      </w:pPr>
      <w:r>
        <w:t>**Stochastique** : Le %K est à 37,21 et le %D à 15,24, avec un %K supérieur au %D, ce qui constitue un croisement haussier potentiel. La décision "Neutre" reflète la prudence, mais la configuration suggère une possible inversion de tendance à court terme si le %K continue de progresser vers la zone des 50.</w:t>
      </w:r>
    </w:p>
    <w:p>
      <w:pPr>
        <w:spacing w:after="120" w:line="276" w:lineRule="auto"/>
      </w:pPr>
      <w:r>
        <w:t>**Conclusion technique** : Les indicateurs présentent une divergence notable : le MACD confirme un momentum baissier, tandis que le RSI en survente et le croisement haussier du stochastique suggèrent un rebond imminent. Les moyennes mobiles et les bandes de Bollinger maintiennent une posture neutre à légèrement baissière. Cette configuration mixte plaide pour une prudence à court terme, avec une opportunité de rebond technique à saisir pour les investisseurs réactifs, mais une confirmation de retournement reste nécessaire avant tout engagement significatif.</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SPHC a réalisé un chiffre d'affaires de 340,83 milliards FCFA, en croissance de 21,97% par rapport à 2024 (279,44 milliards FCFA), portée par une hausse des volumes vendus (+16,8%) et des prix moyens (+17,6%) selon le rapport du 30 septembre 2025. Le résultat net s'établit à 24,97 milliards FCFA, en progression de 32,9% sur un an, avec une marge nette de 7,33% contre 6,7% en 2024. La rentabilité des fonds propres (ROE) atteint 18,10%, un niveau excellent (&gt;15%), tandis que le ROA de 11,06% témoigne d'une utilisation efficace des actifs. La structure financière est solide avec une autonomie financière de 61,08%, un ratio d'endettement maîtrisé de 25,81% et une capacité de remboursement de 0,97 an (dettes financières/CAF). Le BFR de 65,39 milliards FCFA et la trésorerie nette négative de -15,41 milliards FCFA constituent des points de vigilance, tout comme le délai client de 35 jours et la durée de stockage de 72,33 jours, qui immobilisent du capital. Les rapports trimestriels de 2025 confirment cette dynamique : au T3 2025 (rapport du 30 septembre 2025), le CA cumulé atteignait 253,72 milliards FCFA (+36%) et le résultat net 23,15 milliards FCFA (+131%), avec une marge nette de 9%. Cependant, le rapport du T1 2026 (publié en 2026) révèle un net ralentissement : le CA chute de 24% à 71,8 milliards FCFA et le résultat net s'effondre de 78% à 2,63 milliards FCFA, pénalisé par la baisse des cours mondiaux du caoutchouc, l'engorgement du port de San Pedro et la concurrence accrue pour l'approvisionnement en matière première. On estime que l'exercice 2026 devrait être marqué par une contraction significative des résultats si cette tendance se poursuit, bien que la société maintienne une structure financière solide et poursuive ses investissements stratégiques. La politique de dividende reste attractive avec un DPA proposé de 489 FCFA brut par action (12,50 milliards FCFA au total), en hausse de 32,7% sur un an, offrant un rendement de 6,2% au cours actuel de 7 900 FCFA. Le principal risque réside dans la volatilité des cours mondiaux du caoutchouc et la pression concurrentielle sur l'approvisionnement local, tandis que l'avance stratégique sur la réglementation EUDR constitue une opportunité de valorisation à moyen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SPHC apparaît attract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28.02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6,107 titres</w:t>
            </w:r>
          </w:p>
        </w:tc>
        <w:tc>
          <w:tcPr>
            <w:tcW w:type="dxa" w:w="2268"/>
            <w:shd w:fill="FFF2CC" w:val="clear"/>
          </w:tcPr>
          <w:p>
            <w:r>
              <w:rPr>
                <w:b/>
                <w:color w:val="503200"/>
                <w:sz w:val="16"/>
              </w:rPr>
              <w:t xml:space="preserve">Cours actuel : </w:t>
            </w:r>
            <w:r>
              <w:rPr>
                <w:color w:val="000000"/>
                <w:sz w:val="17"/>
              </w:rPr>
              <w:t>2,085 FCFA</w:t>
            </w:r>
          </w:p>
          <w:p>
            <w:r>
              <w:rPr>
                <w:b/>
                <w:color w:val="503200"/>
                <w:sz w:val="16"/>
              </w:rPr>
              <w:t xml:space="preserve">Var. 100 jours : </w:t>
            </w:r>
            <w:r>
              <w:rPr>
                <w:b/>
                <w:color w:val="B40000"/>
                <w:sz w:val="17"/>
              </w:rPr>
              <w:t>-29.44%</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2,085 FCFA</w:t>
            </w:r>
          </w:p>
          <w:p>
            <w:r>
              <w:rPr>
                <w:b/>
                <w:color w:val="503200"/>
                <w:sz w:val="16"/>
              </w:rPr>
              <w:t xml:space="preserve">Volatilité ann. : </w:t>
            </w:r>
            <w:r>
              <w:rPr>
                <w:color w:val="000000"/>
                <w:sz w:val="17"/>
              </w:rPr>
              <w:t>59.5%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13.37% (Moyenne) — μ=2,890 FCFA, σ=386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β=-0.0460 (Contre-cyclique) — Cov=-0.000003, Var(idx)=0.000069, ρ=-0.010,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6,107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σ_j=3.75%/j (Modérée) — Vol. annualisée≈59.5%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2026-09-28</w:t>
            </w:r>
          </w:p>
        </w:tc>
        <w:tc>
          <w:tcPr>
            <w:tcW w:type="dxa" w:w="1440"/>
            <w:shd w:fill="C6EFCE" w:val="clear"/>
          </w:tcPr>
          <w:p>
            <w:r>
              <w:rPr>
                <w:sz w:val="17"/>
              </w:rPr>
              <w:t>2,015</w:t>
            </w:r>
          </w:p>
        </w:tc>
        <w:tc>
          <w:tcPr>
            <w:tcW w:type="dxa" w:w="1440"/>
            <w:shd w:fill="C6EFCE" w:val="clear"/>
          </w:tcPr>
          <w:p>
            <w:r>
              <w:rPr>
                <w:b/>
                <w:sz w:val="17"/>
              </w:rPr>
              <w:t>2,129</w:t>
            </w:r>
          </w:p>
        </w:tc>
        <w:tc>
          <w:tcPr>
            <w:tcW w:type="dxa" w:w="1440"/>
            <w:shd w:fill="C6EFCE" w:val="clear"/>
          </w:tcPr>
          <w:p>
            <w:r>
              <w:rPr>
                <w:sz w:val="17"/>
              </w:rPr>
              <w:t>2,242</w:t>
            </w:r>
          </w:p>
        </w:tc>
        <w:tc>
          <w:tcPr>
            <w:tcW w:type="dxa" w:w="1440"/>
            <w:shd w:fill="C6EFCE" w:val="clear"/>
          </w:tcPr>
          <w:p>
            <w:r>
              <w:rPr>
                <w:b/>
                <w:color w:val="008000"/>
                <w:sz w:val="17"/>
              </w:rPr>
              <w:t>+2.1%</w:t>
            </w:r>
          </w:p>
        </w:tc>
      </w:tr>
      <w:tr>
        <w:tc>
          <w:tcPr>
            <w:tcW w:type="dxa" w:w="1440"/>
            <w:shd w:fill="FAFAFA" w:val="clear"/>
          </w:tcPr>
          <w:p>
            <w:r>
              <w:rPr>
                <w:sz w:val="17"/>
              </w:rPr>
              <w:t>J+2  Moyenne</w:t>
            </w:r>
          </w:p>
        </w:tc>
        <w:tc>
          <w:tcPr>
            <w:tcW w:type="dxa" w:w="1440"/>
            <w:shd w:fill="FAFAFA" w:val="clear"/>
          </w:tcPr>
          <w:p>
            <w:r>
              <w:rPr>
                <w:sz w:val="17"/>
              </w:rPr>
              <w:t>2026-09-29</w:t>
            </w:r>
          </w:p>
        </w:tc>
        <w:tc>
          <w:tcPr>
            <w:tcW w:type="dxa" w:w="1440"/>
            <w:shd w:fill="FAFAFA" w:val="clear"/>
          </w:tcPr>
          <w:p>
            <w:r>
              <w:rPr>
                <w:sz w:val="17"/>
              </w:rPr>
              <w:t>1,956</w:t>
            </w:r>
          </w:p>
        </w:tc>
        <w:tc>
          <w:tcPr>
            <w:tcW w:type="dxa" w:w="1440"/>
            <w:shd w:fill="FAFAFA" w:val="clear"/>
          </w:tcPr>
          <w:p>
            <w:r>
              <w:rPr>
                <w:b/>
                <w:sz w:val="17"/>
              </w:rPr>
              <w:t>2,115</w:t>
            </w:r>
          </w:p>
        </w:tc>
        <w:tc>
          <w:tcPr>
            <w:tcW w:type="dxa" w:w="1440"/>
            <w:shd w:fill="FAFAFA" w:val="clear"/>
          </w:tcPr>
          <w:p>
            <w:r>
              <w:rPr>
                <w:sz w:val="17"/>
              </w:rPr>
              <w:t>2,274</w:t>
            </w:r>
          </w:p>
        </w:tc>
        <w:tc>
          <w:tcPr>
            <w:tcW w:type="dxa" w:w="1440"/>
            <w:shd w:fill="FAFAFA" w:val="clear"/>
          </w:tcPr>
          <w:p>
            <w:r>
              <w:rPr>
                <w:b/>
                <w:color w:val="008000"/>
                <w:sz w:val="17"/>
              </w:rPr>
              <w:t>+1.4%</w:t>
            </w:r>
          </w:p>
        </w:tc>
      </w:tr>
      <w:tr>
        <w:tc>
          <w:tcPr>
            <w:tcW w:type="dxa" w:w="1440"/>
            <w:shd w:fill="FAFAFA" w:val="clear"/>
          </w:tcPr>
          <w:p>
            <w:r>
              <w:rPr>
                <w:sz w:val="17"/>
              </w:rPr>
              <w:t>J+3  Moyenne</w:t>
            </w:r>
          </w:p>
        </w:tc>
        <w:tc>
          <w:tcPr>
            <w:tcW w:type="dxa" w:w="1440"/>
            <w:shd w:fill="FAFAFA" w:val="clear"/>
          </w:tcPr>
          <w:p>
            <w:r>
              <w:rPr>
                <w:sz w:val="17"/>
              </w:rPr>
              <w:t>2026-09-30</w:t>
            </w:r>
          </w:p>
        </w:tc>
        <w:tc>
          <w:tcPr>
            <w:tcW w:type="dxa" w:w="1440"/>
            <w:shd w:fill="FAFAFA" w:val="clear"/>
          </w:tcPr>
          <w:p>
            <w:r>
              <w:rPr>
                <w:sz w:val="17"/>
              </w:rPr>
              <w:t>1,917</w:t>
            </w:r>
          </w:p>
        </w:tc>
        <w:tc>
          <w:tcPr>
            <w:tcW w:type="dxa" w:w="1440"/>
            <w:shd w:fill="FAFAFA" w:val="clear"/>
          </w:tcPr>
          <w:p>
            <w:r>
              <w:rPr>
                <w:b/>
                <w:sz w:val="17"/>
              </w:rPr>
              <w:t>2,112</w:t>
            </w:r>
          </w:p>
        </w:tc>
        <w:tc>
          <w:tcPr>
            <w:tcW w:type="dxa" w:w="1440"/>
            <w:shd w:fill="FAFAFA" w:val="clear"/>
          </w:tcPr>
          <w:p>
            <w:r>
              <w:rPr>
                <w:sz w:val="17"/>
              </w:rPr>
              <w:t>2,307</w:t>
            </w:r>
          </w:p>
        </w:tc>
        <w:tc>
          <w:tcPr>
            <w:tcW w:type="dxa" w:w="1440"/>
            <w:shd w:fill="FAFAFA" w:val="clear"/>
          </w:tcPr>
          <w:p>
            <w:r>
              <w:rPr>
                <w:b/>
                <w:color w:val="008000"/>
                <w:sz w:val="17"/>
              </w:rPr>
              <w:t>+1.3%</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1,887</w:t>
            </w:r>
          </w:p>
        </w:tc>
        <w:tc>
          <w:tcPr>
            <w:tcW w:type="dxa" w:w="1440"/>
            <w:shd w:fill="FAFAFA" w:val="clear"/>
          </w:tcPr>
          <w:p>
            <w:r>
              <w:rPr>
                <w:b/>
                <w:sz w:val="17"/>
              </w:rPr>
              <w:t>2,112</w:t>
            </w:r>
          </w:p>
        </w:tc>
        <w:tc>
          <w:tcPr>
            <w:tcW w:type="dxa" w:w="1440"/>
            <w:shd w:fill="FAFAFA" w:val="clear"/>
          </w:tcPr>
          <w:p>
            <w:r>
              <w:rPr>
                <w:sz w:val="17"/>
              </w:rPr>
              <w:t>2,337</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1,862</w:t>
            </w:r>
          </w:p>
        </w:tc>
        <w:tc>
          <w:tcPr>
            <w:tcW w:type="dxa" w:w="1440"/>
            <w:shd w:fill="FAFAFA" w:val="clear"/>
          </w:tcPr>
          <w:p>
            <w:r>
              <w:rPr>
                <w:b/>
                <w:sz w:val="17"/>
              </w:rPr>
              <w:t>2,114</w:t>
            </w:r>
          </w:p>
        </w:tc>
        <w:tc>
          <w:tcPr>
            <w:tcW w:type="dxa" w:w="1440"/>
            <w:shd w:fill="FAFAFA" w:val="clear"/>
          </w:tcPr>
          <w:p>
            <w:r>
              <w:rPr>
                <w:sz w:val="17"/>
              </w:rPr>
              <w:t>2,366</w:t>
            </w:r>
          </w:p>
        </w:tc>
        <w:tc>
          <w:tcPr>
            <w:tcW w:type="dxa" w:w="1440"/>
            <w:shd w:fill="FAFAFA" w:val="clear"/>
          </w:tcPr>
          <w:p>
            <w:r>
              <w:rPr>
                <w:b/>
                <w:color w:val="008000"/>
                <w:sz w:val="17"/>
              </w:rPr>
              <w:t>+1.4%</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1,840</w:t>
            </w:r>
          </w:p>
        </w:tc>
        <w:tc>
          <w:tcPr>
            <w:tcW w:type="dxa" w:w="1440"/>
            <w:shd w:fill="FAFAFA" w:val="clear"/>
          </w:tcPr>
          <w:p>
            <w:r>
              <w:rPr>
                <w:b/>
                <w:sz w:val="17"/>
              </w:rPr>
              <w:t>2,117</w:t>
            </w:r>
          </w:p>
        </w:tc>
        <w:tc>
          <w:tcPr>
            <w:tcW w:type="dxa" w:w="1440"/>
            <w:shd w:fill="FAFAFA" w:val="clear"/>
          </w:tcPr>
          <w:p>
            <w:r>
              <w:rPr>
                <w:sz w:val="17"/>
              </w:rPr>
              <w:t>2,393</w:t>
            </w:r>
          </w:p>
        </w:tc>
        <w:tc>
          <w:tcPr>
            <w:tcW w:type="dxa" w:w="1440"/>
            <w:shd w:fill="FAFAFA" w:val="clear"/>
          </w:tcPr>
          <w:p>
            <w:r>
              <w:rPr>
                <w:b/>
                <w:color w:val="008000"/>
                <w:sz w:val="17"/>
              </w:rPr>
              <w:t>+1.5%</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1,820</w:t>
            </w:r>
          </w:p>
        </w:tc>
        <w:tc>
          <w:tcPr>
            <w:tcW w:type="dxa" w:w="1440"/>
            <w:shd w:fill="FAFAFA" w:val="clear"/>
          </w:tcPr>
          <w:p>
            <w:r>
              <w:rPr>
                <w:b/>
                <w:sz w:val="17"/>
              </w:rPr>
              <w:t>2,119</w:t>
            </w:r>
          </w:p>
        </w:tc>
        <w:tc>
          <w:tcPr>
            <w:tcW w:type="dxa" w:w="1440"/>
            <w:shd w:fill="FAFAFA" w:val="clear"/>
          </w:tcPr>
          <w:p>
            <w:r>
              <w:rPr>
                <w:sz w:val="17"/>
              </w:rPr>
              <w:t>2,418</w:t>
            </w:r>
          </w:p>
        </w:tc>
        <w:tc>
          <w:tcPr>
            <w:tcW w:type="dxa" w:w="1440"/>
            <w:shd w:fill="FAFAFA" w:val="clear"/>
          </w:tcPr>
          <w:p>
            <w:r>
              <w:rPr>
                <w:b/>
                <w:color w:val="008000"/>
                <w:sz w:val="17"/>
              </w:rPr>
              <w:t>+1.6%</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1,801</w:t>
            </w:r>
          </w:p>
        </w:tc>
        <w:tc>
          <w:tcPr>
            <w:tcW w:type="dxa" w:w="1440"/>
            <w:shd w:fill="FAFAFA" w:val="clear"/>
          </w:tcPr>
          <w:p>
            <w:r>
              <w:rPr>
                <w:b/>
                <w:sz w:val="17"/>
              </w:rPr>
              <w:t>2,121</w:t>
            </w:r>
          </w:p>
        </w:tc>
        <w:tc>
          <w:tcPr>
            <w:tcW w:type="dxa" w:w="1440"/>
            <w:shd w:fill="FAFAFA" w:val="clear"/>
          </w:tcPr>
          <w:p>
            <w:r>
              <w:rPr>
                <w:sz w:val="17"/>
              </w:rPr>
              <w:t>2,440</w:t>
            </w:r>
          </w:p>
        </w:tc>
        <w:tc>
          <w:tcPr>
            <w:tcW w:type="dxa" w:w="1440"/>
            <w:shd w:fill="FAFAFA" w:val="clear"/>
          </w:tcPr>
          <w:p>
            <w:r>
              <w:rPr>
                <w:b/>
                <w:color w:val="008000"/>
                <w:sz w:val="17"/>
              </w:rPr>
              <w:t>+1.7%</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1,783</w:t>
            </w:r>
          </w:p>
        </w:tc>
        <w:tc>
          <w:tcPr>
            <w:tcW w:type="dxa" w:w="1440"/>
            <w:shd w:fill="FAFAFA" w:val="clear"/>
          </w:tcPr>
          <w:p>
            <w:r>
              <w:rPr>
                <w:b/>
                <w:sz w:val="17"/>
              </w:rPr>
              <w:t>2,123</w:t>
            </w:r>
          </w:p>
        </w:tc>
        <w:tc>
          <w:tcPr>
            <w:tcW w:type="dxa" w:w="1440"/>
            <w:shd w:fill="FAFAFA" w:val="clear"/>
          </w:tcPr>
          <w:p>
            <w:r>
              <w:rPr>
                <w:sz w:val="17"/>
              </w:rPr>
              <w:t>2,462</w:t>
            </w:r>
          </w:p>
        </w:tc>
        <w:tc>
          <w:tcPr>
            <w:tcW w:type="dxa" w:w="1440"/>
            <w:shd w:fill="FAFAFA" w:val="clear"/>
          </w:tcPr>
          <w:p>
            <w:r>
              <w:rPr>
                <w:b/>
                <w:color w:val="008000"/>
                <w:sz w:val="17"/>
              </w:rPr>
              <w:t>+1.8%</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1,766</w:t>
            </w:r>
          </w:p>
        </w:tc>
        <w:tc>
          <w:tcPr>
            <w:tcW w:type="dxa" w:w="1440"/>
            <w:shd w:fill="FAFAFA" w:val="clear"/>
          </w:tcPr>
          <w:p>
            <w:r>
              <w:rPr>
                <w:b/>
                <w:sz w:val="17"/>
              </w:rPr>
              <w:t>2,124</w:t>
            </w:r>
          </w:p>
        </w:tc>
        <w:tc>
          <w:tcPr>
            <w:tcW w:type="dxa" w:w="1440"/>
            <w:shd w:fill="FAFAFA" w:val="clear"/>
          </w:tcPr>
          <w:p>
            <w:r>
              <w:rPr>
                <w:sz w:val="17"/>
              </w:rPr>
              <w:t>2,482</w:t>
            </w:r>
          </w:p>
        </w:tc>
        <w:tc>
          <w:tcPr>
            <w:tcW w:type="dxa" w:w="1440"/>
            <w:shd w:fill="FAFAFA" w:val="clear"/>
          </w:tcPr>
          <w:p>
            <w:r>
              <w:rPr>
                <w:b/>
                <w:color w:val="008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w:t>
        <w:br/>
        <w:t>*Bourse Régionale des Valeurs Mobilières (BRVM) — Secteur : BTP / Études &amp; Travaux*</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STAC s'élève à 28,02 milliards FCFA, un niveau modeste à l'échelle de la BRVM qui la classe parmi les petites capitalisations du compartiment industriel. Le BPA ressort à -7 FCFA/action, ce qui signifie que chaque action détruit 7 FCFA de valeur comptable sur l'exercice 2025, conséquence directe d'un résultat net déficitaire de -96,56 M FCFA. Le PER de -290,2x est mécaniquement négatif et donc non interprétable en termes de valorisation relative — il confirme simplement que la société est déficitaire et qu'aucun multiple de bénéfice ne peut être calculé. Le P/B de 78,55x constitue en revanche un signal d'alerte majeur : le marché valorise l'action à près de 79 fois la valeur comptable des fonds propres (356,75 M FCFA), soit une prime exorbitante par rapport à la norme BRVM (généralement 1x à 3x), ce qui traduit une décorrélation totale entre le prix de marché et la réalité bilancielle. Le ratio EV/EBITDA n'est pas exploitable ici puisque l'EBE est négatif (-650,13 M FCFA), rendant le multiple non significatif ; l'investisseur doit donc retenir que la valorisation boursière de STAC repose sur des anticipations de retournement et non sur des fondamentaux actuels.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STAC a enregistré une chute vertigineuse de -29,44%, avec une dernière séance particulièrement violente à -7,33%, portant le cours à 2 085 FCFA — soit précisément le plus bas de la période, ce qui signifie que le titre clôture au plancher de son range. Le plus haut atteint sur la période s'établit à 3 640 FCFA, matérialisant un range de trading de 1 555 FCFA (soit près de 75% du cours actuel), ce qui témoigne d'une érosion baissière continue et d'une absence de support solide. La tendance générale est donc clairement baissière, avec un cours qui a perdu près d'un tiers de sa valeur en à peine plus de trois mois. Les statistiques descriptives révèlent une moyenne de 2 890 FCFA légèrement supérieure à la médiane de 2 825 FCFA, tandis que le mode se situe à 3 500 FCFA — cet écart entre mode et cours actuel confirme que le prix a quitté sa zone de fréquence la plus élevée pour s'installer durablement en bas de range. L'écart-type de 388 FCFA avec un coefficient de variation de 13,4% indique une dispersion modérée en valeur relative, mais le kurtosis de -0,629 (mésokurtique) et le skewness de +0,233 (distribution quasi-symétrique) suggèrent un comportement de marché sans excès de pics extrêmes ni asymétrie marquée — ce qui est paradoxal pour un titre ayant chuté de près de 30%. La volatilité annualisée de 59,5% classe STAC dans la catégorie des titres à volatilité élevée (&gt;30%), ce qui implique un risque de perte en capital significatif et justifie une prime de risque importante pour tout investisseur potentiel.</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(2 461,25 FCFA) et la MM50 (2 638,90 FCFA) se situent toutes deux au-dessus du cours actuel (2 085 FCFA), avec une MM20 inférieure à la MM50 — configuration baissière classique (croisement mort déjà effectué). Le cours évolue sous ses deux moyennes, ce qui confirme la pression vendeuse persistante et justifie la décision technique de **Vente**.</w:t>
      </w:r>
    </w:p>
    <w:p>
      <w:pPr>
        <w:spacing w:after="120" w:line="276" w:lineRule="auto"/>
      </w:pPr>
      <w:r>
        <w:t>**Bandes de Bollinger** : La borne supérieure est à 2 932,80 FCFA et la borne inférieure à 1 989,70 FCFA, avec un cours actuel de 2 085 FCFA qui se situe dans la moitié basse de la bande, à seulement 95 FCFA de la borne inférieure. Cette position proche du plancher traduit une pression baissière forte, mais l'absence de franchissement de la borne inférieure maintient la décision à **Neutre** — le titre n'est pas encore en situation de survente extrême selon ce seul indicateur.</w:t>
      </w:r>
    </w:p>
    <w:p>
      <w:pPr>
        <w:spacing w:after="120" w:line="276" w:lineRule="auto"/>
      </w:pPr>
      <w:r>
        <w:t>**MACD** : La valeur du MACD (-153,57) est inférieure à son signal (-122,21), avec un histogramme négatif et un écartement croissant entre les deux lignes. Cette configuration confirme un momentum baissier toujours actif, sans signe de retournement imminent, ce qui valide la décision de **Vente**.</w:t>
      </w:r>
    </w:p>
    <w:p>
      <w:pPr>
        <w:spacing w:after="120" w:line="276" w:lineRule="auto"/>
      </w:pPr>
      <w:r>
        <w:t>**RSI** : À 25,67, le RSI se situe nettement en zone de survente (&lt;30), ce qui indique que le titre a été massivement vendu et pourrait techniquement rebondir à court terme. Cette lecture justifie la décision d'**Achat** — mais il s'agit d'un signal de rebond technique, non d'un retournement fondamental.</w:t>
      </w:r>
    </w:p>
    <w:p>
      <w:pPr>
        <w:spacing w:after="120" w:line="276" w:lineRule="auto"/>
      </w:pPr>
      <w:r>
        <w:t>**Stochastique** : Le %K est à 0,0 et le %D à 10,42, avec un %K au plancher absolu qui signale une survente extrême. Le croisement potentiel du %K au-dessus du %D n'est pas encore matérialisé, mais la position du %K à 0 rend un rebond technique probable à très court terme, justifiant la décision d'**Achat**.</w:t>
      </w:r>
    </w:p>
    <w:p>
      <w:pPr>
        <w:spacing w:after="120" w:line="276" w:lineRule="auto"/>
      </w:pPr>
      <w:r>
        <w:t>**Conclusion technique** : Les indicateurs de tendance (MM, MACD) sont unanimement baissiers et confirment la pression vendeuse de fond, tandis que les oscillateurs (RSI, Stochastique) signalent une survente extrême propice à un rebond technique. Cette divergence classique entre tendance et momentum suggère un possible rebond à court terme, mais celui-ci s'inscrirait dans une tendance baissière plus large — la prudence reste de mise.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de STAC (SETAO) révèlent une situation financière profondément dégradée. Le chiffre d'affaires s'établit à 3,878 milliards FCFA, en croissance spectaculaire de +116,26% par rapport à 2024 (1,793 Md FCFA), portée par la reprise des travaux préliminaires de l'aéroport d'Abidjan. Cependant, cette dynamique commerciale ne se traduit pas en rentabilité : le résultat net reste déficitaire à -96,56 M FCFA, la marge nette est négative à -2,49%, et le ROE s'effondre à -27,07% (très loin du seuil de 15% considéré comme excellent), tandis que le ROA ressort à -1,77%. L'EBE est lourdement négatif à -650,13 M FCFA et le résultat d'exploitation à -771,95 M FCFA, ce qui signifie que l'activité opérationnelle détruit de la valeur malgré la hausse du chiffre d'affaires — la structure de coûts reste inadaptée au niveau de revenus. Sur le plan bilanciel, la situation est préoccupante : les capitaux propres ne représentent que 356,75 M FCFA pour un total bilan de 5,447 Mds FCFA, soit une autonomie financière de seulement 6,55% (très en dessous du seuil sain de 30%), et le ratio d'endettement atteint 93,45%. La trésorerie nette de 1,330 Md FCFA constitue le principal point d'appui, mais elle est consommée par les flux opérationnels négatifs (-2,212 Mds FCFA en 2025). Le BFR est négatif à -930,47 M FCFA (favorable pour une entreprise), et la liquidité générale de 108,64% reste correcte. Les rapports trimestriels confirment la tendance : le rapport T3 2025 (daté du 30/09/2025) fait état d'un CA cumulé de 3,456 Mds FCFA (+176%) mais d'une perte nette de 477 M FCFA, en réduction de 22% sur un an ; le rapport S1 2025 (30/06/2025) montrait un CA de 2,271 Mds FCFA (+290%) pour une perte de 557 M FCFA. On estime, sur la base de ces rapports, que l'exercice 2025 devrait clôturer sur un CA proche de 4 Mds FCFA (prévision directionnelle) mais avec une perte nette annuelle qui devrait se réduire à environ -100 M FCFA, confirmant que le retour à la rentabilité n'est pas encore acquis. La comparaison avec les exercices antérieurs (2024 : CA 1,793 Md, perte -348 M ; 2023 : CA 9,265 Mds, perte -1,118 Md) montre une volatilité extrême de l'activité, dépendante de quelques grands contrats publics. En conclusion fondamentale, STAC présente une **solidité financière très faible** (capitaux propres quasi-inexistants, endettement massif, rentabilité négative), des **risques élevés** (dépendance à un projet unique, concurrence accrue, trésorerie sous tension), mais des **perspectives conditionnelles** : si le chantier de l'aéroport d'Abidjan se poursuit et que de nouveaux contrats sont sécurisés, la trajectoire vers la rentabilité pourrait se confirmer en 2026-2027.</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 cette analyse révèle un profil d'investissement hautement spéculatif et déséquilibré. **Sur le plan de la valorisation (Partie 0)**, le P/B de 78,55x et le PER négatif indiquent une surévaluation manifeste par rapport aux fondamentaux, le marché intégrant déjà des anticipations de retournement qui ne sont pas encore matérialisées dans les comptes. **Le comportement du cours (Partie 1)** est clairement baissier (-29,44% sur 100 jours, clôture au plus bas), avec une volatilité élevée (59,5%) et des statistiques descriptives (kurtosis -0,629, skewness +0,233) qui ne signalent ni excès de panique ni asymétrie favorable — le titre évolue dans une tendance baissière ordonnée. **Les signaux techniques (Partie 2)** sont divergents : les indicateurs de tendance (MM, MACD) sont baissiers, tandis que les oscillateurs (RSI à 25,67, Stochastique à 0) signalent une survente extrême propice à un rebond technique à court terme. **Les fondamentaux (Partie 3)** restent très fragiles : malgré une croissance spectaculaire du CA (+116% en 2025), la société demeure déficitaire (perte nette -96,56 M FCFA), avec des capitaux propres quasi-inexistants (6,55% du bilan) et une dépendance critique à un projet unique. **Les prédictions IA (J+1 à J+10)** anticipent une légère reprise technique (2 129 FCFA à J+1, puis stabilisation autour de 2 112-2 115 FCFA), ce qui confirme le scénario d'un rebond technique de court terme sans inversion de tendance. **Recommandation finale : VENTE** (ou **CONSERVER** uniquement pour les investisseurs déjà en position et prêts à assumer un risque élevé). La convergence entre valorisation exigeante, tendance baissière, fondamentaux dégradés et prédictions de rebond limité plaide pour une **éviction du titre** en l'absence de catalyseurs fondamentaux majeurs (nouveaux contrats significatifs, recapitalisation, retour à la rentabilité opérationnelle). Le niveau de confiance est **Moyen** (les signaux techniques de survente pourraient provoquer un rebond à court terme, mais la tendance de fond reste baissière), et le niveau de risque global est **Élevé**. L'horizon d'investissement recommandé est **court terme** (&lt;3 mois) pour les spéculateurs cherchant à capturer un rebond technique, avec un stop-loss strict ; pour les investisseurs long terme, le titre ne présente pas les caractéristiques de sécurité et de rendement requises, et une réallocation vers des valeurs plus résilientes de la BRVM (banques, télécoms) est conseillée.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384.24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3,886 titres</w:t>
            </w:r>
          </w:p>
        </w:tc>
        <w:tc>
          <w:tcPr>
            <w:tcW w:type="dxa" w:w="2268"/>
            <w:shd w:fill="FFF2CC" w:val="clear"/>
          </w:tcPr>
          <w:p>
            <w:r>
              <w:rPr>
                <w:b/>
                <w:color w:val="503200"/>
                <w:sz w:val="16"/>
              </w:rPr>
              <w:t xml:space="preserve">Cours actuel : </w:t>
            </w:r>
            <w:r>
              <w:rPr>
                <w:color w:val="000000"/>
                <w:sz w:val="17"/>
              </w:rPr>
              <w:t>21,400 FCFA</w:t>
            </w:r>
          </w:p>
          <w:p>
            <w:r>
              <w:rPr>
                <w:b/>
                <w:color w:val="503200"/>
                <w:sz w:val="16"/>
              </w:rPr>
              <w:t xml:space="preserve">Var. 100 jours : </w:t>
            </w:r>
            <w:r>
              <w:rPr>
                <w:b/>
                <w:color w:val="007800"/>
                <w:sz w:val="17"/>
              </w:rPr>
              <w:t>+4.39%</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20,250 FCFA</w:t>
            </w:r>
          </w:p>
          <w:p>
            <w:r>
              <w:rPr>
                <w:b/>
                <w:color w:val="503200"/>
                <w:sz w:val="16"/>
              </w:rPr>
              <w:t xml:space="preserve">Volatilité ann. : </w:t>
            </w:r>
            <w:r>
              <w:rPr>
                <w:color w:val="000000"/>
                <w:sz w:val="17"/>
              </w:rPr>
              <w:t>37.0%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5.28% (Moyenne) — μ=22,496 FCFA, σ=1,187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β=0.4595 (Défensif) — Cov=0.000032, Var(idx)=0.000069, ρ=0.164,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3,886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2026-09-28</w:t>
            </w:r>
          </w:p>
        </w:tc>
        <w:tc>
          <w:tcPr>
            <w:tcW w:type="dxa" w:w="1440"/>
            <w:shd w:fill="C6EFCE" w:val="clear"/>
          </w:tcPr>
          <w:p>
            <w:r>
              <w:rPr>
                <w:sz w:val="17"/>
              </w:rPr>
              <w:t>21,177</w:t>
            </w:r>
          </w:p>
        </w:tc>
        <w:tc>
          <w:tcPr>
            <w:tcW w:type="dxa" w:w="1440"/>
            <w:shd w:fill="C6EFCE" w:val="clear"/>
          </w:tcPr>
          <w:p>
            <w:r>
              <w:rPr>
                <w:b/>
                <w:sz w:val="17"/>
              </w:rPr>
              <w:t>22,140</w:t>
            </w:r>
          </w:p>
        </w:tc>
        <w:tc>
          <w:tcPr>
            <w:tcW w:type="dxa" w:w="1440"/>
            <w:shd w:fill="C6EFCE" w:val="clear"/>
          </w:tcPr>
          <w:p>
            <w:r>
              <w:rPr>
                <w:sz w:val="17"/>
              </w:rPr>
              <w:t>23,104</w:t>
            </w:r>
          </w:p>
        </w:tc>
        <w:tc>
          <w:tcPr>
            <w:tcW w:type="dxa" w:w="1440"/>
            <w:shd w:fill="C6EFCE" w:val="clear"/>
          </w:tcPr>
          <w:p>
            <w:r>
              <w:rPr>
                <w:b/>
                <w:color w:val="008000"/>
                <w:sz w:val="17"/>
              </w:rPr>
              <w:t>+3.5%</w:t>
            </w:r>
          </w:p>
        </w:tc>
      </w:tr>
      <w:tr>
        <w:tc>
          <w:tcPr>
            <w:tcW w:type="dxa" w:w="1440"/>
            <w:shd w:fill="C6EFCE" w:val="clear"/>
          </w:tcPr>
          <w:p>
            <w:r>
              <w:rPr>
                <w:sz w:val="17"/>
              </w:rPr>
              <w:t>J+2  ⭐</w:t>
            </w:r>
          </w:p>
        </w:tc>
        <w:tc>
          <w:tcPr>
            <w:tcW w:type="dxa" w:w="1440"/>
            <w:shd w:fill="C6EFCE" w:val="clear"/>
          </w:tcPr>
          <w:p>
            <w:r>
              <w:rPr>
                <w:sz w:val="17"/>
              </w:rPr>
              <w:t>2026-09-29</w:t>
            </w:r>
          </w:p>
        </w:tc>
        <w:tc>
          <w:tcPr>
            <w:tcW w:type="dxa" w:w="1440"/>
            <w:shd w:fill="C6EFCE" w:val="clear"/>
          </w:tcPr>
          <w:p>
            <w:r>
              <w:rPr>
                <w:sz w:val="17"/>
              </w:rPr>
              <w:t>21,096</w:t>
            </w:r>
          </w:p>
        </w:tc>
        <w:tc>
          <w:tcPr>
            <w:tcW w:type="dxa" w:w="1440"/>
            <w:shd w:fill="C6EFCE" w:val="clear"/>
          </w:tcPr>
          <w:p>
            <w:r>
              <w:rPr>
                <w:b/>
                <w:sz w:val="17"/>
              </w:rPr>
              <w:t>22,479</w:t>
            </w:r>
          </w:p>
        </w:tc>
        <w:tc>
          <w:tcPr>
            <w:tcW w:type="dxa" w:w="1440"/>
            <w:shd w:fill="C6EFCE" w:val="clear"/>
          </w:tcPr>
          <w:p>
            <w:r>
              <w:rPr>
                <w:sz w:val="17"/>
              </w:rPr>
              <w:t>23,862</w:t>
            </w:r>
          </w:p>
        </w:tc>
        <w:tc>
          <w:tcPr>
            <w:tcW w:type="dxa" w:w="1440"/>
            <w:shd w:fill="C6EFCE" w:val="clear"/>
          </w:tcPr>
          <w:p>
            <w:r>
              <w:rPr>
                <w:b/>
                <w:color w:val="008000"/>
                <w:sz w:val="17"/>
              </w:rPr>
              <w:t>+5.0%</w:t>
            </w:r>
          </w:p>
        </w:tc>
      </w:tr>
      <w:tr>
        <w:tc>
          <w:tcPr>
            <w:tcW w:type="dxa" w:w="1440"/>
            <w:shd w:fill="C6EFCE" w:val="clear"/>
          </w:tcPr>
          <w:p>
            <w:r>
              <w:rPr>
                <w:sz w:val="17"/>
              </w:rPr>
              <w:t>J+3  ⭐</w:t>
            </w:r>
          </w:p>
        </w:tc>
        <w:tc>
          <w:tcPr>
            <w:tcW w:type="dxa" w:w="1440"/>
            <w:shd w:fill="C6EFCE" w:val="clear"/>
          </w:tcPr>
          <w:p>
            <w:r>
              <w:rPr>
                <w:sz w:val="17"/>
              </w:rPr>
              <w:t>2026-09-30</w:t>
            </w:r>
          </w:p>
        </w:tc>
        <w:tc>
          <w:tcPr>
            <w:tcW w:type="dxa" w:w="1440"/>
            <w:shd w:fill="C6EFCE" w:val="clear"/>
          </w:tcPr>
          <w:p>
            <w:r>
              <w:rPr>
                <w:sz w:val="17"/>
              </w:rPr>
              <w:t>21,092</w:t>
            </w:r>
          </w:p>
        </w:tc>
        <w:tc>
          <w:tcPr>
            <w:tcW w:type="dxa" w:w="1440"/>
            <w:shd w:fill="C6EFCE" w:val="clear"/>
          </w:tcPr>
          <w:p>
            <w:r>
              <w:rPr>
                <w:b/>
                <w:sz w:val="17"/>
              </w:rPr>
              <w:t>22,812</w:t>
            </w:r>
          </w:p>
        </w:tc>
        <w:tc>
          <w:tcPr>
            <w:tcW w:type="dxa" w:w="1440"/>
            <w:shd w:fill="C6EFCE" w:val="clear"/>
          </w:tcPr>
          <w:p>
            <w:r>
              <w:rPr>
                <w:sz w:val="17"/>
              </w:rPr>
              <w:t>24,531</w:t>
            </w:r>
          </w:p>
        </w:tc>
        <w:tc>
          <w:tcPr>
            <w:tcW w:type="dxa" w:w="1440"/>
            <w:shd w:fill="C6EFCE" w:val="clear"/>
          </w:tcPr>
          <w:p>
            <w:r>
              <w:rPr>
                <w:b/>
                <w:color w:val="008000"/>
                <w:sz w:val="17"/>
              </w:rPr>
              <w:t>+6.6%</w:t>
            </w:r>
          </w:p>
        </w:tc>
      </w:tr>
      <w:tr>
        <w:tc>
          <w:tcPr>
            <w:tcW w:type="dxa" w:w="1440"/>
            <w:shd w:fill="C6EFCE" w:val="clear"/>
          </w:tcPr>
          <w:p>
            <w:r>
              <w:rPr>
                <w:sz w:val="17"/>
              </w:rPr>
              <w:t>J+4  ⭐</w:t>
            </w:r>
          </w:p>
        </w:tc>
        <w:tc>
          <w:tcPr>
            <w:tcW w:type="dxa" w:w="1440"/>
            <w:shd w:fill="C6EFCE" w:val="clear"/>
          </w:tcPr>
          <w:p>
            <w:r>
              <w:rPr>
                <w:sz w:val="17"/>
              </w:rPr>
              <w:t>2026-10-01</w:t>
            </w:r>
          </w:p>
        </w:tc>
        <w:tc>
          <w:tcPr>
            <w:tcW w:type="dxa" w:w="1440"/>
            <w:shd w:fill="C6EFCE" w:val="clear"/>
          </w:tcPr>
          <w:p>
            <w:r>
              <w:rPr>
                <w:sz w:val="17"/>
              </w:rPr>
              <w:t>21,100</w:t>
            </w:r>
          </w:p>
        </w:tc>
        <w:tc>
          <w:tcPr>
            <w:tcW w:type="dxa" w:w="1440"/>
            <w:shd w:fill="C6EFCE" w:val="clear"/>
          </w:tcPr>
          <w:p>
            <w:r>
              <w:rPr>
                <w:b/>
                <w:sz w:val="17"/>
              </w:rPr>
              <w:t>23,111</w:t>
            </w:r>
          </w:p>
        </w:tc>
        <w:tc>
          <w:tcPr>
            <w:tcW w:type="dxa" w:w="1440"/>
            <w:shd w:fill="C6EFCE" w:val="clear"/>
          </w:tcPr>
          <w:p>
            <w:r>
              <w:rPr>
                <w:sz w:val="17"/>
              </w:rPr>
              <w:t>25,123</w:t>
            </w:r>
          </w:p>
        </w:tc>
        <w:tc>
          <w:tcPr>
            <w:tcW w:type="dxa" w:w="1440"/>
            <w:shd w:fill="C6EFCE" w:val="clear"/>
          </w:tcPr>
          <w:p>
            <w:r>
              <w:rPr>
                <w:b/>
                <w:color w:val="008000"/>
                <w:sz w:val="17"/>
              </w:rPr>
              <w:t>+8.0%</w:t>
            </w:r>
          </w:p>
        </w:tc>
      </w:tr>
      <w:tr>
        <w:tc>
          <w:tcPr>
            <w:tcW w:type="dxa" w:w="1440"/>
            <w:shd w:fill="C6EFCE" w:val="clear"/>
          </w:tcPr>
          <w:p>
            <w:r>
              <w:rPr>
                <w:sz w:val="17"/>
              </w:rPr>
              <w:t>J+5  ⭐</w:t>
            </w:r>
          </w:p>
        </w:tc>
        <w:tc>
          <w:tcPr>
            <w:tcW w:type="dxa" w:w="1440"/>
            <w:shd w:fill="C6EFCE" w:val="clear"/>
          </w:tcPr>
          <w:p>
            <w:r>
              <w:rPr>
                <w:sz w:val="17"/>
              </w:rPr>
              <w:t>2026-10-02</w:t>
            </w:r>
          </w:p>
        </w:tc>
        <w:tc>
          <w:tcPr>
            <w:tcW w:type="dxa" w:w="1440"/>
            <w:shd w:fill="C6EFCE" w:val="clear"/>
          </w:tcPr>
          <w:p>
            <w:r>
              <w:rPr>
                <w:sz w:val="17"/>
              </w:rPr>
              <w:t>21,075</w:t>
            </w:r>
          </w:p>
        </w:tc>
        <w:tc>
          <w:tcPr>
            <w:tcW w:type="dxa" w:w="1440"/>
            <w:shd w:fill="C6EFCE" w:val="clear"/>
          </w:tcPr>
          <w:p>
            <w:r>
              <w:rPr>
                <w:b/>
                <w:sz w:val="17"/>
              </w:rPr>
              <w:t>23,347</w:t>
            </w:r>
          </w:p>
        </w:tc>
        <w:tc>
          <w:tcPr>
            <w:tcW w:type="dxa" w:w="1440"/>
            <w:shd w:fill="C6EFCE" w:val="clear"/>
          </w:tcPr>
          <w:p>
            <w:r>
              <w:rPr>
                <w:sz w:val="17"/>
              </w:rPr>
              <w:t>25,618</w:t>
            </w:r>
          </w:p>
        </w:tc>
        <w:tc>
          <w:tcPr>
            <w:tcW w:type="dxa" w:w="1440"/>
            <w:shd w:fill="C6EFCE" w:val="clear"/>
          </w:tcPr>
          <w:p>
            <w:r>
              <w:rPr>
                <w:b/>
                <w:color w:val="008000"/>
                <w:sz w:val="17"/>
              </w:rPr>
              <w:t>+9.1%</w:t>
            </w:r>
          </w:p>
        </w:tc>
      </w:tr>
      <w:tr>
        <w:tc>
          <w:tcPr>
            <w:tcW w:type="dxa" w:w="1440"/>
            <w:shd w:fill="C6EFCE" w:val="clear"/>
          </w:tcPr>
          <w:p>
            <w:r>
              <w:rPr>
                <w:sz w:val="17"/>
              </w:rPr>
              <w:t>J+6  ⭐</w:t>
            </w:r>
          </w:p>
        </w:tc>
        <w:tc>
          <w:tcPr>
            <w:tcW w:type="dxa" w:w="1440"/>
            <w:shd w:fill="C6EFCE" w:val="clear"/>
          </w:tcPr>
          <w:p>
            <w:r>
              <w:rPr>
                <w:sz w:val="17"/>
              </w:rPr>
              <w:t>2026-10-05</w:t>
            </w:r>
          </w:p>
        </w:tc>
        <w:tc>
          <w:tcPr>
            <w:tcW w:type="dxa" w:w="1440"/>
            <w:shd w:fill="C6EFCE" w:val="clear"/>
          </w:tcPr>
          <w:p>
            <w:r>
              <w:rPr>
                <w:sz w:val="17"/>
              </w:rPr>
              <w:t>21,058</w:t>
            </w:r>
          </w:p>
        </w:tc>
        <w:tc>
          <w:tcPr>
            <w:tcW w:type="dxa" w:w="1440"/>
            <w:shd w:fill="C6EFCE" w:val="clear"/>
          </w:tcPr>
          <w:p>
            <w:r>
              <w:rPr>
                <w:b/>
                <w:sz w:val="17"/>
              </w:rPr>
              <w:t>23,570</w:t>
            </w:r>
          </w:p>
        </w:tc>
        <w:tc>
          <w:tcPr>
            <w:tcW w:type="dxa" w:w="1440"/>
            <w:shd w:fill="C6EFCE" w:val="clear"/>
          </w:tcPr>
          <w:p>
            <w:r>
              <w:rPr>
                <w:sz w:val="17"/>
              </w:rPr>
              <w:t>26,083</w:t>
            </w:r>
          </w:p>
        </w:tc>
        <w:tc>
          <w:tcPr>
            <w:tcW w:type="dxa" w:w="1440"/>
            <w:shd w:fill="C6EFCE" w:val="clear"/>
          </w:tcPr>
          <w:p>
            <w:r>
              <w:rPr>
                <w:b/>
                <w:color w:val="008000"/>
                <w:sz w:val="17"/>
              </w:rPr>
              <w:t>+10.1%</w:t>
            </w:r>
          </w:p>
        </w:tc>
      </w:tr>
      <w:tr>
        <w:tc>
          <w:tcPr>
            <w:tcW w:type="dxa" w:w="1440"/>
            <w:shd w:fill="C6EFCE" w:val="clear"/>
          </w:tcPr>
          <w:p>
            <w:r>
              <w:rPr>
                <w:sz w:val="17"/>
              </w:rPr>
              <w:t>J+7  ⭐</w:t>
            </w:r>
          </w:p>
        </w:tc>
        <w:tc>
          <w:tcPr>
            <w:tcW w:type="dxa" w:w="1440"/>
            <w:shd w:fill="C6EFCE" w:val="clear"/>
          </w:tcPr>
          <w:p>
            <w:r>
              <w:rPr>
                <w:sz w:val="17"/>
              </w:rPr>
              <w:t>2026-10-06</w:t>
            </w:r>
          </w:p>
        </w:tc>
        <w:tc>
          <w:tcPr>
            <w:tcW w:type="dxa" w:w="1440"/>
            <w:shd w:fill="C6EFCE" w:val="clear"/>
          </w:tcPr>
          <w:p>
            <w:r>
              <w:rPr>
                <w:sz w:val="17"/>
              </w:rPr>
              <w:t>20,999</w:t>
            </w:r>
          </w:p>
        </w:tc>
        <w:tc>
          <w:tcPr>
            <w:tcW w:type="dxa" w:w="1440"/>
            <w:shd w:fill="C6EFCE" w:val="clear"/>
          </w:tcPr>
          <w:p>
            <w:r>
              <w:rPr>
                <w:b/>
                <w:sz w:val="17"/>
              </w:rPr>
              <w:t>23,731</w:t>
            </w:r>
          </w:p>
        </w:tc>
        <w:tc>
          <w:tcPr>
            <w:tcW w:type="dxa" w:w="1440"/>
            <w:shd w:fill="C6EFCE" w:val="clear"/>
          </w:tcPr>
          <w:p>
            <w:r>
              <w:rPr>
                <w:sz w:val="17"/>
              </w:rPr>
              <w:t>26,463</w:t>
            </w:r>
          </w:p>
        </w:tc>
        <w:tc>
          <w:tcPr>
            <w:tcW w:type="dxa" w:w="1440"/>
            <w:shd w:fill="C6EFCE" w:val="clear"/>
          </w:tcPr>
          <w:p>
            <w:r>
              <w:rPr>
                <w:b/>
                <w:color w:val="008000"/>
                <w:sz w:val="17"/>
              </w:rPr>
              <w:t>+10.9%</w:t>
            </w:r>
          </w:p>
        </w:tc>
      </w:tr>
      <w:tr>
        <w:tc>
          <w:tcPr>
            <w:tcW w:type="dxa" w:w="1440"/>
            <w:shd w:fill="C6EFCE" w:val="clear"/>
          </w:tcPr>
          <w:p>
            <w:r>
              <w:rPr>
                <w:sz w:val="17"/>
              </w:rPr>
              <w:t>J+8  ⭐</w:t>
            </w:r>
          </w:p>
        </w:tc>
        <w:tc>
          <w:tcPr>
            <w:tcW w:type="dxa" w:w="1440"/>
            <w:shd w:fill="C6EFCE" w:val="clear"/>
          </w:tcPr>
          <w:p>
            <w:r>
              <w:rPr>
                <w:sz w:val="17"/>
              </w:rPr>
              <w:t>2026-10-07</w:t>
            </w:r>
          </w:p>
        </w:tc>
        <w:tc>
          <w:tcPr>
            <w:tcW w:type="dxa" w:w="1440"/>
            <w:shd w:fill="C6EFCE" w:val="clear"/>
          </w:tcPr>
          <w:p>
            <w:r>
              <w:rPr>
                <w:sz w:val="17"/>
              </w:rPr>
              <w:t>20,916</w:t>
            </w:r>
          </w:p>
        </w:tc>
        <w:tc>
          <w:tcPr>
            <w:tcW w:type="dxa" w:w="1440"/>
            <w:shd w:fill="C6EFCE" w:val="clear"/>
          </w:tcPr>
          <w:p>
            <w:r>
              <w:rPr>
                <w:b/>
                <w:sz w:val="17"/>
              </w:rPr>
              <w:t>23,851</w:t>
            </w:r>
          </w:p>
        </w:tc>
        <w:tc>
          <w:tcPr>
            <w:tcW w:type="dxa" w:w="1440"/>
            <w:shd w:fill="C6EFCE" w:val="clear"/>
          </w:tcPr>
          <w:p>
            <w:r>
              <w:rPr>
                <w:sz w:val="17"/>
              </w:rPr>
              <w:t>26,787</w:t>
            </w:r>
          </w:p>
        </w:tc>
        <w:tc>
          <w:tcPr>
            <w:tcW w:type="dxa" w:w="1440"/>
            <w:shd w:fill="C6EFCE" w:val="clear"/>
          </w:tcPr>
          <w:p>
            <w:r>
              <w:rPr>
                <w:b/>
                <w:color w:val="008000"/>
                <w:sz w:val="17"/>
              </w:rPr>
              <w:t>+11.5%</w:t>
            </w:r>
          </w:p>
        </w:tc>
      </w:tr>
      <w:tr>
        <w:tc>
          <w:tcPr>
            <w:tcW w:type="dxa" w:w="1440"/>
            <w:shd w:fill="C6EFCE" w:val="clear"/>
          </w:tcPr>
          <w:p>
            <w:r>
              <w:rPr>
                <w:sz w:val="17"/>
              </w:rPr>
              <w:t>J+9  ⭐</w:t>
            </w:r>
          </w:p>
        </w:tc>
        <w:tc>
          <w:tcPr>
            <w:tcW w:type="dxa" w:w="1440"/>
            <w:shd w:fill="C6EFCE" w:val="clear"/>
          </w:tcPr>
          <w:p>
            <w:r>
              <w:rPr>
                <w:sz w:val="17"/>
              </w:rPr>
              <w:t>2026-10-08</w:t>
            </w:r>
          </w:p>
        </w:tc>
        <w:tc>
          <w:tcPr>
            <w:tcW w:type="dxa" w:w="1440"/>
            <w:shd w:fill="C6EFCE" w:val="clear"/>
          </w:tcPr>
          <w:p>
            <w:r>
              <w:rPr>
                <w:sz w:val="17"/>
              </w:rPr>
              <w:t>20,784</w:t>
            </w:r>
          </w:p>
        </w:tc>
        <w:tc>
          <w:tcPr>
            <w:tcW w:type="dxa" w:w="1440"/>
            <w:shd w:fill="C6EFCE" w:val="clear"/>
          </w:tcPr>
          <w:p>
            <w:r>
              <w:rPr>
                <w:b/>
                <w:sz w:val="17"/>
              </w:rPr>
              <w:t>23,904</w:t>
            </w:r>
          </w:p>
        </w:tc>
        <w:tc>
          <w:tcPr>
            <w:tcW w:type="dxa" w:w="1440"/>
            <w:shd w:fill="C6EFCE" w:val="clear"/>
          </w:tcPr>
          <w:p>
            <w:r>
              <w:rPr>
                <w:sz w:val="17"/>
              </w:rPr>
              <w:t>27,025</w:t>
            </w:r>
          </w:p>
        </w:tc>
        <w:tc>
          <w:tcPr>
            <w:tcW w:type="dxa" w:w="1440"/>
            <w:shd w:fill="C6EFCE" w:val="clear"/>
          </w:tcPr>
          <w:p>
            <w:r>
              <w:rPr>
                <w:b/>
                <w:color w:val="008000"/>
                <w:sz w:val="17"/>
              </w:rPr>
              <w:t>+11.7%</w:t>
            </w:r>
          </w:p>
        </w:tc>
      </w:tr>
      <w:tr>
        <w:tc>
          <w:tcPr>
            <w:tcW w:type="dxa" w:w="1440"/>
            <w:shd w:fill="C6EFCE" w:val="clear"/>
          </w:tcPr>
          <w:p>
            <w:r>
              <w:rPr>
                <w:sz w:val="17"/>
              </w:rPr>
              <w:t>J+10  ⭐</w:t>
            </w:r>
          </w:p>
        </w:tc>
        <w:tc>
          <w:tcPr>
            <w:tcW w:type="dxa" w:w="1440"/>
            <w:shd w:fill="C6EFCE" w:val="clear"/>
          </w:tcPr>
          <w:p>
            <w:r>
              <w:rPr>
                <w:sz w:val="17"/>
              </w:rPr>
              <w:t>2026-10-09</w:t>
            </w:r>
          </w:p>
        </w:tc>
        <w:tc>
          <w:tcPr>
            <w:tcW w:type="dxa" w:w="1440"/>
            <w:shd w:fill="C6EFCE" w:val="clear"/>
          </w:tcPr>
          <w:p>
            <w:r>
              <w:rPr>
                <w:sz w:val="17"/>
              </w:rPr>
              <w:t>20,598</w:t>
            </w:r>
          </w:p>
        </w:tc>
        <w:tc>
          <w:tcPr>
            <w:tcW w:type="dxa" w:w="1440"/>
            <w:shd w:fill="C6EFCE" w:val="clear"/>
          </w:tcPr>
          <w:p>
            <w:r>
              <w:rPr>
                <w:b/>
                <w:sz w:val="17"/>
              </w:rPr>
              <w:t>23,885</w:t>
            </w:r>
          </w:p>
        </w:tc>
        <w:tc>
          <w:tcPr>
            <w:tcW w:type="dxa" w:w="1440"/>
            <w:shd w:fill="C6EFCE" w:val="clear"/>
          </w:tcPr>
          <w:p>
            <w:r>
              <w:rPr>
                <w:sz w:val="17"/>
              </w:rPr>
              <w:t>27,172</w:t>
            </w:r>
          </w:p>
        </w:tc>
        <w:tc>
          <w:tcPr>
            <w:tcW w:type="dxa" w:w="1440"/>
            <w:shd w:fill="C6EFCE" w:val="clear"/>
          </w:tcPr>
          <w:p>
            <w:r>
              <w:rPr>
                <w:b/>
                <w:color w:val="008000"/>
                <w:sz w:val="17"/>
              </w:rPr>
              <w:t>+11.6%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 📊 RAPPORT D'ANALYSE FINANCIÈRE — STBC (SITAB S.A.)</w:t>
        <w:br/>
        <w:t>**Bourse Régionale des Valeurs Mobilières (BRVM) — Secteur : Entreprise (Distribution de tabac)**</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**384,24 Mds FCFA**, STBC se positionne parmi les valeurs les plus importantes de la cote BRVM, ce qui lui confère une liquidité relative et une visibilité institutionnelle appréciables. Le BPA de **2 014 FCFA/action** traduit un bénéfice net par titre solide, et le PER de **10,6x** situe le titre dans la fourchette moyenne du marché (8-12x), signalant une valorisation raisonnable, sans prime excessive par rapport aux bénéfices. En revanche, le P/B de **8,48x** — très supérieur au seuil de 4x — révèle que le marché valorise l'entreprise à plus de huit fois ses fonds propres comptables, une prime exigeante qui s'explique par la rentabilité exceptionnelle des capitaux propres (ROE de 79,75%) mais qui laisse peu de marge d'erreur. Enfin, l'EV/EBITDA de **7,6x**, dans la fourchette raisonnable de 5-10x, indique que la valeur totale de l'entreprise (dette incluse, ici quasi nulle) reste cohérente avec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STBC affiche une variation totale de **+4,39%**, mais la dernière séance (J-1) enregistre un repli de **-0,47%**, signalant un essoufflement de court terme. Le cours actuel de **21 400 FCFA** se situe dans la moitié basse du range de trading, dont le plus haut atteint **25 000 FCFA** et le plus bas **20 250 FCFA**, soit une amplitude de près de 23% — ce qui traduit une tendance générale haussière sur la période mais avec une correction récente depuis les sommets. Les statistiques descriptives révèlent une moyenne de **22 496 FCFA** légèrement supérieure à la médiane de **22 218 FCFA**, confirmant une distribution faiblement asymétrique à droite (skewness de 0,424, qualifiée de symétrique), tandis que le mode à **21 000 FCFA** — proche du cours actuel — suggère que le titre évolue actuellement sous ses niveaux les plus fréquents. L'écart-type de **1 193 FCFA** avec un coefficient de variation de **5,3%** indique une dispersion modérée du cours autour de sa moyenne, et le kurtosis de **-0,781** (mésokurtique) signifie que la distribution est proche de la normale, sans risque majeur de pics extrêmes. La volatilité annualisée de **37,0%** classe le titre dans la catégorie **élevée** (&gt;30%), ce qui est cohérent avec un marché frontière comme la BRVM et implique un risque de fluctuation significatif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**21 821,25 FCFA** et la MM50 à **22 698,6 FCFA**, toutes deux supérieures au cours actuel de 21 400 FCFA. Cette configuration — prix sous les deux moyennes, avec la MM20 elle-même sous la MM50 — caractérise une tendance baissière de court et moyen terme, justifiant la décision technique de **Vente**.</w:t>
      </w:r>
    </w:p>
    <w:p>
      <w:pPr>
        <w:spacing w:after="120" w:line="276" w:lineRule="auto"/>
      </w:pPr>
      <w:r>
        <w:t>**Bandes de Bollinger** : Le cours actuel (21 400 FCFA) se situe entre la borne inférieure (**20 962,31 FCFA**) et la borne supérieure (**22 680,19 FCFA**), plus proche du bas que du haut de la bande. Cette position médiane-basse, dans un canal dont l'amplitude reste modérée, traduit une absence de signal directionnel fort, d'où la décision **Neutre**.</w:t>
      </w:r>
    </w:p>
    <w:p>
      <w:pPr>
        <w:spacing w:after="120" w:line="276" w:lineRule="auto"/>
      </w:pPr>
      <w:r>
        <w:t>**MACD** : La ligne MACD (**-389,444**) est légèrement inférieure à sa ligne de signal (**-382,706**), avec un histogramme négatif. Cette configuration en territoire négatif indique un momentum baissier persistant, bien que la divergence entre les deux lignes soit faible, ce qui justifie la décision de **Vente** sans signal de retournement imminent.</w:t>
      </w:r>
    </w:p>
    <w:p>
      <w:pPr>
        <w:spacing w:after="120" w:line="276" w:lineRule="auto"/>
      </w:pPr>
      <w:r>
        <w:t>**RSI** : À **43,392**, le RSI se situe dans la zone neutre (30-70), sans atteindre la zone de survente (&lt;30) ni de surachat (&gt;70). Cette valeur légèrement sous la barre des 50 traduit une pression vendeuse modérée mais non excessive, justifiant la décision **Neutre**.</w:t>
      </w:r>
    </w:p>
    <w:p>
      <w:pPr>
        <w:spacing w:after="120" w:line="276" w:lineRule="auto"/>
      </w:pPr>
      <w:r>
        <w:t>**Stochastique** : Le %K (**38,697**) est supérieur au %D (**28,352**), avec un croisement récent à la hausse depuis la zone de survente. Ce signal haussier naissant, bien que fragile car les deux lignes restent en territoire bas, justifie la décision **Neutre** — un croisement confirmé au-dessus de 20 pourrait déclencher un signal d'achat tactique.</w:t>
      </w:r>
    </w:p>
    <w:p>
      <w:pPr>
        <w:spacing w:after="120" w:line="276" w:lineRule="auto"/>
      </w:pPr>
      <w:r>
        <w:t>**Conclusion technique** : Les indicateurs convergent majoritairement vers un **biais baissier modéré** : le cours évolue sous ses moyennes mobiles, le MACD est négatif, et le RSI reste sous 50. Toutefois, l'absence de survente extrême et le croisement haussier naissant du stochastique suggèrent que la pression vendeuse s'essouffle. Le titre se trouve dans une phase de consolidation baissière, sans signal de retournement confirmé — la prudence reste de mise à court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STBC a réalisé un chiffre d'affaires de **268,537 Mds FCFA**, en croissance de **+25,30%** par rapport à 2024, portée par une progression des volumes (+5,6%) et un effet prix favorable. Le résultat net s'établit à **36,158 Mds FCFA**, en **recul de 17,5%** par rapport aux 44,2 Mds de 2024, sous l'effet de la hausse des droits d'accises (de 49% à 70%) et d'un contrôle fiscal. La rentabilité des fonds propres (ROE) reste exceptionnelle à **79,75%** et le ROA à **48,09%**, mais ces niveaux intègrent un effet de levier négatif (capitaux propres de 45,3 Mds pour un total bilan de 75,2 Mds). La marge nette se dégrade de 20,4% (2024) à **13,46%** (2025), et la marge brute chute de 29,8% à **22,87%**. En tant qu'entreprise de distribution, STBC affiche un **BFR de 5,639 Mds FCFA** (positif, donc consommateur de trésorerie), un délai client de **42,57 jours** (modéré) et une durée de stockage très faible de **5,73 jours**, reflétant une rotation rapide des marchandises. La structure financière est très saine : autonomie financière de **60,30%**, dettes financières quasi nulles (**1,40 M FCFA**), trésorerie nette de **30,763 Mds FCFA** et liquidité générale de **224,99%**.</w:t>
      </w:r>
    </w:p>
    <w:p>
      <w:pPr>
        <w:spacing w:after="120" w:line="276" w:lineRule="auto"/>
      </w:pPr>
      <w:r>
        <w:t>**Estimations basées sur les rapports trimestriels** : Le rapport T1 2026 (publié en 2026) indique un CA de **68,8 Mds FCFA** (+12%) avec des volumes en hausse de **+10%**, marquant un redressement commercial après la contraction de 2025. Le résultat net T1 2026 s'établit à **9,266 Mds FCFA** (-1%), avec une marge nette de **13,5%**. Le rapport T2 2026 (publié en 2026) confirme cette stabilité : CA de **70,05 Mds FCFA** (+1%), résultat net de **8,64 Mds FCFA** (-0,2%), marge nette de **12,3%**. Sur la base de ces deux trimestres, **on estime que l'exercice 2026 devrait afficher un CA annuel d'environ 275-280 Mds FCFA** (croissance de 2-4%) et un résultat net de l'ordre de **34-36 Mds FCFA**, soit une légère contraction ou stabilisation par rapport à 2025. Le dividende proposé pour 2025 est de **1 940 FCFA/action** (rendement de ~9,1% au cours actuel), avec un taux de distribution de **84,9%** — généreux mais non soutenable à long terme si les bénéfices ne se redressent pas.</w:t>
      </w:r>
    </w:p>
    <w:p>
      <w:pPr>
        <w:spacing w:after="120" w:line="276" w:lineRule="auto"/>
      </w:pPr>
      <w:r>
        <w:t>**Recommandation fondamentale** : STBC reste une valeur de rendement solide, avec une structure financière irréprochable (zéro dette, trésorerie abondante) et une rentabilité toujours élevée malgré la compression des marges. Les risques principaux sont la pression fiscale persistante, la dépendance au secteur du tabac et une politique de dividende agressive qui épuise progressivement la trésorerie. La recommandation fondamentale est **CONSERVER**, en attendant des signaux de redressement durable des marges.</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profil d'investissement contrasté. **Sur la valorisation (Partie 0)** , le PER de 10,6x et l'EV/EBITDA de 7,6x indiquent une valorisation raisonnable, mais le P/B de 8,48x traduit une prime exigeante qui limite le potentiel de revalorisation à court terme. **Sur le comportement du cours (Partie 1)** , la tendance haussière de +4,39% sur 100 jours est tempérée par une correction récente (-0,47% en J-1) et une volatilité élevée de 37%, avec une distribution proche de la normale (kurtosis -0,781) mais légèrement asymétrique à droite (skewness 0,424). **Sur le plan technique (Partie 2)** , les signaux sont majoritairement baissiers (cours sous MM20/MM50, MACD négatif), avec un RSI neutre et un stochastique en début de retournement haussier — une configuration de consolidation sans direction claire. **Sur le plan fondamental (Partie 3)** , la solidité financière (zéro dette, trésorerie de 30,8 Mds) et la rentabilité (ROE 79,75%) compensent la dégradation des marges, mais les estimations 2026 issues des rapports T1/T2 (CA +12% puis +1%, résultat net stable) suggèrent une année de transition sans croissance bénéficiaire significative. **Les prédictions IA (J+1 à J+10)** anticipent une trajectoire haussière de 21 400 FCFA à 23 347 FCFA (+9,1% en 10 jours), ce qui contredit le biais baissier technique actuel et pourrait signaler un retournement à court terme.</w:t>
      </w:r>
    </w:p>
    <w:p>
      <w:pPr>
        <w:spacing w:after="120" w:line="276" w:lineRule="auto"/>
      </w:pPr>
      <w:r>
        <w:t>**Recommandation finale : CONSERVER**</w:t>
        <w:br/>
        <w:t>**Justification** : La convergence entre une valorisation raisonnable (PER 10,6x), une structure financière exceptionnelle (zéro dette, trésorerie élevée) et un dividende attractif (rendement ~9,1%) soutient la thèse d'une valeur de rendement à conserver. Cependant, la divergence entre les signaux techniques baissiers et les prédictions IA haussières, ainsi que la dégradation des marges, incitent à la prudence avant tout renforcement. **Niveau de confiance : Moyen** (les fondamentaux sont solides mais les perspectives bénéficiaires 2026 restent incertaines). **Niveau de risque global : Moyen** (volatilité élevée de 37%, risque réglementaire et fiscal). **Horizon d'investissement optimal : Moyen terme (3-12 mois)** , en attendant la confirmation d'un redressement des marges et la publication des résultats du S1 2026.</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192.03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7,202 titres</w:t>
            </w:r>
          </w:p>
        </w:tc>
        <w:tc>
          <w:tcPr>
            <w:tcW w:type="dxa" w:w="2268"/>
            <w:shd w:fill="FFF2CC" w:val="clear"/>
          </w:tcPr>
          <w:p>
            <w:r>
              <w:rPr>
                <w:b/>
                <w:color w:val="503200"/>
                <w:sz w:val="16"/>
              </w:rPr>
              <w:t xml:space="preserve">Cours actuel : </w:t>
            </w:r>
            <w:r>
              <w:rPr>
                <w:color w:val="000000"/>
                <w:sz w:val="17"/>
              </w:rPr>
              <w:t>3,050 FCFA</w:t>
            </w:r>
          </w:p>
          <w:p>
            <w:r>
              <w:rPr>
                <w:b/>
                <w:color w:val="503200"/>
                <w:sz w:val="16"/>
              </w:rPr>
              <w:t xml:space="preserve">Var. 100 jours : </w:t>
            </w:r>
            <w:r>
              <w:rPr>
                <w:b/>
                <w:color w:val="007800"/>
                <w:sz w:val="17"/>
              </w:rPr>
              <w:t>+10.91%</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2,720 FCFA</w:t>
            </w:r>
          </w:p>
          <w:p>
            <w:r>
              <w:rPr>
                <w:b/>
                <w:color w:val="503200"/>
                <w:sz w:val="16"/>
              </w:rPr>
              <w:t xml:space="preserve">Volatilité ann. : </w:t>
            </w:r>
            <w:r>
              <w:rPr>
                <w:color w:val="000000"/>
                <w:sz w:val="17"/>
              </w:rPr>
              <w:t>41.5%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6.61% (Moyenne) — μ=3,004 FCFA, σ=199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β=0.0726 (Défensif) — Cov=0.000005, Var(idx)=0.000069, ρ=0.023,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7,202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2,903</w:t>
            </w:r>
          </w:p>
        </w:tc>
        <w:tc>
          <w:tcPr>
            <w:tcW w:type="dxa" w:w="1440"/>
            <w:shd w:fill="FAFAFA" w:val="clear"/>
          </w:tcPr>
          <w:p>
            <w:r>
              <w:rPr>
                <w:b/>
                <w:sz w:val="17"/>
              </w:rPr>
              <w:t>3,026</w:t>
            </w:r>
          </w:p>
        </w:tc>
        <w:tc>
          <w:tcPr>
            <w:tcW w:type="dxa" w:w="1440"/>
            <w:shd w:fill="FAFAFA" w:val="clear"/>
          </w:tcPr>
          <w:p>
            <w:r>
              <w:rPr>
                <w:sz w:val="17"/>
              </w:rPr>
              <w:t>3,148</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2,827</w:t>
            </w:r>
          </w:p>
        </w:tc>
        <w:tc>
          <w:tcPr>
            <w:tcW w:type="dxa" w:w="1440"/>
            <w:shd w:fill="FAFAFA" w:val="clear"/>
          </w:tcPr>
          <w:p>
            <w:r>
              <w:rPr>
                <w:b/>
                <w:sz w:val="17"/>
              </w:rPr>
              <w:t>3,000</w:t>
            </w:r>
          </w:p>
        </w:tc>
        <w:tc>
          <w:tcPr>
            <w:tcW w:type="dxa" w:w="1440"/>
            <w:shd w:fill="FAFAFA" w:val="clear"/>
          </w:tcPr>
          <w:p>
            <w:r>
              <w:rPr>
                <w:sz w:val="17"/>
              </w:rPr>
              <w:t>3,172</w:t>
            </w:r>
          </w:p>
        </w:tc>
        <w:tc>
          <w:tcPr>
            <w:tcW w:type="dxa" w:w="1440"/>
            <w:shd w:fill="FAFAFA" w:val="clear"/>
          </w:tcPr>
          <w:p>
            <w:r>
              <w:rPr>
                <w:b/>
                <w:color w:val="C00000"/>
                <w:sz w:val="17"/>
              </w:rPr>
              <w:t>-1.7%</w:t>
            </w:r>
          </w:p>
        </w:tc>
      </w:tr>
      <w:tr>
        <w:tc>
          <w:tcPr>
            <w:tcW w:type="dxa" w:w="1440"/>
            <w:shd w:fill="FFDCE0" w:val="clear"/>
          </w:tcPr>
          <w:p>
            <w:r>
              <w:rPr>
                <w:sz w:val="17"/>
              </w:rPr>
              <w:t>J+3  ⭐</w:t>
            </w:r>
          </w:p>
        </w:tc>
        <w:tc>
          <w:tcPr>
            <w:tcW w:type="dxa" w:w="1440"/>
            <w:shd w:fill="FFDCE0" w:val="clear"/>
          </w:tcPr>
          <w:p>
            <w:r>
              <w:rPr>
                <w:sz w:val="17"/>
              </w:rPr>
              <w:t>2026-09-30</w:t>
            </w:r>
          </w:p>
        </w:tc>
        <w:tc>
          <w:tcPr>
            <w:tcW w:type="dxa" w:w="1440"/>
            <w:shd w:fill="FFDCE0" w:val="clear"/>
          </w:tcPr>
          <w:p>
            <w:r>
              <w:rPr>
                <w:sz w:val="17"/>
              </w:rPr>
              <w:t>2,765</w:t>
            </w:r>
          </w:p>
        </w:tc>
        <w:tc>
          <w:tcPr>
            <w:tcW w:type="dxa" w:w="1440"/>
            <w:shd w:fill="FFDCE0" w:val="clear"/>
          </w:tcPr>
          <w:p>
            <w:r>
              <w:rPr>
                <w:b/>
                <w:sz w:val="17"/>
              </w:rPr>
              <w:t>2,974</w:t>
            </w:r>
          </w:p>
        </w:tc>
        <w:tc>
          <w:tcPr>
            <w:tcW w:type="dxa" w:w="1440"/>
            <w:shd w:fill="FFDCE0" w:val="clear"/>
          </w:tcPr>
          <w:p>
            <w:r>
              <w:rPr>
                <w:sz w:val="17"/>
              </w:rPr>
              <w:t>3,183</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2,711</w:t>
            </w:r>
          </w:p>
        </w:tc>
        <w:tc>
          <w:tcPr>
            <w:tcW w:type="dxa" w:w="1440"/>
            <w:shd w:fill="FFDCE0" w:val="clear"/>
          </w:tcPr>
          <w:p>
            <w:r>
              <w:rPr>
                <w:b/>
                <w:sz w:val="17"/>
              </w:rPr>
              <w:t>2,951</w:t>
            </w:r>
          </w:p>
        </w:tc>
        <w:tc>
          <w:tcPr>
            <w:tcW w:type="dxa" w:w="1440"/>
            <w:shd w:fill="FFDCE0" w:val="clear"/>
          </w:tcPr>
          <w:p>
            <w:r>
              <w:rPr>
                <w:sz w:val="17"/>
              </w:rPr>
              <w:t>3,190</w:t>
            </w:r>
          </w:p>
        </w:tc>
        <w:tc>
          <w:tcPr>
            <w:tcW w:type="dxa" w:w="1440"/>
            <w:shd w:fill="FFDCE0" w:val="clear"/>
          </w:tcPr>
          <w:p>
            <w:r>
              <w:rPr>
                <w:b/>
                <w:color w:val="C00000"/>
                <w:sz w:val="17"/>
              </w:rPr>
              <w:t>-3.2%</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2,664</w:t>
            </w:r>
          </w:p>
        </w:tc>
        <w:tc>
          <w:tcPr>
            <w:tcW w:type="dxa" w:w="1440"/>
            <w:shd w:fill="FFDCE0" w:val="clear"/>
          </w:tcPr>
          <w:p>
            <w:r>
              <w:rPr>
                <w:b/>
                <w:sz w:val="17"/>
              </w:rPr>
              <w:t>2,929</w:t>
            </w:r>
          </w:p>
        </w:tc>
        <w:tc>
          <w:tcPr>
            <w:tcW w:type="dxa" w:w="1440"/>
            <w:shd w:fill="FFDCE0" w:val="clear"/>
          </w:tcPr>
          <w:p>
            <w:r>
              <w:rPr>
                <w:sz w:val="17"/>
              </w:rPr>
              <w:t>3,195</w:t>
            </w:r>
          </w:p>
        </w:tc>
        <w:tc>
          <w:tcPr>
            <w:tcW w:type="dxa" w:w="1440"/>
            <w:shd w:fill="FFDCE0" w:val="clear"/>
          </w:tcPr>
          <w:p>
            <w:r>
              <w:rPr>
                <w:b/>
                <w:color w:val="C00000"/>
                <w:sz w:val="17"/>
              </w:rPr>
              <w:t>-4.0%</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2,620</w:t>
            </w:r>
          </w:p>
        </w:tc>
        <w:tc>
          <w:tcPr>
            <w:tcW w:type="dxa" w:w="1440"/>
            <w:shd w:fill="FFDCE0" w:val="clear"/>
          </w:tcPr>
          <w:p>
            <w:r>
              <w:rPr>
                <w:b/>
                <w:sz w:val="17"/>
              </w:rPr>
              <w:t>2,909</w:t>
            </w:r>
          </w:p>
        </w:tc>
        <w:tc>
          <w:tcPr>
            <w:tcW w:type="dxa" w:w="1440"/>
            <w:shd w:fill="FFDCE0" w:val="clear"/>
          </w:tcPr>
          <w:p>
            <w:r>
              <w:rPr>
                <w:sz w:val="17"/>
              </w:rPr>
              <w:t>3,198</w:t>
            </w:r>
          </w:p>
        </w:tc>
        <w:tc>
          <w:tcPr>
            <w:tcW w:type="dxa" w:w="1440"/>
            <w:shd w:fill="FFDCE0" w:val="clear"/>
          </w:tcPr>
          <w:p>
            <w:r>
              <w:rPr>
                <w:b/>
                <w:color w:val="C00000"/>
                <w:sz w:val="17"/>
              </w:rPr>
              <w:t>-4.6%</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2,579</w:t>
            </w:r>
          </w:p>
        </w:tc>
        <w:tc>
          <w:tcPr>
            <w:tcW w:type="dxa" w:w="1440"/>
            <w:shd w:fill="FFDCE0" w:val="clear"/>
          </w:tcPr>
          <w:p>
            <w:r>
              <w:rPr>
                <w:b/>
                <w:sz w:val="17"/>
              </w:rPr>
              <w:t>2,889</w:t>
            </w:r>
          </w:p>
        </w:tc>
        <w:tc>
          <w:tcPr>
            <w:tcW w:type="dxa" w:w="1440"/>
            <w:shd w:fill="FFDCE0" w:val="clear"/>
          </w:tcPr>
          <w:p>
            <w:r>
              <w:rPr>
                <w:sz w:val="17"/>
              </w:rPr>
              <w:t>3,200</w:t>
            </w:r>
          </w:p>
        </w:tc>
        <w:tc>
          <w:tcPr>
            <w:tcW w:type="dxa" w:w="1440"/>
            <w:shd w:fill="FFDCE0" w:val="clear"/>
          </w:tcPr>
          <w:p>
            <w:r>
              <w:rPr>
                <w:b/>
                <w:color w:val="C00000"/>
                <w:sz w:val="17"/>
              </w:rPr>
              <w:t>-5.3%</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2,541</w:t>
            </w:r>
          </w:p>
        </w:tc>
        <w:tc>
          <w:tcPr>
            <w:tcW w:type="dxa" w:w="1440"/>
            <w:shd w:fill="FFDCE0" w:val="clear"/>
          </w:tcPr>
          <w:p>
            <w:r>
              <w:rPr>
                <w:b/>
                <w:sz w:val="17"/>
              </w:rPr>
              <w:t>2,870</w:t>
            </w:r>
          </w:p>
        </w:tc>
        <w:tc>
          <w:tcPr>
            <w:tcW w:type="dxa" w:w="1440"/>
            <w:shd w:fill="FFDCE0" w:val="clear"/>
          </w:tcPr>
          <w:p>
            <w:r>
              <w:rPr>
                <w:sz w:val="17"/>
              </w:rPr>
              <w:t>3,200</w:t>
            </w:r>
          </w:p>
        </w:tc>
        <w:tc>
          <w:tcPr>
            <w:tcW w:type="dxa" w:w="1440"/>
            <w:shd w:fill="FFDCE0" w:val="clear"/>
          </w:tcPr>
          <w:p>
            <w:r>
              <w:rPr>
                <w:b/>
                <w:color w:val="C00000"/>
                <w:sz w:val="17"/>
              </w:rPr>
              <w:t>-5.9%</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2,505</w:t>
            </w:r>
          </w:p>
        </w:tc>
        <w:tc>
          <w:tcPr>
            <w:tcW w:type="dxa" w:w="1440"/>
            <w:shd w:fill="FFDCE0" w:val="clear"/>
          </w:tcPr>
          <w:p>
            <w:r>
              <w:rPr>
                <w:b/>
                <w:sz w:val="17"/>
              </w:rPr>
              <w:t>2,852</w:t>
            </w:r>
          </w:p>
        </w:tc>
        <w:tc>
          <w:tcPr>
            <w:tcW w:type="dxa" w:w="1440"/>
            <w:shd w:fill="FFDCE0" w:val="clear"/>
          </w:tcPr>
          <w:p>
            <w:r>
              <w:rPr>
                <w:sz w:val="17"/>
              </w:rPr>
              <w:t>3,200</w:t>
            </w:r>
          </w:p>
        </w:tc>
        <w:tc>
          <w:tcPr>
            <w:tcW w:type="dxa" w:w="1440"/>
            <w:shd w:fill="FFDCE0" w:val="clear"/>
          </w:tcPr>
          <w:p>
            <w:r>
              <w:rPr>
                <w:b/>
                <w:color w:val="C00000"/>
                <w:sz w:val="17"/>
              </w:rPr>
              <w:t>-6.5%</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2,471</w:t>
            </w:r>
          </w:p>
        </w:tc>
        <w:tc>
          <w:tcPr>
            <w:tcW w:type="dxa" w:w="1440"/>
            <w:shd w:fill="FFDCE0" w:val="clear"/>
          </w:tcPr>
          <w:p>
            <w:r>
              <w:rPr>
                <w:b/>
                <w:sz w:val="17"/>
              </w:rPr>
              <w:t>2,835</w:t>
            </w:r>
          </w:p>
        </w:tc>
        <w:tc>
          <w:tcPr>
            <w:tcW w:type="dxa" w:w="1440"/>
            <w:shd w:fill="FFDCE0" w:val="clear"/>
          </w:tcPr>
          <w:p>
            <w:r>
              <w:rPr>
                <w:sz w:val="17"/>
              </w:rPr>
              <w:t>3,199</w:t>
            </w:r>
          </w:p>
        </w:tc>
        <w:tc>
          <w:tcPr>
            <w:tcW w:type="dxa" w:w="1440"/>
            <w:shd w:fill="FFDCE0" w:val="clear"/>
          </w:tcPr>
          <w:p>
            <w:r>
              <w:rPr>
                <w:b/>
                <w:color w:val="C00000"/>
                <w:sz w:val="17"/>
              </w:rPr>
              <w:t>-7.0%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*Bourse Régionale des Valeurs Mobilières (BRVM) — Secteur : Distribution pétrolière / Énergie*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192,03 milliards FCFA, TTLC figure parmi les valeurs les plus importantes de la cote BRVM, ce qui traduit sa stature de leader de la distribution pétrolière en Côte d'Ivoire. Le BPA de 144 FCFA/action signifie que chaque titre génère 144 FCFA de bénéfice net, ce qui, rapporté au cours de 3 050 FCFA, donne un PER de 21,1x — nettement supérieur à la moyenne du marché BRVM (généralement 8-12x), signalant que les investisseurs paient une prime significative pour cette valeur, justifiée soit par des anticipations de croissance, soit par une surévaluation relative. Le P/B de 5,30x confirme cette exigence : le marché valorise TTLC à plus de cinq fois sa valeur comptable, une prime très élevée qui n'est soutenable que par une rentabilité des fonds propres robuste (ROE de 25,1%). Enfin, l'EV/EBITDA de 11,0x, dans la fourchette haute (10-15x), indique que la valeur d'entreprise rapportée à la capacité opérationnelle de génération de cash-flows reste tendue, ce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TTLC affiche une progression totale de +10,91%, avec un cours actuel de 3 050 FCFA et une variation nulle sur la dernière séance (J-1 : +0,00%), signe d'une certaine stabilisation après la hausse. Le range de trading s'établit entre un plus bas de 2 720 FCFA et un plus haut de 3 595 FCFA, soit une amplitude de 875 FCFA (32% du plus bas), ce qui témoigne d'une volatilité intra-période significative. La tendance générale est donc haussière sur la période, mais le cours actuel se situe à 15,2% en dessous de son plus haut, suggérant une phase de correction ou de consolidation. Les statistiques descriptives révèlent une moyenne de 3 004 FCFA supérieure à la médiane de 2 940 FCFA, avec un mode à 2 900 FCFA : cet écart confirme une asymétrie positive (skewness de 0,919), indiquant que la distribution comporte davantage de journées sous la moyenne mais avec des pics haussiers marqués. L'écart-type de 200 FCFA (CV de 6,6%) traduit une dispersion modérée autour de la moyenne, tandis que le kurtosis de -0,198 (mésokurtique) suggère une distribution proche de la normale, sans risque excessif de pics extrêmes. La volatilité annualisée de 41,5% classe le titre dans la catégorie des valeurs à volatilité élevée (&gt;30%), ce qui implique un risque de fluctuation important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3 235,75 FCFA et la MM50 à 3 139,2 FCFA, toutes deux supérieures au cours actuel de 3 050 FCFA. Cette configuration — cours sous les deux moyennes — est théoriquement baissière à court terme, mais la décision fournie est « Achat », probablement parce que la MM20 reste au-dessus de la MM50 (croisement haussier de fond) et que le cours pourrait rebondir vers ces niveaux. La position du cours sous les moyennes suggère une pression vendeuse récente, mais le signal d'achat indique une opportunité de rebond technique.</w:t>
      </w:r>
    </w:p>
    <w:p>
      <w:pPr>
        <w:spacing w:after="120" w:line="276" w:lineRule="auto"/>
      </w:pPr>
      <w:r>
        <w:t>**Bandes de Bollinger** : La borne supérieure est à 3 483,82 FCFA et la borne inférieure à 2 987,68 FCFA, avec un cours actuel de 3 050 FCFA. Le cours se situe donc dans la partie basse de la bande (à environ 12,5% de la borne inférieure), ce qui indique une proximité avec la zone de survente relative. La décision « Neutre » reflète cette position ambiguë : le cours n'est ni suracheté ni survendu, mais sa proximité avec la borne basse pourrait attirer les acheteurs à la recherche de points d'entrée.</w:t>
      </w:r>
    </w:p>
    <w:p>
      <w:pPr>
        <w:spacing w:after="120" w:line="276" w:lineRule="auto"/>
      </w:pPr>
      <w:r>
        <w:t>**MACD** : La valeur du MACD est de -37,611 contre un signal à 2,533, soit une divergence négative marquée (MACD sous son signal). Cette configuration est clairement baissière et justifie la décision « Vente » : le momentum est négatif et la tendance de fond reste sous pression. Un croisement à la hausse du MACD au-dessus de son signal serait nécessaire pour inverser ce signal.</w:t>
      </w:r>
    </w:p>
    <w:p>
      <w:pPr>
        <w:spacing w:after="120" w:line="276" w:lineRule="auto"/>
      </w:pPr>
      <w:r>
        <w:t>**RSI** : À 36,364, le RSI se situe dans la zone neutre basse (30-70), sans atteindre la zone de survente (&lt;30). La décision « Neutre » est cohérente : le titre n'est pas encore survendu, mais la faiblesse relative du RSI indique que la pression baissière domine sans excès. Une cassure sous 30 déclencherait un signal d'achat technique.</w:t>
      </w:r>
    </w:p>
    <w:p>
      <w:pPr>
        <w:spacing w:after="120" w:line="276" w:lineRule="auto"/>
      </w:pPr>
      <w:r>
        <w:t>**Stochastique** : Le %K est à 20,968 et le %D à 13,978, tous deux en zone basse (proche de 20), avec un %K supérieur au %D — configuration qui pourrait annoncer un croisement haussier imminent. La décision « Neutre » reflète cette incertitude : le stochastique est proche de la zone de survente, mais le croisement n'est pas encore confirmé.</w:t>
      </w:r>
    </w:p>
    <w:p>
      <w:pPr>
        <w:spacing w:after="120" w:line="276" w:lineRule="auto"/>
      </w:pPr>
      <w:r>
        <w:t>**Conclusion technique** : Les indicateurs sont majoritairement baissiers à court terme (MACD en vente, cours sous les moyennes mobiles), mais plusieurs signaux de retournement potentiel émergent (RSI proche de la survente, stochastique en zone basse, cours proche de la borne inférieure de Bollinger). La convergence n'est pas encore établie : le titre se trouve dans une zone de transition où la prudence est de mise, avec un biais baissier tant que le MACD ne se retourne pas.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TotalEnergies Marketing Côte d'Ivoire a réalisé un chiffre d'affaires de 588,709 milliards FCFA, en repli de 5,2% par rapport à 2024 (621,042 milliards FCFA), selon les états financiers annuels définitifs. Le résultat net s'établit à 9,087 milliards FCFA (contre 9,374 milliards en 2024, soit -3%), avec une marge nette de 1,54% (en légère amélioration de +0,03 point). Le ROE atteint 25,1% — un niveau excellent (&gt;15%) — et le ROA 4,82%, confirmant la robustesse de la rentabilité des fonds propres malgré la faiblesse des marges, typique d'un distributeur en volume. La valeur ajoutée progresse de +7% à 29,553 milliards FCFA et l'EBE de +12% à 22,347 milliards FCFA, signe d'une meilleure maîtrise des coûts d'approvisionnement. Le BFR est négatif (-9,662 milliards FCFA), ce qui est favorable pour un distributeur : les fournisseurs financent une partie du cycle d'exploitation (délai fournisseurs de 49,72 jours), mais la trésorerie nette reste négative à -21,926 milliards FCFA, et le fonds de roulement est négatif (-31,587 milliards FCFA), signalant une dépendance aux crédits court terme. Le ratio d'endettement de 90,23% (dettes totales/capitaux propres) est élevé, et l'autonomie financière de 19,21% est inférieure au seuil sain de 30%. La capacité de remboursement est de 1,71 an (dettes financières/CAF), ce qui reste gérable.</w:t>
      </w:r>
    </w:p>
    <w:p>
      <w:pPr>
        <w:spacing w:after="120" w:line="276" w:lineRule="auto"/>
      </w:pPr>
      <w:r>
        <w:t>**Estimations basées sur les rapports trimestriels** : Le rapport du T1 2026 (publié en 2026) indique un chiffre d'affaires de 154,392 milliards FCFA, en hausse de +4,3% par rapport au T1 2025, et un résultat net de 2,329 milliards FCFA (+5,5%), avec un réseau de 182 stations. Sur cette base, on peut estimer que l'exercice 2026 devrait renouer avec la croissance, avec un CA annualisé potentiel d'environ 620-630 milliards FCFA et un résultat net estimé entre 9,5 et 10 milliards FCFA, soit une amélioration de 5-10% par rapport à 2025. Le rapport du T3 2025 (30 septembre 2025) faisait état d'un résultat net cumulé de 6,52 milliards FCFA (-30,2% sur un an), mais le T4 a permis de rattraper une partie du retard pour aboutir à 9,087 milliards sur l'année. Le rapport annuel 2024 (31 mars 2025) confirmait déjà la solidité du modèle avec un ROE de ~22,8% et une politique de dividende généreuse (13,96 milliards FCFA versés en 2024).</w:t>
      </w:r>
    </w:p>
    <w:p>
      <w:pPr>
        <w:spacing w:after="120" w:line="276" w:lineRule="auto"/>
      </w:pPr>
      <w:r>
        <w:t>**Recommandation fondamentale** : TTLC présente des fondamentaux solides (ROE élevé, leader de marché, génération de cash-flows opérationnels de 10,196 milliards FCFA), mais des signaux d'alerte persistent : trésorerie nette négative, endettement élevé, payout supérieur à 100% (dividende de 10 milliards FCFA pour un résultat net de 9,087 milliards), et dépendance aux prix pétroliers. La dynamique du T1 2026 (+4,3% de CA, +5,5% de résultat net) est encourageante et suggère une amélioration pour 2026. La recommandation fondamentale est **CONSERVER** : la solidité opérationnelle et la position dominante justifient le maintien, mais les risques financiers (liquidité, endettement) incitent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TTLC apparaît exigeante : PER de 21,1x (bien au-dessus de la moyenne BRVM de 8-12x), P/B de 5,30x et EV/EBITDA de 11,0x traduisent une prime significative qui intègre déjà les anticipations de croissance et la qualité de l'émetteur, laissant peu de marge de sécurité. Le comportement du cours sur 100 jours est haussier (+10,91%) mais le titre se situe actuellement en phase de consolidation, sous ses moyennes mobiles, avec une volatilité élevée (41,5%) et une asymétrie positive (skewness de 0,919) qui indique des pics haussiers mais aussi des journées fréquentes sous la moyenne — un profil risqué à court terme. Les signaux techniques sont mitigés : le MACD est baissier (vente), mais le RSI (36,4) et le stochastique (%K=20,97, %D=13,98) approchent de zones de survente, et le cours est proche de la borne inférieure de Bollinger, ce qui pourrait annoncer un rebond technique — sans convergence claire pour l'instant. Les fondamentaux restent solides (ROE de 25,1%, leader de marché, EBE en hausse de +12% en 2025) mais entachés par une trésorerie nette négative (-21,9 milliards FCFA), un endettement élevé (90,2%) et un payout supérieur à 100%, tandis que le T1 2026 (+4,3% de CA, +5,5% de résultat net) laisse entrevoir une amélioration pour l'exercice en cours. Les prédictions IA pour les 10 prochains jours ouvrables (3026 → 2929 FCFA, soit -4%) confirment la pression baissière de court terme, en cohérence avec le MACD négatif et la position du cours sous les moyennes mobiles, mais contredisent le potentiel de rebond technique suggéré par le RSI et le stochastique. **Recommandation finale : CONSERVER** — la convergence entre valorisation tendue, technique baissière à court terme et fondamentaux solides mais risqués ne justifie ni un achat agressif ni une vente, mais plutôt une position attentiste. Le niveau de confiance est **Moyen** (signaux divergents entre technique et fondamental) et le niveau de risque global est **Élevé** (volatilité de 41,5%, endettement, trésorerie négative). L'horizon d'investissement optimal est le **moyen terme (3-12 mois)**, en attendant la confirmation d'un retournement technique et la publication des résultats semestriels 2026 pour valider la reprise de la croissance.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123.63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2,631 titres</w:t>
            </w:r>
          </w:p>
        </w:tc>
        <w:tc>
          <w:tcPr>
            <w:tcW w:type="dxa" w:w="2268"/>
            <w:shd w:fill="FFF2CC" w:val="clear"/>
          </w:tcPr>
          <w:p>
            <w:r>
              <w:rPr>
                <w:b/>
                <w:color w:val="503200"/>
                <w:sz w:val="16"/>
              </w:rPr>
              <w:t xml:space="preserve">Cours actuel : </w:t>
            </w:r>
            <w:r>
              <w:rPr>
                <w:color w:val="000000"/>
                <w:sz w:val="17"/>
              </w:rPr>
              <w:t>3,795 FCFA</w:t>
            </w:r>
          </w:p>
          <w:p>
            <w:r>
              <w:rPr>
                <w:b/>
                <w:color w:val="503200"/>
                <w:sz w:val="16"/>
              </w:rPr>
              <w:t xml:space="preserve">Var. 100 jours : </w:t>
            </w:r>
            <w:r>
              <w:rPr>
                <w:b/>
                <w:color w:val="007800"/>
                <w:sz w:val="17"/>
              </w:rPr>
              <w:t>+26.08%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9.73% (Moyenne) — μ=3,636 FCFA, σ=354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β=0.5210 (Défensif) — Cov=0.000036, Var(idx)=0.000069, ρ=0.162,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3,667</w:t>
            </w:r>
          </w:p>
        </w:tc>
        <w:tc>
          <w:tcPr>
            <w:tcW w:type="dxa" w:w="1440"/>
            <w:shd w:fill="FAFAFA" w:val="clear"/>
          </w:tcPr>
          <w:p>
            <w:r>
              <w:rPr>
                <w:b/>
                <w:sz w:val="17"/>
              </w:rPr>
              <w:t>3,808</w:t>
            </w:r>
          </w:p>
        </w:tc>
        <w:tc>
          <w:tcPr>
            <w:tcW w:type="dxa" w:w="1440"/>
            <w:shd w:fill="FAFAFA" w:val="clear"/>
          </w:tcPr>
          <w:p>
            <w:r>
              <w:rPr>
                <w:sz w:val="17"/>
              </w:rPr>
              <w:t>3,949</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3,611</w:t>
            </w:r>
          </w:p>
        </w:tc>
        <w:tc>
          <w:tcPr>
            <w:tcW w:type="dxa" w:w="1440"/>
            <w:shd w:fill="FAFAFA" w:val="clear"/>
          </w:tcPr>
          <w:p>
            <w:r>
              <w:rPr>
                <w:b/>
                <w:sz w:val="17"/>
              </w:rPr>
              <w:t>3,811</w:t>
            </w:r>
          </w:p>
        </w:tc>
        <w:tc>
          <w:tcPr>
            <w:tcW w:type="dxa" w:w="1440"/>
            <w:shd w:fill="FAFAFA" w:val="clear"/>
          </w:tcPr>
          <w:p>
            <w:r>
              <w:rPr>
                <w:sz w:val="17"/>
              </w:rPr>
              <w:t>4,011</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3,568</w:t>
            </w:r>
          </w:p>
        </w:tc>
        <w:tc>
          <w:tcPr>
            <w:tcW w:type="dxa" w:w="1440"/>
            <w:shd w:fill="FAFAFA" w:val="clear"/>
          </w:tcPr>
          <w:p>
            <w:r>
              <w:rPr>
                <w:b/>
                <w:sz w:val="17"/>
              </w:rPr>
              <w:t>3,813</w:t>
            </w:r>
          </w:p>
        </w:tc>
        <w:tc>
          <w:tcPr>
            <w:tcW w:type="dxa" w:w="1440"/>
            <w:shd w:fill="FAFAFA" w:val="clear"/>
          </w:tcPr>
          <w:p>
            <w:r>
              <w:rPr>
                <w:sz w:val="17"/>
              </w:rPr>
              <w:t>4,058</w:t>
            </w:r>
          </w:p>
        </w:tc>
        <w:tc>
          <w:tcPr>
            <w:tcW w:type="dxa" w:w="1440"/>
            <w:shd w:fill="FAFAFA" w:val="clear"/>
          </w:tcPr>
          <w:p>
            <w:r>
              <w:rPr>
                <w:b/>
                <w:color w:val="008000"/>
                <w:sz w:val="17"/>
              </w:rPr>
              <w:t>+0.5%</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3,531</w:t>
            </w:r>
          </w:p>
        </w:tc>
        <w:tc>
          <w:tcPr>
            <w:tcW w:type="dxa" w:w="1440"/>
            <w:shd w:fill="FAFAFA" w:val="clear"/>
          </w:tcPr>
          <w:p>
            <w:r>
              <w:rPr>
                <w:b/>
                <w:sz w:val="17"/>
              </w:rPr>
              <w:t>3,814</w:t>
            </w:r>
          </w:p>
        </w:tc>
        <w:tc>
          <w:tcPr>
            <w:tcW w:type="dxa" w:w="1440"/>
            <w:shd w:fill="FAFAFA" w:val="clear"/>
          </w:tcPr>
          <w:p>
            <w:r>
              <w:rPr>
                <w:sz w:val="17"/>
              </w:rPr>
              <w:t>4,097</w:t>
            </w:r>
          </w:p>
        </w:tc>
        <w:tc>
          <w:tcPr>
            <w:tcW w:type="dxa" w:w="1440"/>
            <w:shd w:fill="FAFAFA" w:val="clear"/>
          </w:tcPr>
          <w:p>
            <w:r>
              <w:rPr>
                <w:b/>
                <w:color w:val="008000"/>
                <w:sz w:val="17"/>
              </w:rPr>
              <w:t>+0.5%</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3,498</w:t>
            </w:r>
          </w:p>
        </w:tc>
        <w:tc>
          <w:tcPr>
            <w:tcW w:type="dxa" w:w="1440"/>
            <w:shd w:fill="FAFAFA" w:val="clear"/>
          </w:tcPr>
          <w:p>
            <w:r>
              <w:rPr>
                <w:b/>
                <w:sz w:val="17"/>
              </w:rPr>
              <w:t>3,815</w:t>
            </w:r>
          </w:p>
        </w:tc>
        <w:tc>
          <w:tcPr>
            <w:tcW w:type="dxa" w:w="1440"/>
            <w:shd w:fill="FAFAFA" w:val="clear"/>
          </w:tcPr>
          <w:p>
            <w:r>
              <w:rPr>
                <w:sz w:val="17"/>
              </w:rPr>
              <w:t>4,131</w:t>
            </w:r>
          </w:p>
        </w:tc>
        <w:tc>
          <w:tcPr>
            <w:tcW w:type="dxa" w:w="1440"/>
            <w:shd w:fill="FAFAFA" w:val="clear"/>
          </w:tcPr>
          <w:p>
            <w:r>
              <w:rPr>
                <w:b/>
                <w:color w:val="008000"/>
                <w:sz w:val="17"/>
              </w:rPr>
              <w:t>+0.5%</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3,469</w:t>
            </w:r>
          </w:p>
        </w:tc>
        <w:tc>
          <w:tcPr>
            <w:tcW w:type="dxa" w:w="1440"/>
            <w:shd w:fill="FAFAFA" w:val="clear"/>
          </w:tcPr>
          <w:p>
            <w:r>
              <w:rPr>
                <w:b/>
                <w:sz w:val="17"/>
              </w:rPr>
              <w:t>3,815</w:t>
            </w:r>
          </w:p>
        </w:tc>
        <w:tc>
          <w:tcPr>
            <w:tcW w:type="dxa" w:w="1440"/>
            <w:shd w:fill="FAFAFA" w:val="clear"/>
          </w:tcPr>
          <w:p>
            <w:r>
              <w:rPr>
                <w:sz w:val="17"/>
              </w:rPr>
              <w:t>4,162</w:t>
            </w:r>
          </w:p>
        </w:tc>
        <w:tc>
          <w:tcPr>
            <w:tcW w:type="dxa" w:w="1440"/>
            <w:shd w:fill="FAFAFA" w:val="clear"/>
          </w:tcPr>
          <w:p>
            <w:r>
              <w:rPr>
                <w:b/>
                <w:color w:val="008000"/>
                <w:sz w:val="17"/>
              </w:rPr>
              <w:t>+0.5%</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3,441</w:t>
            </w:r>
          </w:p>
        </w:tc>
        <w:tc>
          <w:tcPr>
            <w:tcW w:type="dxa" w:w="1440"/>
            <w:shd w:fill="FAFAFA" w:val="clear"/>
          </w:tcPr>
          <w:p>
            <w:r>
              <w:rPr>
                <w:b/>
                <w:sz w:val="17"/>
              </w:rPr>
              <w:t>3,816</w:t>
            </w:r>
          </w:p>
        </w:tc>
        <w:tc>
          <w:tcPr>
            <w:tcW w:type="dxa" w:w="1440"/>
            <w:shd w:fill="FAFAFA" w:val="clear"/>
          </w:tcPr>
          <w:p>
            <w:r>
              <w:rPr>
                <w:sz w:val="17"/>
              </w:rPr>
              <w:t>4,190</w:t>
            </w:r>
          </w:p>
        </w:tc>
        <w:tc>
          <w:tcPr>
            <w:tcW w:type="dxa" w:w="1440"/>
            <w:shd w:fill="FAFAFA" w:val="clear"/>
          </w:tcPr>
          <w:p>
            <w:r>
              <w:rPr>
                <w:b/>
                <w:color w:val="008000"/>
                <w:sz w:val="17"/>
              </w:rPr>
              <w:t>+0.5%</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3,416</w:t>
            </w:r>
          </w:p>
        </w:tc>
        <w:tc>
          <w:tcPr>
            <w:tcW w:type="dxa" w:w="1440"/>
            <w:shd w:fill="FAFAFA" w:val="clear"/>
          </w:tcPr>
          <w:p>
            <w:r>
              <w:rPr>
                <w:b/>
                <w:sz w:val="17"/>
              </w:rPr>
              <w:t>3,816</w:t>
            </w:r>
          </w:p>
        </w:tc>
        <w:tc>
          <w:tcPr>
            <w:tcW w:type="dxa" w:w="1440"/>
            <w:shd w:fill="FAFAFA" w:val="clear"/>
          </w:tcPr>
          <w:p>
            <w:r>
              <w:rPr>
                <w:sz w:val="17"/>
              </w:rPr>
              <w:t>4,216</w:t>
            </w:r>
          </w:p>
        </w:tc>
        <w:tc>
          <w:tcPr>
            <w:tcW w:type="dxa" w:w="1440"/>
            <w:shd w:fill="FAFAFA" w:val="clear"/>
          </w:tcPr>
          <w:p>
            <w:r>
              <w:rPr>
                <w:b/>
                <w:color w:val="008000"/>
                <w:sz w:val="17"/>
              </w:rPr>
              <w:t>+0.6%</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3,392</w:t>
            </w:r>
          </w:p>
        </w:tc>
        <w:tc>
          <w:tcPr>
            <w:tcW w:type="dxa" w:w="1440"/>
            <w:shd w:fill="FAFAFA" w:val="clear"/>
          </w:tcPr>
          <w:p>
            <w:r>
              <w:rPr>
                <w:b/>
                <w:sz w:val="17"/>
              </w:rPr>
              <w:t>3,816</w:t>
            </w:r>
          </w:p>
        </w:tc>
        <w:tc>
          <w:tcPr>
            <w:tcW w:type="dxa" w:w="1440"/>
            <w:shd w:fill="FAFAFA" w:val="clear"/>
          </w:tcPr>
          <w:p>
            <w:r>
              <w:rPr>
                <w:sz w:val="17"/>
              </w:rPr>
              <w:t>4,241</w:t>
            </w:r>
          </w:p>
        </w:tc>
        <w:tc>
          <w:tcPr>
            <w:tcW w:type="dxa" w:w="1440"/>
            <w:shd w:fill="FAFAFA" w:val="clear"/>
          </w:tcPr>
          <w:p>
            <w:r>
              <w:rPr>
                <w:b/>
                <w:color w:val="008000"/>
                <w:sz w:val="17"/>
              </w:rPr>
              <w:t>+0.6%</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3,369</w:t>
            </w:r>
          </w:p>
        </w:tc>
        <w:tc>
          <w:tcPr>
            <w:tcW w:type="dxa" w:w="1440"/>
            <w:shd w:fill="FAFAFA" w:val="clear"/>
          </w:tcPr>
          <w:p>
            <w:r>
              <w:rPr>
                <w:b/>
                <w:sz w:val="17"/>
              </w:rPr>
              <w:t>3,816</w:t>
            </w:r>
          </w:p>
        </w:tc>
        <w:tc>
          <w:tcPr>
            <w:tcW w:type="dxa" w:w="1440"/>
            <w:shd w:fill="FAFAFA" w:val="clear"/>
          </w:tcPr>
          <w:p>
            <w:r>
              <w:rPr>
                <w:sz w:val="17"/>
              </w:rPr>
              <w:t>4,264</w:t>
            </w:r>
          </w:p>
        </w:tc>
        <w:tc>
          <w:tcPr>
            <w:tcW w:type="dxa" w:w="1440"/>
            <w:shd w:fill="FAFAFA" w:val="clear"/>
          </w:tcPr>
          <w:p>
            <w:r>
              <w:rPr>
                <w:b/>
                <w:color w:val="008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*Bourse Régionale des Valeurs Mobilières (BRVM) — Secteur : Distribution pétrolière et énergie*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123,63 milliards FCFA, TTLS figure parmi les valeurs de taille intermédiaire de la cote BRVM, ce qui lui confère une certaine liquidité relative mais reste modeste à l'échelle régionale. Le BPA de 208 FCFA/action indique ce que chaque titre génère en bénéfice net, et le PER de 18,2x traduit une valorisation nettement supérieure à la moyenne du marché BRVM (généralement 8-12x), signe que les investisseurs paient une prime pour la qualité de l'actionnaire de référence (TotalEnergies à 69,1%) et la position de leader. Le P/B de 4,38x confirme cette exigence : le marché valorise TTLS à plus de quatre fois sa valeur comptable, une prime forte qui se justifie par la solidité du réseau de 140 stations-service mais qui laisse peu de marge d'erreur. Enfin, l'EV/EBITDA de 7,7x, dans la fourchette raisonnable de 5-10x, suggère que la valeur d'entreprise reste cohérente avec la capacité opérationnelle de génération de cash-flow, offrant un contrepoids modérateur à la cherté apparente du PER et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TTLS affiche une progression remarquable de +26,08%, portant le cours à 3 795 FCFA, avec une dernière séance stable (variation J-1 de 0,00%). Le range de trading est large, entre un plus bas de 2 845 FCFA et un plus haut de 4 500 FCFA, soit une amplitude de plus de 58%, témoignant d'une dynamique haussière marquée mais ponctuée de corrections. La moyenne (3 636 FCFA) est légèrement inférieure à la médiane (3 670 FCFA), ce qui indique une très légère asymétrie négative, confirmée par le skewness de -0,168 : la distribution est quasi symétrique, sans biais directionnel fort. L'écart-type de 356 FCFA et le coefficient de variation de 9,8% traduisent une dispersion modérée du cours autour de sa moyenne, tandis que le kurtosis de -0,168 (mésokurtique) suggère une distribution proche de la normale, sans risque de pics extrêmes prononcés. La volatilité annualisée de 42,4% classe le titre dans la catégorie des valeurs à volatilité élevée (&gt;30%), ce qui est cohérent avec un marché frontière comme la BRVM et appelle à une gestion prudente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(3 855,75 FCFA) et la MM50 (3 774,70 FCFA) encadrent le cours actuel (3 795 FCFA), qui se situe légèrement sous la MM20 mais au-dessus de la MM50. Cette configuration indique une tendance haussière de fond (MM20 &gt; MM50) avec une consolidation de court terme, justifiant la décision d'**Achat** par le maintien de la structure haussière.</w:t>
      </w:r>
    </w:p>
    <w:p>
      <w:pPr>
        <w:spacing w:after="120" w:line="276" w:lineRule="auto"/>
      </w:pPr>
      <w:r>
        <w:t>**Bandes de Bollinger** : Le cours (3 795 FCFA) évolue dans la partie basse de la bande, entre la borne inférieure (3 722,64 FCFA) et la borne supérieure (3 988,86 FCFA), sans franchissement des extrêmes. Cette position médiane-basse, couplée à une largeur de bande modérée, traduit une volatilité contenue et justifie la décision **Neutre**, en l'absence de signal de rupture.</w:t>
      </w:r>
    </w:p>
    <w:p>
      <w:pPr>
        <w:spacing w:after="120" w:line="276" w:lineRule="auto"/>
      </w:pPr>
      <w:r>
        <w:t>**MACD** : La valeur du MACD (10,169) est nettement inférieure à son signal (25,982), générant un croisement baissier et un momentum négatif. Cette divergence indique un essoufflement de la dynamique haussière récente et justifie la décision de **Vente** à court terme, en dépit de la tendance de fond positive.</w:t>
      </w:r>
    </w:p>
    <w:p>
      <w:pPr>
        <w:spacing w:after="120" w:line="276" w:lineRule="auto"/>
      </w:pPr>
      <w:r>
        <w:t>**RSI** : À 49,655, le RSI se situe exactement dans la zone neutre (30-70), sans signal de surachat ni de survente. Cette position équilibrée confirme l'absence de pression directionnelle forte et justifie la décision **Neutre**, en cohérence avec la consolidation observée.</w:t>
      </w:r>
    </w:p>
    <w:p>
      <w:pPr>
        <w:spacing w:after="120" w:line="276" w:lineRule="auto"/>
      </w:pPr>
      <w:r>
        <w:t>**Stochastique** : Le %K (2,381) et le %D (3,175) sont tous deux en zone de survente extrême (&lt;20), avec un %K légèrement sous le %D. Cette configuration signale un potentiel rebond technique imminent et justifie la décision d'**Achat**, en anticipation d'un retournement à la hausse.</w:t>
      </w:r>
    </w:p>
    <w:p>
      <w:pPr>
        <w:spacing w:after="120" w:line="276" w:lineRule="auto"/>
      </w:pPr>
      <w:r>
        <w:t>**Conclusion technique** : Les indicateurs sont divergents — les moyennes mobiles et le stochastique plaident pour un achat, le MACD pour une vente, tandis que le RSI et les Bollinger restent neutres. Cette configuration reflète une phase de consolidation au sein d'une tendance haussière de fond, avec un potentiel de rebond à court terme mais une dynamique momentum affaiblie. La prudence reste de mise en attendant une confirmation par le MACD.</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consolidés de TTLS affichent un chiffre d'affaires de 455,209 milliards FCFA, en baisse de 6,1% par rapport à 2024 (484,945 milliards), et un résultat net de 6,779 milliards FCFA, en repli de 5,1% (contre 7,140 milliards en 2024). La rentabilité des fonds propres (ROE) reste excellente à 24,01%, bien au-dessus du seuil de 15%, tandis que le ROA de 3,95% reflète la faible intensité capitalistique du modèle de distribution. En tant qu'entreprise non bancaire, les indicateurs d'exploitation sont particulièrement instructifs : le BFR est négatif à -36,899 milliards FCFA (favorable, car financé par les fournisseurs), le délai fournisseurs de 97,76 jours est nettement supérieur au délai clients de 47,43 jours, ce qui génère une trésorerie structurellement positive (trésorerie nette de 13,941 milliards FCFA). Le ratio d'endettement de 52,16% et l'autonomie financière de 16,44% (inférieure au seuil de 30%) appellent toutefois à la vigilance, même si la couverture des intérêts par le résultat d'exploitation est très confortable (485,91%). Les rapports trimestriels récents confirment la tendance : au T1 2026 (rapport du 31 mars 2026, analysé le 4 mai 2026), le CA recule de 10% à 99,9 milliards FCFA sous l'effet de la baisse réglementaire des prix à la pompe, mais le résultat d'exploitation progresse de 28% à 2,623 milliards FCFA et le résultat net de 5% à 1,585 milliards FCFA, grâce à l'amélioration des marges sur les lubrifiants. Sur la base de ces éléments, on estime que l'exercice 2026 devrait confirmer la résilience opérationnelle de TTLS, avec un résultat net annuel probablement compris entre 6,5 et 7,0 milliards FCFA, la baisse des volumes étant compensée par la montée en gamme du mix-produit. La recommandation fondamentale est de **Conserver** : la solidité du leader sénégalais, la générosité de la politique de dividende (7,691 milliards FCFA versés en 2025, soit un rendement estimé à 5-6%) et les perspectives liées aux projets Sangomar et GNL compensent la faiblesse structurelle des marges (1,49% de marge nette) et la dépendance aux décisions réglementaires de l'État.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TTLS apparaît exigeante mais justifiée : le PER de 18,2x et le P/B de 4,38x traduisent une prime de qualité, tempérée par un EV/EBITDA raisonnable de 7,7x. Le comportement du cours sur 100 jours est nettement haussier (+26,08%), avec une volatilité élevée (42,4%) mais une distribution quasi normale (kurtosis et skewness proches de zéro), ce qui est rassurant pour la prévisibilité. Les signaux techniques sont mitigés : les moyennes mobiles et le stochastique sont acheteurs, le MACD est vendeur, le RSI et les Bollinger sont neutres — une divergence qui plaide pour la patience plutôt que pour l'action immédiate. Les fondamentaux, bien que marqués par une baisse du CA et du résultat net en 2025, révèlent une résilience opérationnelle remarquable (ROE de 24%, trésorerie nette positive, BFR négatif) et les rapports trimestriels de 2026 confirment cette dynamique. Les prédictions IA (3 808 à 3 815 FCFA sur J+1 à J+10) anticipent une légère appréciation de +0,3% à +0,5%, en ligne avec la tendance de fond mais sans signal fort. Sur la base de cette synthèse, la recommandation finale est **CONSERVER**, avec un niveau de confiance **Moyen** et un risque global **Moyen**. L'horizon d'investissement optimal est le **moyen terme (3-12 mois)**, le temps que la stratégie de montée en gamme (lubrifiants, GPL, export) porte ses fruits et que la visibilité sur la politique de dividende et les prix réglementés s'améliore. Un passage à l'achat serait justifié en cas de confirmation du rebond technique (MACD repassant au-dessus de son signal) et de publication de résultats semestriels 2026 solides.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468.35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51,000 FCFA</w:t>
            </w:r>
          </w:p>
          <w:p>
            <w:r>
              <w:rPr>
                <w:b/>
                <w:color w:val="503200"/>
                <w:sz w:val="16"/>
              </w:rPr>
              <w:t xml:space="preserve">Var. 100 jours : </w:t>
            </w:r>
            <w:r>
              <w:rPr>
                <w:b/>
                <w:color w:val="B40000"/>
                <w:sz w:val="17"/>
              </w:rPr>
              <w:t>-13.56%</w:t>
            </w:r>
          </w:p>
          <w:p>
            <w:r>
              <w:rPr>
                <w:b/>
                <w:color w:val="503200"/>
                <w:sz w:val="16"/>
              </w:rPr>
              <w:t xml:space="preserve">Plus haut 100j : </w:t>
            </w:r>
            <w:r>
              <w:rPr>
                <w:color w:val="000000"/>
                <w:sz w:val="17"/>
              </w:rPr>
              <w:t>63,000 FCFA</w:t>
            </w:r>
          </w:p>
          <w:p>
            <w:r>
              <w:rPr>
                <w:b/>
                <w:color w:val="503200"/>
                <w:sz w:val="16"/>
              </w:rPr>
              <w:t xml:space="preserve">Plus bas 100j : </w:t>
            </w:r>
            <w:r>
              <w:rPr>
                <w:color w:val="000000"/>
                <w:sz w:val="17"/>
              </w:rPr>
              <w:t>49,000 FCFA</w:t>
            </w:r>
          </w:p>
          <w:p>
            <w:r>
              <w:rPr>
                <w:b/>
                <w:color w:val="503200"/>
                <w:sz w:val="16"/>
              </w:rPr>
              <w:t xml:space="preserve">Volatilité ann. : </w:t>
            </w:r>
            <w:r>
              <w:rPr>
                <w:color w:val="000000"/>
                <w:sz w:val="17"/>
              </w:rPr>
              <w:t>58.1%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23.0/100 → Moyen</w:t>
      </w:r>
    </w:p>
    <w:p>
      <w:pPr>
        <w:spacing w:before="40" w:after="80"/>
      </w:pPr>
      <w:r>
        <w:rPr>
          <w:rFonts w:ascii="Courier New" w:hAnsi="Courier New"/>
          <w:color w:val="825A00"/>
          <w:sz w:val="18"/>
        </w:rPr>
        <w:t>████░░░░░░░░░░░░░░░░  23.0/100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5.45% (Moyenne) — μ=55,139 FCFA, σ=3,007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β=0.5362 (Défensif) — Cov=0.000038, Var(idx)=0.000071, ρ=0.124,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σ_j=3.66%/j (Modérée) — Vol. annualisée≈58.1%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2026-09-28</w:t>
            </w:r>
          </w:p>
        </w:tc>
        <w:tc>
          <w:tcPr>
            <w:tcW w:type="dxa" w:w="1440"/>
            <w:shd w:fill="FAFAFA" w:val="clear"/>
          </w:tcPr>
          <w:p>
            <w:r>
              <w:rPr>
                <w:sz w:val="17"/>
              </w:rPr>
              <w:t>47,533</w:t>
            </w:r>
          </w:p>
        </w:tc>
        <w:tc>
          <w:tcPr>
            <w:tcW w:type="dxa" w:w="1440"/>
            <w:shd w:fill="FAFAFA" w:val="clear"/>
          </w:tcPr>
          <w:p>
            <w:r>
              <w:rPr>
                <w:b/>
                <w:sz w:val="17"/>
              </w:rPr>
              <w:t>50,679</w:t>
            </w:r>
          </w:p>
        </w:tc>
        <w:tc>
          <w:tcPr>
            <w:tcW w:type="dxa" w:w="1440"/>
            <w:shd w:fill="FAFAFA" w:val="clear"/>
          </w:tcPr>
          <w:p>
            <w:r>
              <w:rPr>
                <w:sz w:val="17"/>
              </w:rPr>
              <w:t>53,825</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2026-09-29</w:t>
            </w:r>
          </w:p>
        </w:tc>
        <w:tc>
          <w:tcPr>
            <w:tcW w:type="dxa" w:w="1440"/>
            <w:shd w:fill="FAFAFA" w:val="clear"/>
          </w:tcPr>
          <w:p>
            <w:r>
              <w:rPr>
                <w:sz w:val="17"/>
              </w:rPr>
              <w:t>46,228</w:t>
            </w:r>
          </w:p>
        </w:tc>
        <w:tc>
          <w:tcPr>
            <w:tcW w:type="dxa" w:w="1440"/>
            <w:shd w:fill="FAFAFA" w:val="clear"/>
          </w:tcPr>
          <w:p>
            <w:r>
              <w:rPr>
                <w:b/>
                <w:sz w:val="17"/>
              </w:rPr>
              <w:t>50,676</w:t>
            </w:r>
          </w:p>
        </w:tc>
        <w:tc>
          <w:tcPr>
            <w:tcW w:type="dxa" w:w="1440"/>
            <w:shd w:fill="FAFAFA" w:val="clear"/>
          </w:tcPr>
          <w:p>
            <w:r>
              <w:rPr>
                <w:sz w:val="17"/>
              </w:rPr>
              <w:t>55,125</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2026-09-30</w:t>
            </w:r>
          </w:p>
        </w:tc>
        <w:tc>
          <w:tcPr>
            <w:tcW w:type="dxa" w:w="1440"/>
            <w:shd w:fill="FAFAFA" w:val="clear"/>
          </w:tcPr>
          <w:p>
            <w:r>
              <w:rPr>
                <w:sz w:val="17"/>
              </w:rPr>
              <w:t>45,214</w:t>
            </w:r>
          </w:p>
        </w:tc>
        <w:tc>
          <w:tcPr>
            <w:tcW w:type="dxa" w:w="1440"/>
            <w:shd w:fill="FAFAFA" w:val="clear"/>
          </w:tcPr>
          <w:p>
            <w:r>
              <w:rPr>
                <w:b/>
                <w:sz w:val="17"/>
              </w:rPr>
              <w:t>50,661</w:t>
            </w:r>
          </w:p>
        </w:tc>
        <w:tc>
          <w:tcPr>
            <w:tcW w:type="dxa" w:w="1440"/>
            <w:shd w:fill="FAFAFA" w:val="clear"/>
          </w:tcPr>
          <w:p>
            <w:r>
              <w:rPr>
                <w:sz w:val="17"/>
              </w:rPr>
              <w:t>56,108</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2026-10-01</w:t>
            </w:r>
          </w:p>
        </w:tc>
        <w:tc>
          <w:tcPr>
            <w:tcW w:type="dxa" w:w="1440"/>
            <w:shd w:fill="FAFAFA" w:val="clear"/>
          </w:tcPr>
          <w:p>
            <w:r>
              <w:rPr>
                <w:sz w:val="17"/>
              </w:rPr>
              <w:t>44,359</w:t>
            </w:r>
          </w:p>
        </w:tc>
        <w:tc>
          <w:tcPr>
            <w:tcW w:type="dxa" w:w="1440"/>
            <w:shd w:fill="FAFAFA" w:val="clear"/>
          </w:tcPr>
          <w:p>
            <w:r>
              <w:rPr>
                <w:b/>
                <w:sz w:val="17"/>
              </w:rPr>
              <w:t>50,647</w:t>
            </w:r>
          </w:p>
        </w:tc>
        <w:tc>
          <w:tcPr>
            <w:tcW w:type="dxa" w:w="1440"/>
            <w:shd w:fill="FAFAFA" w:val="clear"/>
          </w:tcPr>
          <w:p>
            <w:r>
              <w:rPr>
                <w:sz w:val="17"/>
              </w:rPr>
              <w:t>56,935</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2026-10-02</w:t>
            </w:r>
          </w:p>
        </w:tc>
        <w:tc>
          <w:tcPr>
            <w:tcW w:type="dxa" w:w="1440"/>
            <w:shd w:fill="FAFAFA" w:val="clear"/>
          </w:tcPr>
          <w:p>
            <w:r>
              <w:rPr>
                <w:sz w:val="17"/>
              </w:rPr>
              <w:t>43,605</w:t>
            </w:r>
          </w:p>
        </w:tc>
        <w:tc>
          <w:tcPr>
            <w:tcW w:type="dxa" w:w="1440"/>
            <w:shd w:fill="FAFAFA" w:val="clear"/>
          </w:tcPr>
          <w:p>
            <w:r>
              <w:rPr>
                <w:b/>
                <w:sz w:val="17"/>
              </w:rPr>
              <w:t>50,634</w:t>
            </w:r>
          </w:p>
        </w:tc>
        <w:tc>
          <w:tcPr>
            <w:tcW w:type="dxa" w:w="1440"/>
            <w:shd w:fill="FAFAFA" w:val="clear"/>
          </w:tcPr>
          <w:p>
            <w:r>
              <w:rPr>
                <w:sz w:val="17"/>
              </w:rPr>
              <w:t>57,662</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2026-10-05</w:t>
            </w:r>
          </w:p>
        </w:tc>
        <w:tc>
          <w:tcPr>
            <w:tcW w:type="dxa" w:w="1440"/>
            <w:shd w:fill="FAFAFA" w:val="clear"/>
          </w:tcPr>
          <w:p>
            <w:r>
              <w:rPr>
                <w:sz w:val="17"/>
              </w:rPr>
              <w:t>42,925</w:t>
            </w:r>
          </w:p>
        </w:tc>
        <w:tc>
          <w:tcPr>
            <w:tcW w:type="dxa" w:w="1440"/>
            <w:shd w:fill="FAFAFA" w:val="clear"/>
          </w:tcPr>
          <w:p>
            <w:r>
              <w:rPr>
                <w:b/>
                <w:sz w:val="17"/>
              </w:rPr>
              <w:t>50,622</w:t>
            </w:r>
          </w:p>
        </w:tc>
        <w:tc>
          <w:tcPr>
            <w:tcW w:type="dxa" w:w="1440"/>
            <w:shd w:fill="FAFAFA" w:val="clear"/>
          </w:tcPr>
          <w:p>
            <w:r>
              <w:rPr>
                <w:sz w:val="17"/>
              </w:rPr>
              <w:t>58,319</w:t>
            </w:r>
          </w:p>
        </w:tc>
        <w:tc>
          <w:tcPr>
            <w:tcW w:type="dxa" w:w="1440"/>
            <w:shd w:fill="FAFAFA" w:val="clear"/>
          </w:tcPr>
          <w:p>
            <w:r>
              <w:rPr>
                <w:b/>
                <w:color w:val="C00000"/>
                <w:sz w:val="17"/>
              </w:rPr>
              <w:t>-0.7%</w:t>
            </w:r>
          </w:p>
        </w:tc>
      </w:tr>
      <w:tr>
        <w:tc>
          <w:tcPr>
            <w:tcW w:type="dxa" w:w="1440"/>
            <w:shd w:fill="FAFAFA" w:val="clear"/>
          </w:tcPr>
          <w:p>
            <w:r>
              <w:rPr>
                <w:sz w:val="17"/>
              </w:rPr>
              <w:t>J+7  ⭐</w:t>
            </w:r>
          </w:p>
        </w:tc>
        <w:tc>
          <w:tcPr>
            <w:tcW w:type="dxa" w:w="1440"/>
            <w:shd w:fill="FAFAFA" w:val="clear"/>
          </w:tcPr>
          <w:p>
            <w:r>
              <w:rPr>
                <w:sz w:val="17"/>
              </w:rPr>
              <w:t>2026-10-06</w:t>
            </w:r>
          </w:p>
        </w:tc>
        <w:tc>
          <w:tcPr>
            <w:tcW w:type="dxa" w:w="1440"/>
            <w:shd w:fill="FAFAFA" w:val="clear"/>
          </w:tcPr>
          <w:p>
            <w:r>
              <w:rPr>
                <w:sz w:val="17"/>
              </w:rPr>
              <w:t>42,299</w:t>
            </w:r>
          </w:p>
        </w:tc>
        <w:tc>
          <w:tcPr>
            <w:tcW w:type="dxa" w:w="1440"/>
            <w:shd w:fill="FAFAFA" w:val="clear"/>
          </w:tcPr>
          <w:p>
            <w:r>
              <w:rPr>
                <w:b/>
                <w:sz w:val="17"/>
              </w:rPr>
              <w:t>50,612</w:t>
            </w:r>
          </w:p>
        </w:tc>
        <w:tc>
          <w:tcPr>
            <w:tcW w:type="dxa" w:w="1440"/>
            <w:shd w:fill="FAFAFA" w:val="clear"/>
          </w:tcPr>
          <w:p>
            <w:r>
              <w:rPr>
                <w:sz w:val="17"/>
              </w:rPr>
              <w:t>58,924</w:t>
            </w:r>
          </w:p>
        </w:tc>
        <w:tc>
          <w:tcPr>
            <w:tcW w:type="dxa" w:w="1440"/>
            <w:shd w:fill="FAFAFA" w:val="clear"/>
          </w:tcPr>
          <w:p>
            <w:r>
              <w:rPr>
                <w:b/>
                <w:color w:val="C00000"/>
                <w:sz w:val="17"/>
              </w:rPr>
              <w:t>-0.8%</w:t>
            </w:r>
          </w:p>
        </w:tc>
      </w:tr>
      <w:tr>
        <w:tc>
          <w:tcPr>
            <w:tcW w:type="dxa" w:w="1440"/>
            <w:shd w:fill="FAFAFA" w:val="clear"/>
          </w:tcPr>
          <w:p>
            <w:r>
              <w:rPr>
                <w:sz w:val="17"/>
              </w:rPr>
              <w:t>J+8  ⭐</w:t>
            </w:r>
          </w:p>
        </w:tc>
        <w:tc>
          <w:tcPr>
            <w:tcW w:type="dxa" w:w="1440"/>
            <w:shd w:fill="FAFAFA" w:val="clear"/>
          </w:tcPr>
          <w:p>
            <w:r>
              <w:rPr>
                <w:sz w:val="17"/>
              </w:rPr>
              <w:t>2026-10-07</w:t>
            </w:r>
          </w:p>
        </w:tc>
        <w:tc>
          <w:tcPr>
            <w:tcW w:type="dxa" w:w="1440"/>
            <w:shd w:fill="FAFAFA" w:val="clear"/>
          </w:tcPr>
          <w:p>
            <w:r>
              <w:rPr>
                <w:sz w:val="17"/>
              </w:rPr>
              <w:t>41,717</w:t>
            </w:r>
          </w:p>
        </w:tc>
        <w:tc>
          <w:tcPr>
            <w:tcW w:type="dxa" w:w="1440"/>
            <w:shd w:fill="FAFAFA" w:val="clear"/>
          </w:tcPr>
          <w:p>
            <w:r>
              <w:rPr>
                <w:b/>
                <w:sz w:val="17"/>
              </w:rPr>
              <w:t>50,602</w:t>
            </w:r>
          </w:p>
        </w:tc>
        <w:tc>
          <w:tcPr>
            <w:tcW w:type="dxa" w:w="1440"/>
            <w:shd w:fill="FAFAFA" w:val="clear"/>
          </w:tcPr>
          <w:p>
            <w:r>
              <w:rPr>
                <w:sz w:val="17"/>
              </w:rPr>
              <w:t>59,486</w:t>
            </w:r>
          </w:p>
        </w:tc>
        <w:tc>
          <w:tcPr>
            <w:tcW w:type="dxa" w:w="1440"/>
            <w:shd w:fill="FAFAFA" w:val="clear"/>
          </w:tcPr>
          <w:p>
            <w:r>
              <w:rPr>
                <w:b/>
                <w:color w:val="C00000"/>
                <w:sz w:val="17"/>
              </w:rPr>
              <w:t>-0.8%</w:t>
            </w:r>
          </w:p>
        </w:tc>
      </w:tr>
      <w:tr>
        <w:tc>
          <w:tcPr>
            <w:tcW w:type="dxa" w:w="1440"/>
            <w:shd w:fill="FAFAFA" w:val="clear"/>
          </w:tcPr>
          <w:p>
            <w:r>
              <w:rPr>
                <w:sz w:val="17"/>
              </w:rPr>
              <w:t>J+9  ⭐</w:t>
            </w:r>
          </w:p>
        </w:tc>
        <w:tc>
          <w:tcPr>
            <w:tcW w:type="dxa" w:w="1440"/>
            <w:shd w:fill="FAFAFA" w:val="clear"/>
          </w:tcPr>
          <w:p>
            <w:r>
              <w:rPr>
                <w:sz w:val="17"/>
              </w:rPr>
              <w:t>2026-10-08</w:t>
            </w:r>
          </w:p>
        </w:tc>
        <w:tc>
          <w:tcPr>
            <w:tcW w:type="dxa" w:w="1440"/>
            <w:shd w:fill="FAFAFA" w:val="clear"/>
          </w:tcPr>
          <w:p>
            <w:r>
              <w:rPr>
                <w:sz w:val="17"/>
              </w:rPr>
              <w:t>41,171</w:t>
            </w:r>
          </w:p>
        </w:tc>
        <w:tc>
          <w:tcPr>
            <w:tcW w:type="dxa" w:w="1440"/>
            <w:shd w:fill="FAFAFA" w:val="clear"/>
          </w:tcPr>
          <w:p>
            <w:r>
              <w:rPr>
                <w:b/>
                <w:sz w:val="17"/>
              </w:rPr>
              <w:t>50,592</w:t>
            </w:r>
          </w:p>
        </w:tc>
        <w:tc>
          <w:tcPr>
            <w:tcW w:type="dxa" w:w="1440"/>
            <w:shd w:fill="FAFAFA" w:val="clear"/>
          </w:tcPr>
          <w:p>
            <w:r>
              <w:rPr>
                <w:sz w:val="17"/>
              </w:rPr>
              <w:t>60,014</w:t>
            </w:r>
          </w:p>
        </w:tc>
        <w:tc>
          <w:tcPr>
            <w:tcW w:type="dxa" w:w="1440"/>
            <w:shd w:fill="FAFAFA" w:val="clear"/>
          </w:tcPr>
          <w:p>
            <w:r>
              <w:rPr>
                <w:b/>
                <w:color w:val="C00000"/>
                <w:sz w:val="17"/>
              </w:rPr>
              <w:t>-0.8%</w:t>
            </w:r>
          </w:p>
        </w:tc>
      </w:tr>
      <w:tr>
        <w:tc>
          <w:tcPr>
            <w:tcW w:type="dxa" w:w="1440"/>
            <w:shd w:fill="FAFAFA" w:val="clear"/>
          </w:tcPr>
          <w:p>
            <w:r>
              <w:rPr>
                <w:sz w:val="17"/>
              </w:rPr>
              <w:t>J+10  ⭐</w:t>
            </w:r>
          </w:p>
        </w:tc>
        <w:tc>
          <w:tcPr>
            <w:tcW w:type="dxa" w:w="1440"/>
            <w:shd w:fill="FAFAFA" w:val="clear"/>
          </w:tcPr>
          <w:p>
            <w:r>
              <w:rPr>
                <w:sz w:val="17"/>
              </w:rPr>
              <w:t>2026-10-09</w:t>
            </w:r>
          </w:p>
        </w:tc>
        <w:tc>
          <w:tcPr>
            <w:tcW w:type="dxa" w:w="1440"/>
            <w:shd w:fill="FAFAFA" w:val="clear"/>
          </w:tcPr>
          <w:p>
            <w:r>
              <w:rPr>
                <w:sz w:val="17"/>
              </w:rPr>
              <w:t>40,654</w:t>
            </w:r>
          </w:p>
        </w:tc>
        <w:tc>
          <w:tcPr>
            <w:tcW w:type="dxa" w:w="1440"/>
            <w:shd w:fill="FAFAFA" w:val="clear"/>
          </w:tcPr>
          <w:p>
            <w:r>
              <w:rPr>
                <w:b/>
                <w:sz w:val="17"/>
              </w:rPr>
              <w:t>50,583</w:t>
            </w:r>
          </w:p>
        </w:tc>
        <w:tc>
          <w:tcPr>
            <w:tcW w:type="dxa" w:w="1440"/>
            <w:shd w:fill="FAFAFA" w:val="clear"/>
          </w:tcPr>
          <w:p>
            <w:r>
              <w:rPr>
                <w:sz w:val="17"/>
              </w:rPr>
              <w:t>60,513</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(UNLC)**</w:t>
        <w:br/>
        <w:t>**Bourse Régionale des Valeurs Mobilières (BRVM) — Secteur : Biens de Consommation (FMCG)**</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s'élève à 468,35 milliards FCFA, un niveau significatif à l'échelle de la BRVM qui place la société parmi les valeurs les plus importantes de la cote, bien que très en deçà des géants télécoms ou bancaires. Les ratios de valorisation boursière (BPA, PER, P/B, EV/EBITDA) ne sont pas calculables en l'absence de données financières structurées exploitables dans la base, ce qui prive l'investisseur d'une lecture directe du prix payé par rapport aux bénéfices ou à la valeur comptable. On peut toutefois estimer, sur la base du bénéfice net 2023 de 640,3 millions FCFA rapporté à la capitalisation de 468,35 milliards FCFA, un PER implicite extrêmement élevé (supérieur à 700x), ce qui traduit une valorisation de marché totalement déconnectée des bénéfices actuels — le marché valorisant davantage la marque, le potentiel de redressement et la rareté du flottant que la rentabilité présente. Cette situation invite à la plus grande prudence : le titre se paie sur des anticipations, non sur des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affiche une variation totale de -13,56%, avec une dernière séance (J-1) stable à +0,00%, le cours s'établissant à 51 000 FCFA. Le range de trading est large, entre un plus haut de 63 000 FCFA et un plus bas de 49 000 FCFA, soit une amplitude de 14 000 FCFA (28,6% du plus bas), ce qui confirme une tendance générale baissière avec une érosion progressive du cours depuis les sommets. Les statistiques descriptives révèlent une moyenne de 55 139 FCFA légèrement supérieure à la médiane de 54 900 FCFA, signe d'une distribution très légèrement asymétrique à droite, tandis que le mode à 58 000 FCFA indique que le prix le plus fréquemment coté se situe nettement au-dessus du cours actuel — le titre évolue donc dans la partie basse de sa distribution récente. L'écart-type de 3 022 FCFA et le coefficient de variation de 5,5% traduisent une dispersion modérée du cours autour de sa moyenne, mais la volatilité annualisée de 58,1% classe le titre dans la catégorie des valeurs à volatilité élevée (&gt;30%), ce qui implique un risque de fluctuation important pour l'investisseur. Le kurtosis de -0,658 (mésokurtique) indique une distribution proche de la normale, sans risque majeur de pics extrêmes, et le skewness de 0,159 confirme une symétrie quasi parfaite — le comportement du cours est donc statistiquement « sain », sans biais directionnel marqué, mais la tendance de fond reste baissière.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(52 562,25 FCFA) et la MM50 (53 261,50 FCFA) se situent toutes deux au-dessus du cours actuel (51 000 FCFA), avec une MM20 inférieure à la MM50 — configuration baissière classique. Le cours évoluant sous ses deux moyennes, la pression vendeuse domine et la décision technique est logiquement **Vente**.</w:t>
      </w:r>
    </w:p>
    <w:p>
      <w:pPr>
        <w:spacing w:after="120" w:line="276" w:lineRule="auto"/>
      </w:pPr>
      <w:r>
        <w:t>**Bandes de Bollinger** : Le cours (51 000 FCFA) se situe dans la partie basse du canal, entre la borne inférieure (49 026,42 FCFA) et la borne supérieure (56 098,08 FCFA), sans franchissement des extrêmes. Cette position médiane-basse, couplée à un rétrécissement relatif du canal, suggère une absence de signal directionnel fort — la décision est **Neutre**, le marché attendant un catalyseur.</w:t>
      </w:r>
    </w:p>
    <w:p>
      <w:pPr>
        <w:spacing w:after="120" w:line="276" w:lineRule="auto"/>
      </w:pPr>
      <w:r>
        <w:t>**MACD** : La valeur du MACD (-816,785) est inférieure à son signal (-623,533), confirmant un momentum négatif et une configuration baissière persistante. La divergence négative entre les deux lignes indique que la dynamique de court terme reste défavorable, justifiant la décision **Vente**.</w:t>
      </w:r>
    </w:p>
    <w:p>
      <w:pPr>
        <w:spacing w:after="120" w:line="276" w:lineRule="auto"/>
      </w:pPr>
      <w:r>
        <w:t>**RSI** : À 50,0, le RSI se situe exactement à l'équilibre entre surachat (&gt;70) et survente (&lt;30), traduisant une absence totale de pression acheteuse ou vendeuse dominante. Cette neutralité indique un marché sans conviction directionnelle, justifiant la décision **Neutre**.</w:t>
      </w:r>
    </w:p>
    <w:p>
      <w:pPr>
        <w:spacing w:after="120" w:line="276" w:lineRule="auto"/>
      </w:pPr>
      <w:r>
        <w:t>**Stochastique** : Le %K (37,736) est supérieur au %D (25,157), avec un croisement récent à la hausse en zone basse — signal potentiellement haussier de court terme, mais qui reste fragile car les deux courbes évoluent sous le seuil de 50. La décision reste **Neutre**, le signal n'étant pas confirmé par les autres indicateurs.</w:t>
      </w:r>
    </w:p>
    <w:p>
      <w:pPr>
        <w:spacing w:after="120" w:line="276" w:lineRule="auto"/>
      </w:pPr>
      <w:r>
        <w:t>**Conclusion technique** : Les indicateurs techniques présentent un tableau mitigé à dominante baissière. Les moyennes mobiles et le MACD confirment une tendance de fond négative, tandis que le RSI, les Bandes de Bollinger et le Stochastique affichent une neutralité qui traduit l'absence de momentum clair. Le croisement haussier du stochastique en zone basse constitue le seul signal positif, mais il demeure trop faible pour inverser la tendance — la prudence reste de mise, avec une surveillance du niveau de support à 49 000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L'analyse fondamentale d'UNLC s'appuie sur les rapports financiers officiels disponibles, dont les plus récents datent du **31 décembre 2023** (exercice 2023, analysé le 15 mars 2026) et du **31 décembre 2022** (exercice 2022, analysé le 15-16 mars 2026), complétés par les exercices 2021 et antérieurs. **En 2023**, le chiffre d'affaires s'établit à **24 336 010 000 FCFA**, strictement stable par rapport à 2022, traduisant une absence de croissance organique dans un marché FMCG pourtant dynamique. Le résultat net 2023 ressort à **640 334 855 FCFA**, en nette amélioration après la perte abyssale de **-6 908 362 002 FCFA en 2022** (elle-même consécutive à la cession de l'activité Thé/Lipton en 2021 qui avait généré un produit exceptionnel de +16,7 milliards FCFA). La marge nette 2023 reste faible à **2,63%**, très en dessous de la moyenne sectorielle FMCG en Afrique de l'Ouest (5-10%), et le résultat d'exploitation (XD) revient à **+3 340 millions FCFA** contre **-6 258 millions FCFA en 2022**, grâce à une réduction des dotations aux amortissements et une meilleure gestion des stocks. **En 2022**, le chiffre d'affaires s'élevait à 24 336 010 000 FCFA (déjà stable), mais la perte nette de -6 382 600 386 FCFA (selon le rapport 2022) ou -6 908 362 002 FCFA (selon le rapport 2023) reflétait la disparition des produits exceptionnels et la hausse des coûts logistiques. **En 2021**, le résultat net était bénéficiaire à **+6 090 755 732 FCFA** (marge nette de 25,0%), porté par la cession de Lipton, mais cette performance n'était pas récurrente. Les points de vigilance majeurs sont nombreux : **capitaux propres négatifs à -10 658 millions FCFA en 2023** (contre -35 635 millions FCFA de report à nouveau), **endettement financier de 4 379 millions FCFA** en hausse, **absence totale de dividende** depuis plusieurs exercices, et **dépendance au marché ivoirien** dans un contexte de concurrence accrue (Nestlé, P&amp;G, marques locales). Les rapports 2021-2023 étant antérieurs à 2025, ils ne reflètent pas la situation la plus récente, mais ils constituent la seule base fondamentale disponible — et celle-ci demeure fragile. **Recommandation fondamentale** : la société montre des signes de redressement opérationnel (retour à un bénéfice modeste, amélioration du résultat d'exploitation), mais sa structure financière reste précaire (capitaux propres négatifs, endettement, absence de dividende), ce qui justifie une approche prudente — **CONSERVER avec vigilance** pour les investisseurs patients, en attendant une confirmation durable de la rentabilité et une reconstitution des fonds propres.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et des prédictions IA conduit à une recommandation nuancée. **Sur le plan de la valorisation (Partie 0)**, la capitalisation de 468,35 milliards FCFA pour un bénéfice net de 640 millions FCFA implique un PER implicite supérieur à 700x, ce qui traduit une surévaluation manifeste par rapport aux bénéfices actuels — le marché valorise la marque et le potentiel de redressement, non les résultats. **Sur le plan du comportement du cours (Partie 1)**, la tendance baissière (-13,56% sur 100 jours), la volatilité élevée (58,1%) et la position du cours sous sa moyenne mobile constituent des signaux préoccupants, bien que la distribution statistique (kurtosis -0,658, skewness 0,159) soit équilibrée et sans risque de pics extrêmes. **Sur le plan technique (Partie 2)**, les indicateurs sont majoritairement baissiers (MM, MACD) ou neutres (RSI, Bollinger, Stochastique), sans convergence haussière — le croisement du stochastique en zone basse est le seul signal positif, mais il reste fragile. **Sur le plan fondamental (Partie 3)**, les rapports 2021-2023 montrent un redressement opérationnel (bénéfice net de 640 millions FCFA en 2023 contre une perte de 6,9 milliards en 2022), mais la structure financière demeure précaire (capitaux propres négatifs, endettement, absence de dividende) — la société est en convalescence, pas en croissance. **Les prédictions IA (J+1 à J+10)** anticipent une trajectoire baissière très légère, de 50 679 FCFA à 50 634 FCFA, soit une quasi-stagnation avec une légère érosion de -0,09% sur 10 jours — cette trajectoire confirme la tendance baissière de fond sans anticiper de rebond significatif. **En synthèse**, la convergence des signaux (valorisation extrême, technique baissière, fondamentaux fragiles, prédictions stagnantes) plaide pour une **VENTE** du titre à court terme, avec un niveau de confiance **Moyen** et un niveau de risque global **Élevé**. L'horizon d'investissement optimal est **court terme (&lt;3 mois)** pour les investisseurs cherchant à sortir avant une éventuelle dégradation supplémentaire ; les investisseurs long terme (&gt;1 an) pourraient **CONSERVER** uniquement s'ils croient en un plan de redressement crédible et en une reconstitution des capitaux propres, mais cette position reste hautement spéculative.</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48.76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13,655 titres</w:t>
            </w:r>
          </w:p>
        </w:tc>
        <w:tc>
          <w:tcPr>
            <w:tcW w:type="dxa" w:w="2268"/>
            <w:shd w:fill="FFF2CC" w:val="clear"/>
          </w:tcPr>
          <w:p>
            <w:r>
              <w:rPr>
                <w:b/>
                <w:color w:val="503200"/>
                <w:sz w:val="16"/>
              </w:rPr>
              <w:t xml:space="preserve">Cours actuel : </w:t>
            </w:r>
            <w:r>
              <w:rPr>
                <w:color w:val="000000"/>
                <w:sz w:val="17"/>
              </w:rPr>
              <w:t>2,350 FCFA</w:t>
            </w:r>
          </w:p>
          <w:p>
            <w:r>
              <w:rPr>
                <w:b/>
                <w:color w:val="503200"/>
                <w:sz w:val="16"/>
              </w:rPr>
              <w:t xml:space="preserve">Var. 100 jours : </w:t>
            </w:r>
            <w:r>
              <w:rPr>
                <w:b/>
                <w:color w:val="007800"/>
                <w:sz w:val="17"/>
              </w:rPr>
              <w:t>+25.00%</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14.74% (Moyenne) — μ=1,978 FCFA, σ=291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β=0.4861 (Défensif) — Cov=0.000034, Var(idx)=0.000069, ρ=0.130,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13,655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σ_j=3.12%/j (Modérée) — Vol. annualisée≈49.5%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2026-09-28</w:t>
            </w:r>
          </w:p>
        </w:tc>
        <w:tc>
          <w:tcPr>
            <w:tcW w:type="dxa" w:w="1440"/>
            <w:shd w:fill="FFDCE0" w:val="clear"/>
          </w:tcPr>
          <w:p>
            <w:r>
              <w:rPr>
                <w:sz w:val="17"/>
              </w:rPr>
              <w:t>2,156</w:t>
            </w:r>
          </w:p>
        </w:tc>
        <w:tc>
          <w:tcPr>
            <w:tcW w:type="dxa" w:w="1440"/>
            <w:shd w:fill="FFDCE0" w:val="clear"/>
          </w:tcPr>
          <w:p>
            <w:r>
              <w:rPr>
                <w:b/>
                <w:sz w:val="17"/>
              </w:rPr>
              <w:t>2,263</w:t>
            </w:r>
          </w:p>
        </w:tc>
        <w:tc>
          <w:tcPr>
            <w:tcW w:type="dxa" w:w="1440"/>
            <w:shd w:fill="FFDCE0" w:val="clear"/>
          </w:tcPr>
          <w:p>
            <w:r>
              <w:rPr>
                <w:sz w:val="17"/>
              </w:rPr>
              <w:t>2,370</w:t>
            </w:r>
          </w:p>
        </w:tc>
        <w:tc>
          <w:tcPr>
            <w:tcW w:type="dxa" w:w="1440"/>
            <w:shd w:fill="FFDCE0" w:val="clear"/>
          </w:tcPr>
          <w:p>
            <w:r>
              <w:rPr>
                <w:b/>
                <w:color w:val="C00000"/>
                <w:sz w:val="17"/>
              </w:rPr>
              <w:t>-3.7%</w:t>
            </w:r>
          </w:p>
        </w:tc>
      </w:tr>
      <w:tr>
        <w:tc>
          <w:tcPr>
            <w:tcW w:type="dxa" w:w="1440"/>
            <w:shd w:fill="FFDCE0" w:val="clear"/>
          </w:tcPr>
          <w:p>
            <w:r>
              <w:rPr>
                <w:sz w:val="17"/>
              </w:rPr>
              <w:t>J+2  Moyenne</w:t>
            </w:r>
          </w:p>
        </w:tc>
        <w:tc>
          <w:tcPr>
            <w:tcW w:type="dxa" w:w="1440"/>
            <w:shd w:fill="FFDCE0" w:val="clear"/>
          </w:tcPr>
          <w:p>
            <w:r>
              <w:rPr>
                <w:sz w:val="17"/>
              </w:rPr>
              <w:t>2026-09-29</w:t>
            </w:r>
          </w:p>
        </w:tc>
        <w:tc>
          <w:tcPr>
            <w:tcW w:type="dxa" w:w="1440"/>
            <w:shd w:fill="FFDCE0" w:val="clear"/>
          </w:tcPr>
          <w:p>
            <w:r>
              <w:rPr>
                <w:sz w:val="17"/>
              </w:rPr>
              <w:t>2,112</w:t>
            </w:r>
          </w:p>
        </w:tc>
        <w:tc>
          <w:tcPr>
            <w:tcW w:type="dxa" w:w="1440"/>
            <w:shd w:fill="FFDCE0" w:val="clear"/>
          </w:tcPr>
          <w:p>
            <w:r>
              <w:rPr>
                <w:b/>
                <w:sz w:val="17"/>
              </w:rPr>
              <w:t>2,264</w:t>
            </w:r>
          </w:p>
        </w:tc>
        <w:tc>
          <w:tcPr>
            <w:tcW w:type="dxa" w:w="1440"/>
            <w:shd w:fill="FFDCE0" w:val="clear"/>
          </w:tcPr>
          <w:p>
            <w:r>
              <w:rPr>
                <w:sz w:val="17"/>
              </w:rPr>
              <w:t>2,416</w:t>
            </w:r>
          </w:p>
        </w:tc>
        <w:tc>
          <w:tcPr>
            <w:tcW w:type="dxa" w:w="1440"/>
            <w:shd w:fill="FFDCE0" w:val="clear"/>
          </w:tcPr>
          <w:p>
            <w:r>
              <w:rPr>
                <w:b/>
                <w:color w:val="C00000"/>
                <w:sz w:val="17"/>
              </w:rPr>
              <w:t>-3.7%</w:t>
            </w:r>
          </w:p>
        </w:tc>
      </w:tr>
      <w:tr>
        <w:tc>
          <w:tcPr>
            <w:tcW w:type="dxa" w:w="1440"/>
            <w:shd w:fill="FFDCE0" w:val="clear"/>
          </w:tcPr>
          <w:p>
            <w:r>
              <w:rPr>
                <w:sz w:val="17"/>
              </w:rPr>
              <w:t>J+3  Moyenne</w:t>
            </w:r>
          </w:p>
        </w:tc>
        <w:tc>
          <w:tcPr>
            <w:tcW w:type="dxa" w:w="1440"/>
            <w:shd w:fill="FFDCE0" w:val="clear"/>
          </w:tcPr>
          <w:p>
            <w:r>
              <w:rPr>
                <w:sz w:val="17"/>
              </w:rPr>
              <w:t>2026-09-30</w:t>
            </w:r>
          </w:p>
        </w:tc>
        <w:tc>
          <w:tcPr>
            <w:tcW w:type="dxa" w:w="1440"/>
            <w:shd w:fill="FFDCE0" w:val="clear"/>
          </w:tcPr>
          <w:p>
            <w:r>
              <w:rPr>
                <w:sz w:val="17"/>
              </w:rPr>
              <w:t>2,072</w:t>
            </w:r>
          </w:p>
        </w:tc>
        <w:tc>
          <w:tcPr>
            <w:tcW w:type="dxa" w:w="1440"/>
            <w:shd w:fill="FFDCE0" w:val="clear"/>
          </w:tcPr>
          <w:p>
            <w:r>
              <w:rPr>
                <w:b/>
                <w:sz w:val="17"/>
              </w:rPr>
              <w:t>2,257</w:t>
            </w:r>
          </w:p>
        </w:tc>
        <w:tc>
          <w:tcPr>
            <w:tcW w:type="dxa" w:w="1440"/>
            <w:shd w:fill="FFDCE0" w:val="clear"/>
          </w:tcPr>
          <w:p>
            <w:r>
              <w:rPr>
                <w:sz w:val="17"/>
              </w:rPr>
              <w:t>2,442</w:t>
            </w:r>
          </w:p>
        </w:tc>
        <w:tc>
          <w:tcPr>
            <w:tcW w:type="dxa" w:w="1440"/>
            <w:shd w:fill="FFDCE0" w:val="clear"/>
          </w:tcPr>
          <w:p>
            <w:r>
              <w:rPr>
                <w:b/>
                <w:color w:val="C00000"/>
                <w:sz w:val="17"/>
              </w:rPr>
              <w:t>-4.0%</w:t>
            </w:r>
          </w:p>
        </w:tc>
      </w:tr>
      <w:tr>
        <w:tc>
          <w:tcPr>
            <w:tcW w:type="dxa" w:w="1440"/>
            <w:shd w:fill="FFDCE0" w:val="clear"/>
          </w:tcPr>
          <w:p>
            <w:r>
              <w:rPr>
                <w:sz w:val="17"/>
              </w:rPr>
              <w:t>J+4  ⭐</w:t>
            </w:r>
          </w:p>
        </w:tc>
        <w:tc>
          <w:tcPr>
            <w:tcW w:type="dxa" w:w="1440"/>
            <w:shd w:fill="FFDCE0" w:val="clear"/>
          </w:tcPr>
          <w:p>
            <w:r>
              <w:rPr>
                <w:sz w:val="17"/>
              </w:rPr>
              <w:t>2026-10-01</w:t>
            </w:r>
          </w:p>
        </w:tc>
        <w:tc>
          <w:tcPr>
            <w:tcW w:type="dxa" w:w="1440"/>
            <w:shd w:fill="FFDCE0" w:val="clear"/>
          </w:tcPr>
          <w:p>
            <w:r>
              <w:rPr>
                <w:sz w:val="17"/>
              </w:rPr>
              <w:t>2,036</w:t>
            </w:r>
          </w:p>
        </w:tc>
        <w:tc>
          <w:tcPr>
            <w:tcW w:type="dxa" w:w="1440"/>
            <w:shd w:fill="FFDCE0" w:val="clear"/>
          </w:tcPr>
          <w:p>
            <w:r>
              <w:rPr>
                <w:b/>
                <w:sz w:val="17"/>
              </w:rPr>
              <w:t>2,249</w:t>
            </w:r>
          </w:p>
        </w:tc>
        <w:tc>
          <w:tcPr>
            <w:tcW w:type="dxa" w:w="1440"/>
            <w:shd w:fill="FFDCE0" w:val="clear"/>
          </w:tcPr>
          <w:p>
            <w:r>
              <w:rPr>
                <w:sz w:val="17"/>
              </w:rPr>
              <w:t>2,462</w:t>
            </w:r>
          </w:p>
        </w:tc>
        <w:tc>
          <w:tcPr>
            <w:tcW w:type="dxa" w:w="1440"/>
            <w:shd w:fill="FFDCE0" w:val="clear"/>
          </w:tcPr>
          <w:p>
            <w:r>
              <w:rPr>
                <w:b/>
                <w:color w:val="C00000"/>
                <w:sz w:val="17"/>
              </w:rPr>
              <w:t>-4.3%</w:t>
            </w:r>
          </w:p>
        </w:tc>
      </w:tr>
      <w:tr>
        <w:tc>
          <w:tcPr>
            <w:tcW w:type="dxa" w:w="1440"/>
            <w:shd w:fill="FFDCE0" w:val="clear"/>
          </w:tcPr>
          <w:p>
            <w:r>
              <w:rPr>
                <w:sz w:val="17"/>
              </w:rPr>
              <w:t>J+5  ⭐</w:t>
            </w:r>
          </w:p>
        </w:tc>
        <w:tc>
          <w:tcPr>
            <w:tcW w:type="dxa" w:w="1440"/>
            <w:shd w:fill="FFDCE0" w:val="clear"/>
          </w:tcPr>
          <w:p>
            <w:r>
              <w:rPr>
                <w:sz w:val="17"/>
              </w:rPr>
              <w:t>2026-10-02</w:t>
            </w:r>
          </w:p>
        </w:tc>
        <w:tc>
          <w:tcPr>
            <w:tcW w:type="dxa" w:w="1440"/>
            <w:shd w:fill="FFDCE0" w:val="clear"/>
          </w:tcPr>
          <w:p>
            <w:r>
              <w:rPr>
                <w:sz w:val="17"/>
              </w:rPr>
              <w:t>2,004</w:t>
            </w:r>
          </w:p>
        </w:tc>
        <w:tc>
          <w:tcPr>
            <w:tcW w:type="dxa" w:w="1440"/>
            <w:shd w:fill="FFDCE0" w:val="clear"/>
          </w:tcPr>
          <w:p>
            <w:r>
              <w:rPr>
                <w:b/>
                <w:sz w:val="17"/>
              </w:rPr>
              <w:t>2,241</w:t>
            </w:r>
          </w:p>
        </w:tc>
        <w:tc>
          <w:tcPr>
            <w:tcW w:type="dxa" w:w="1440"/>
            <w:shd w:fill="FFDCE0" w:val="clear"/>
          </w:tcPr>
          <w:p>
            <w:r>
              <w:rPr>
                <w:sz w:val="17"/>
              </w:rPr>
              <w:t>2,479</w:t>
            </w:r>
          </w:p>
        </w:tc>
        <w:tc>
          <w:tcPr>
            <w:tcW w:type="dxa" w:w="1440"/>
            <w:shd w:fill="FFDCE0" w:val="clear"/>
          </w:tcPr>
          <w:p>
            <w:r>
              <w:rPr>
                <w:b/>
                <w:color w:val="C00000"/>
                <w:sz w:val="17"/>
              </w:rPr>
              <w:t>-4.6%</w:t>
            </w:r>
          </w:p>
        </w:tc>
      </w:tr>
      <w:tr>
        <w:tc>
          <w:tcPr>
            <w:tcW w:type="dxa" w:w="1440"/>
            <w:shd w:fill="FFDCE0" w:val="clear"/>
          </w:tcPr>
          <w:p>
            <w:r>
              <w:rPr>
                <w:sz w:val="17"/>
              </w:rPr>
              <w:t>J+6  ⭐</w:t>
            </w:r>
          </w:p>
        </w:tc>
        <w:tc>
          <w:tcPr>
            <w:tcW w:type="dxa" w:w="1440"/>
            <w:shd w:fill="FFDCE0" w:val="clear"/>
          </w:tcPr>
          <w:p>
            <w:r>
              <w:rPr>
                <w:sz w:val="17"/>
              </w:rPr>
              <w:t>2026-10-05</w:t>
            </w:r>
          </w:p>
        </w:tc>
        <w:tc>
          <w:tcPr>
            <w:tcW w:type="dxa" w:w="1440"/>
            <w:shd w:fill="FFDCE0" w:val="clear"/>
          </w:tcPr>
          <w:p>
            <w:r>
              <w:rPr>
                <w:sz w:val="17"/>
              </w:rPr>
              <w:t>1,975</w:t>
            </w:r>
          </w:p>
        </w:tc>
        <w:tc>
          <w:tcPr>
            <w:tcW w:type="dxa" w:w="1440"/>
            <w:shd w:fill="FFDCE0" w:val="clear"/>
          </w:tcPr>
          <w:p>
            <w:r>
              <w:rPr>
                <w:b/>
                <w:sz w:val="17"/>
              </w:rPr>
              <w:t>2,234</w:t>
            </w:r>
          </w:p>
        </w:tc>
        <w:tc>
          <w:tcPr>
            <w:tcW w:type="dxa" w:w="1440"/>
            <w:shd w:fill="FFDCE0" w:val="clear"/>
          </w:tcPr>
          <w:p>
            <w:r>
              <w:rPr>
                <w:sz w:val="17"/>
              </w:rPr>
              <w:t>2,493</w:t>
            </w:r>
          </w:p>
        </w:tc>
        <w:tc>
          <w:tcPr>
            <w:tcW w:type="dxa" w:w="1440"/>
            <w:shd w:fill="FFDCE0" w:val="clear"/>
          </w:tcPr>
          <w:p>
            <w:r>
              <w:rPr>
                <w:b/>
                <w:color w:val="C00000"/>
                <w:sz w:val="17"/>
              </w:rPr>
              <w:t>-4.9%</w:t>
            </w:r>
          </w:p>
        </w:tc>
      </w:tr>
      <w:tr>
        <w:tc>
          <w:tcPr>
            <w:tcW w:type="dxa" w:w="1440"/>
            <w:shd w:fill="FFDCE0" w:val="clear"/>
          </w:tcPr>
          <w:p>
            <w:r>
              <w:rPr>
                <w:sz w:val="17"/>
              </w:rPr>
              <w:t>J+7  ⭐</w:t>
            </w:r>
          </w:p>
        </w:tc>
        <w:tc>
          <w:tcPr>
            <w:tcW w:type="dxa" w:w="1440"/>
            <w:shd w:fill="FFDCE0" w:val="clear"/>
          </w:tcPr>
          <w:p>
            <w:r>
              <w:rPr>
                <w:sz w:val="17"/>
              </w:rPr>
              <w:t>2026-10-06</w:t>
            </w:r>
          </w:p>
        </w:tc>
        <w:tc>
          <w:tcPr>
            <w:tcW w:type="dxa" w:w="1440"/>
            <w:shd w:fill="FFDCE0" w:val="clear"/>
          </w:tcPr>
          <w:p>
            <w:r>
              <w:rPr>
                <w:sz w:val="17"/>
              </w:rPr>
              <w:t>1,948</w:t>
            </w:r>
          </w:p>
        </w:tc>
        <w:tc>
          <w:tcPr>
            <w:tcW w:type="dxa" w:w="1440"/>
            <w:shd w:fill="FFDCE0" w:val="clear"/>
          </w:tcPr>
          <w:p>
            <w:r>
              <w:rPr>
                <w:b/>
                <w:sz w:val="17"/>
              </w:rPr>
              <w:t>2,227</w:t>
            </w:r>
          </w:p>
        </w:tc>
        <w:tc>
          <w:tcPr>
            <w:tcW w:type="dxa" w:w="1440"/>
            <w:shd w:fill="FFDCE0" w:val="clear"/>
          </w:tcPr>
          <w:p>
            <w:r>
              <w:rPr>
                <w:sz w:val="17"/>
              </w:rPr>
              <w:t>2,506</w:t>
            </w:r>
          </w:p>
        </w:tc>
        <w:tc>
          <w:tcPr>
            <w:tcW w:type="dxa" w:w="1440"/>
            <w:shd w:fill="FFDCE0" w:val="clear"/>
          </w:tcPr>
          <w:p>
            <w:r>
              <w:rPr>
                <w:b/>
                <w:color w:val="C00000"/>
                <w:sz w:val="17"/>
              </w:rPr>
              <w:t>-5.2%</w:t>
            </w:r>
          </w:p>
        </w:tc>
      </w:tr>
      <w:tr>
        <w:tc>
          <w:tcPr>
            <w:tcW w:type="dxa" w:w="1440"/>
            <w:shd w:fill="FFDCE0" w:val="clear"/>
          </w:tcPr>
          <w:p>
            <w:r>
              <w:rPr>
                <w:sz w:val="17"/>
              </w:rPr>
              <w:t>J+8  ⭐</w:t>
            </w:r>
          </w:p>
        </w:tc>
        <w:tc>
          <w:tcPr>
            <w:tcW w:type="dxa" w:w="1440"/>
            <w:shd w:fill="FFDCE0" w:val="clear"/>
          </w:tcPr>
          <w:p>
            <w:r>
              <w:rPr>
                <w:sz w:val="17"/>
              </w:rPr>
              <w:t>2026-10-07</w:t>
            </w:r>
          </w:p>
        </w:tc>
        <w:tc>
          <w:tcPr>
            <w:tcW w:type="dxa" w:w="1440"/>
            <w:shd w:fill="FFDCE0" w:val="clear"/>
          </w:tcPr>
          <w:p>
            <w:r>
              <w:rPr>
                <w:sz w:val="17"/>
              </w:rPr>
              <w:t>1,923</w:t>
            </w:r>
          </w:p>
        </w:tc>
        <w:tc>
          <w:tcPr>
            <w:tcW w:type="dxa" w:w="1440"/>
            <w:shd w:fill="FFDCE0" w:val="clear"/>
          </w:tcPr>
          <w:p>
            <w:r>
              <w:rPr>
                <w:b/>
                <w:sz w:val="17"/>
              </w:rPr>
              <w:t>2,220</w:t>
            </w:r>
          </w:p>
        </w:tc>
        <w:tc>
          <w:tcPr>
            <w:tcW w:type="dxa" w:w="1440"/>
            <w:shd w:fill="FFDCE0" w:val="clear"/>
          </w:tcPr>
          <w:p>
            <w:r>
              <w:rPr>
                <w:sz w:val="17"/>
              </w:rPr>
              <w:t>2,518</w:t>
            </w:r>
          </w:p>
        </w:tc>
        <w:tc>
          <w:tcPr>
            <w:tcW w:type="dxa" w:w="1440"/>
            <w:shd w:fill="FFDCE0" w:val="clear"/>
          </w:tcPr>
          <w:p>
            <w:r>
              <w:rPr>
                <w:b/>
                <w:color w:val="C00000"/>
                <w:sz w:val="17"/>
              </w:rPr>
              <w:t>-5.5%</w:t>
            </w:r>
          </w:p>
        </w:tc>
      </w:tr>
      <w:tr>
        <w:tc>
          <w:tcPr>
            <w:tcW w:type="dxa" w:w="1440"/>
            <w:shd w:fill="FFDCE0" w:val="clear"/>
          </w:tcPr>
          <w:p>
            <w:r>
              <w:rPr>
                <w:sz w:val="17"/>
              </w:rPr>
              <w:t>J+9  ⭐</w:t>
            </w:r>
          </w:p>
        </w:tc>
        <w:tc>
          <w:tcPr>
            <w:tcW w:type="dxa" w:w="1440"/>
            <w:shd w:fill="FFDCE0" w:val="clear"/>
          </w:tcPr>
          <w:p>
            <w:r>
              <w:rPr>
                <w:sz w:val="17"/>
              </w:rPr>
              <w:t>2026-10-08</w:t>
            </w:r>
          </w:p>
        </w:tc>
        <w:tc>
          <w:tcPr>
            <w:tcW w:type="dxa" w:w="1440"/>
            <w:shd w:fill="FFDCE0" w:val="clear"/>
          </w:tcPr>
          <w:p>
            <w:r>
              <w:rPr>
                <w:sz w:val="17"/>
              </w:rPr>
              <w:t>1,899</w:t>
            </w:r>
          </w:p>
        </w:tc>
        <w:tc>
          <w:tcPr>
            <w:tcW w:type="dxa" w:w="1440"/>
            <w:shd w:fill="FFDCE0" w:val="clear"/>
          </w:tcPr>
          <w:p>
            <w:r>
              <w:rPr>
                <w:b/>
                <w:sz w:val="17"/>
              </w:rPr>
              <w:t>2,214</w:t>
            </w:r>
          </w:p>
        </w:tc>
        <w:tc>
          <w:tcPr>
            <w:tcW w:type="dxa" w:w="1440"/>
            <w:shd w:fill="FFDCE0" w:val="clear"/>
          </w:tcPr>
          <w:p>
            <w:r>
              <w:rPr>
                <w:sz w:val="17"/>
              </w:rPr>
              <w:t>2,529</w:t>
            </w:r>
          </w:p>
        </w:tc>
        <w:tc>
          <w:tcPr>
            <w:tcW w:type="dxa" w:w="1440"/>
            <w:shd w:fill="FFDCE0" w:val="clear"/>
          </w:tcPr>
          <w:p>
            <w:r>
              <w:rPr>
                <w:b/>
                <w:color w:val="C00000"/>
                <w:sz w:val="17"/>
              </w:rPr>
              <w:t>-5.8%</w:t>
            </w:r>
          </w:p>
        </w:tc>
      </w:tr>
      <w:tr>
        <w:tc>
          <w:tcPr>
            <w:tcW w:type="dxa" w:w="1440"/>
            <w:shd w:fill="FFDCE0" w:val="clear"/>
          </w:tcPr>
          <w:p>
            <w:r>
              <w:rPr>
                <w:sz w:val="17"/>
              </w:rPr>
              <w:t>J+10  ⭐</w:t>
            </w:r>
          </w:p>
        </w:tc>
        <w:tc>
          <w:tcPr>
            <w:tcW w:type="dxa" w:w="1440"/>
            <w:shd w:fill="FFDCE0" w:val="clear"/>
          </w:tcPr>
          <w:p>
            <w:r>
              <w:rPr>
                <w:sz w:val="17"/>
              </w:rPr>
              <w:t>2026-10-09</w:t>
            </w:r>
          </w:p>
        </w:tc>
        <w:tc>
          <w:tcPr>
            <w:tcW w:type="dxa" w:w="1440"/>
            <w:shd w:fill="FFDCE0" w:val="clear"/>
          </w:tcPr>
          <w:p>
            <w:r>
              <w:rPr>
                <w:sz w:val="17"/>
              </w:rPr>
              <w:t>1,877</w:t>
            </w:r>
          </w:p>
        </w:tc>
        <w:tc>
          <w:tcPr>
            <w:tcW w:type="dxa" w:w="1440"/>
            <w:shd w:fill="FFDCE0" w:val="clear"/>
          </w:tcPr>
          <w:p>
            <w:r>
              <w:rPr>
                <w:b/>
                <w:sz w:val="17"/>
              </w:rPr>
              <w:t>2,207</w:t>
            </w:r>
          </w:p>
        </w:tc>
        <w:tc>
          <w:tcPr>
            <w:tcW w:type="dxa" w:w="1440"/>
            <w:shd w:fill="FFDCE0" w:val="clear"/>
          </w:tcPr>
          <w:p>
            <w:r>
              <w:rPr>
                <w:sz w:val="17"/>
              </w:rPr>
              <w:t>2,538</w:t>
            </w:r>
          </w:p>
        </w:tc>
        <w:tc>
          <w:tcPr>
            <w:tcW w:type="dxa" w:w="1440"/>
            <w:shd w:fill="FFDCE0" w:val="clear"/>
          </w:tcPr>
          <w:p>
            <w:r>
              <w:rPr>
                <w:b/>
                <w:color w:val="C00000"/>
                <w:sz w:val="17"/>
              </w:rPr>
              <w:t>-6.1%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 RAPPORT D'ANALYSE FINANCIÈRE — UNIWAX (UNXC)</w:t>
        <w:br/>
        <w:t>## Bourse Régionale des Valeurs Mobilières (BRVM) — Côte d'Ivoire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48,76 milliards FCFA, UNXC se positionne comme une valeur de taille intermédiaire sur la BRVM, représentant un poids modeste dans un marché où les mastodontes (SONATEL, ETIT, etc.) dépassent souvent 500 milliards FCFA. Le BPA ressort à -105 FCFA/action, conséquence directe de la perte nette de 2,189 milliards FCFA enregistrée en 2024, ce qui rend le PER non significatif (-22,3x) et traduit une société déficitaire dont la valorisation boursière n'est pas adossée aux bénéfices actuels. Le P/B de 3,13x indique que le marché valorise l'action à plus de trois fois sa valeur comptable (capitaux propres de 15,591 milliards FCFA pour 48,76 milliards FCFA de capitalisation), soit une prime de croissance significative qui n'est justifiée que si le redressement opérationnel se confirme durablement. Le ratio EV/EBITDA n'est pas exploitable en l'état, l'EBE étant négatif (-352,22 millions FCFA en 2024), ce qui confirme que la valeur repose aujourd'hui sur des anticipations de retournement plutôt que sur des fondamentaux actuels solides.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UNXC affiche une progression spectaculaire de +25,00%, avec une dernière séance particulièrement dynamique (+6,82% en J-1), portant le cours à 2 350 FCFA. Le range de trading est très large, le titre ayant oscillé entre un plus bas de 1 250 FCFA et un plus haut de 2 495 FCFA, soit un écart de près de 100%, ce qui témoigne d'une forte volatilité et d'un intérêt marqué des investisseurs pour ce dossier en pleine restructuration. La tendance générale est clairement haussière, portée par les annonces de redressement opérationnel et la finalisation de la cession-bail du terrain. Les statistiques descriptives révèlent une moyenne de 1 978 FCFA légèrement supérieure à la médiane de 1 915 FCFA, avec un mode à 1 970 FCFA, suggérant une distribution globalement équilibrée mais avec une légère prédominance des cours élevés en fin de période. L'écart-type de 293 FCFA (CV = 14,8%) indique une dispersion modérée autour de la moyenne, tandis que le kurtosis de -0,318 (mésokurtique) et le skewness de 0,025 (distribution symétrique) confirment un comportement proche d'une loi normale, sans risque extrême de pics brutaux ni d'asymétrie marquée. La volatilité annualisée de 49,5% positionne le titre dans la catégorie des valeurs à volatilité élevée (&gt;30%), ce qui implique un risque de marché significatif et justifie une approche prudente en termes de dimensionnement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se situe à 2 358,25 FCFA et la MM50 à 2 171,00 FCFA, toutes deux inférieures au cours actuel de 2 350 FCFA, ce qui place le titre en position haussière sur les deux horizons. La MM20 étant supérieure à la MM50, on observe un croisement haussier (golden cross) confirmant la dynamique positive. La décision technique est donc logiquement à l'**Achat**, le cours évoluant au-dessus de ses supports mobiles.</w:t>
      </w:r>
    </w:p>
    <w:p>
      <w:pPr>
        <w:spacing w:after="120" w:line="276" w:lineRule="auto"/>
      </w:pPr>
      <w:r>
        <w:t>**Bandes de Bollinger** : Le cours actuel (2 350 FCFA) se situe à l'intérieur des bandes, entre la borne inférieure (2 219,145 FCFA) et la borne supérieure (2 497,355 FCFA), mais plus proche de la borne haute. Cette position médiane-haute indique une volatilité contenue et l'absence de signal de surachat ou de survente extrême. La décision est **Neutre**, le titre n'étant ni en zone d'achat agressive ni en zone de vente.</w:t>
      </w:r>
    </w:p>
    <w:p>
      <w:pPr>
        <w:spacing w:after="120" w:line="276" w:lineRule="auto"/>
      </w:pPr>
      <w:r>
        <w:t>**MACD** : La valeur du MACD (21,235) est nettement inférieure à son signal (50,059), ce qui génère un croisement baissier et une divergence négative. Ce signal suggère un essoufflement du momentum haussier à court terme, bien que le MACD reste en territoire positif. La décision technique est à la **Vente**, ce qui contraste avec la tendance de fond haussière et appelle à la prudence sur les entrées à court terme.</w:t>
      </w:r>
    </w:p>
    <w:p>
      <w:pPr>
        <w:spacing w:after="120" w:line="276" w:lineRule="auto"/>
      </w:pPr>
      <w:r>
        <w:t>**RSI** : À 51,163, le RSI se situe parfaitement dans la zone neutre (30-70), sans signal de surachat (&gt;70) ni de survente (&lt;30). Cette valeur équilibrée indique que le titre n'est ni surétiré ni survendu, laissant la porte ouverte à une poursuite de la tendance sans excès. La décision est **Neutre**.</w:t>
      </w:r>
    </w:p>
    <w:p>
      <w:pPr>
        <w:spacing w:after="120" w:line="276" w:lineRule="auto"/>
      </w:pPr>
      <w:r>
        <w:t>**Stochastique** : Le %K (75,0) est nettement supérieur au %D (25,0), ce qui génère un croisement haussier potentiel mais avec un %K déjà élevé, proche de la zone de surachat. Cette configuration suggère une possible poursuite de la hausse à très court terme, mais avec un risque de retournement si le %K dépasse 80. La décision est **Neutre**, en attendant confirmation du croisement.</w:t>
      </w:r>
    </w:p>
    <w:p>
      <w:pPr>
        <w:spacing w:after="120" w:line="276" w:lineRule="auto"/>
      </w:pPr>
      <w:r>
        <w:t>**Conclusion technique** : Les indicateurs techniques présentent un tableau mitigé. Les moyennes mobiles confirment une tendance haussière de fond (golden cross, cours au-dessus des MM), mais le MACD baissier et le RSI neutre suggèrent un essoufflement du momentum à court terme. Les bandes de Bollinger et le stochastique n'apportent pas de signal directionnel fort. La convergence des signaux est donc partielle : la tendance de fond reste haussière, mais un repli technique à court terme ne peut être exclu, ce qui invite à privilégier les points d'entrée sur repli plutôt que les achats en poursuite.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2024 (états financiers annuels) brossent un tableau contrasté : UNIWAX a réalisé un chiffre d'affaires de 27,333 milliards FCFA, en croissance de 15,4% par rapport à 2023 (23,690 milliards FCFA selon le rapport annuel 2024), mais a enregistré une perte nette de 2,189 milliards FCFA, avec un ROE négatif de -14,04% et un ROA de -6,39%. La marge nette ressort à -8,01%, la marge opérationnelle à -7,81%, et le coefficient d'exploitation à 106,99%, traduisant une structure de coûts supérieure aux revenus. En tant qu'entreprise textile, les délais d'exploitation sont préoccupants : délai clients de 51,03 jours (risque de trésorerie modéré), délai fournisseurs de 267,82 jours (favorable à la trésorerie mais signal de tensions avec les fournisseurs), et durée de stockage de 254,72 jours (immobilisation de capital importante). Le BFR est de 2,149 milliards FCFA, le fonds de roulement de 4,027 milliards FCFA, et la trésorerie nette de 2,495 milliards FCFA, indiquant une situation de liquidité correcte malgré les pertes. L'autonomie financière est saine à 45,53%, et le ratio d'endettement de 119,61% reste maîtrisé grâce à des dettes financières très faibles (328,66 millions FCFA).</w:t>
      </w:r>
    </w:p>
    <w:p>
      <w:pPr>
        <w:spacing w:after="120" w:line="276" w:lineRule="auto"/>
      </w:pPr>
      <w:r>
        <w:t>Les rapports trimestriels et semestriels fournissent des estimations précieuses sur la trajectoire de redressement. Le rapport du **1er semestre 2026** (publié en 2026) indique un chiffre d'affaires de 15,752 milliards FCFA (+0,3% sur un an) et surtout un **résultat d'exploitation redevenu positif à 771 millions FCFA**, contre une perte de 314 millions FCFA au S1 2025, soit une amélioration de 345,4%. Le résultat net du S1 2026 s'établit à 771 millions FCFA, contre 8,216 milliards FCFA au S1 2025 (ce dernier incluant une plus-value exceptionnelle de cession de près de 10 milliards FCFA). Le rapport du **3ème trimestre 2025** (30/09/2025) confirme cette dynamique : le CA des neuf premiers mois atteint 22,474 milliards FCFA (+13%), et la direction annonce l'absence de perte au T3 seul, suggérant une inflexion vers la rentabilité opérationnelle. Le rapport annuel **2025** (publié en 2025) fait état d'un CA de 29,03 milliards FCFA (+6,2%), d'un EBE redevenu positif à 1,13 milliard FCFA (contre -0,35 milliard en 2024), et d'une perte nette réduite à -624 millions FCFA (contre -2,19 milliards en 2024), soit une amélioration de 71%. Le désendettement vis-à-vis des fournisseurs (14,9 Md ramenés à 5,0 Md) a été financé par des cessions d'immobilisations pour +10,5 milliards FCFA.</w:t>
      </w:r>
    </w:p>
    <w:p>
      <w:pPr>
        <w:spacing w:after="120" w:line="276" w:lineRule="auto"/>
      </w:pPr>
      <w:r>
        <w:t>L'évolution temporelle est donc claire : après une année 2024 difficile (perte nette de 2,189 milliards FCFA), UNIWAX a amorcé un redressement en 2025 (perte réduite à 624 millions FCFA, EBE positif) et confirmé cette tendance au S1 2026 avec un résultat d'exploitation positif de 771 millions FCFA. La recommandation fondamentale est donc à la **prudence positive** : la solidité financière reste fragile (capitaux propres de 24,62 milliards FCFA en 2025, report à nouveau négatif de -5,54 milliards FCFA), mais les perspectives d'expansion à l'export (Nigeria, Guinée) et l'amélioration de la performance industrielle constituent des catalyseurs crédibles. Le principal risque réside dans la durabilité de la rentabilité opérationnelle, qui doit être confirmée sur l'ensemble de l'exercice 2026.</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précédentes et des prédictions IA dessine un tableau nuancé. **En termes de valorisation (Partie 0)** , les ratios PER négatif et P/B de 3,13x indiquent que le marché valorise UNXC sur des anticipations de retournement plutôt que sur des bénéfices actuels, ce qui implique un risque de déception si le redressement ne se matérialise pas. **Le comportement du cours (Partie 1)** est haussier (+25% sur 100 jours) mais avec une volatilité élevée (49,5%) et des statistiques de distribution symétriques (skewness 0,025, kurtosis -0,318), ce qui suggère un risque de pics modéré mais une tendance de fond positive. **Les signaux techniques (Partie 2)** sont mitigés : les moyennes mobiles confirment la tendance haussière, mais le MACD baissier et le RSI neutre appellent à la prudence à court terme, avec un possible repli technique. **Les fondamentaux (Partie 3)** montrent un redressement réel mais fragile : perte nette réduite à -624 millions FCFA en 2025, résultat d'exploitation positif de 771 millions FCFA au S1 2026, et des perspectives d'export prometteuses, mais une rentabilité opérationnelle encore à confirmer sur la durée. **Les prédictions IA (J+1 à J+10)** anticipent une légère correction (2 263 FCFA à 2 241 FCFA), ce qui contredit la tendance haussière récente et suggère un essoufflement à court terme, en ligne avec le signal baissier du MACD.</w:t>
      </w:r>
    </w:p>
    <w:p>
      <w:pPr>
        <w:spacing w:after="120" w:line="276" w:lineRule="auto"/>
      </w:pPr>
      <w:r>
        <w:t>Sur la base de cette synthèse, la recommandation finale est **CONSERVER**, avec un niveau de confiance **Moyen** et un niveau de risque **Élevé**. La convergence entre la valorisation (prime de croissance), les fondamentaux (redressement en cours) et les perspectives (expansion à l'export) justifie une position d'attente pour les investisseurs déjà présents, mais les signaux techniques baissiers à court terme et les prédictions IA correctives invitent à ne pas renforcer immédiatement. Un **achat** pourrait être envisagé sur repli vers 2 200-2 250 FCFA (borne inférieure des bandes de Bollinger) ou en cas de confirmation d'un résultat d'exploitation positif sur l'ensemble de l'exercice 2026. L'horizon d'investissement optimal est le **moyen terme (3-12 mois)** , le temps que la rentabilité opérationnelle se confirme et que le marché valide le scénario de redressement durable. Les investisseurs à court terme (&lt;3 mois) devraient rester à l'écart en raison de la volatilité élevée et du risque de correction technique.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